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7A1DD">
      <w:pPr>
        <w:rPr>
          <w:rFonts w:eastAsia="仿宋_GB2312"/>
          <w:color w:val="auto"/>
          <w:sz w:val="36"/>
          <w:szCs w:val="36"/>
          <w:highlight w:val="none"/>
        </w:rPr>
      </w:pPr>
      <w:bookmarkStart w:id="0" w:name="_Hlk57883707"/>
    </w:p>
    <w:p w14:paraId="7FB95E91">
      <w:pPr>
        <w:rPr>
          <w:rFonts w:eastAsia="仿宋_GB2312"/>
          <w:color w:val="auto"/>
          <w:sz w:val="36"/>
          <w:szCs w:val="36"/>
          <w:highlight w:val="none"/>
        </w:rPr>
      </w:pPr>
    </w:p>
    <w:p w14:paraId="056DE53B">
      <w:pPr>
        <w:rPr>
          <w:rFonts w:eastAsia="仿宋_GB2312"/>
          <w:color w:val="auto"/>
          <w:sz w:val="36"/>
          <w:szCs w:val="36"/>
          <w:highlight w:val="none"/>
        </w:rPr>
      </w:pPr>
    </w:p>
    <w:p w14:paraId="63FFAD85">
      <w:pPr>
        <w:pStyle w:val="8"/>
        <w:ind w:left="0" w:leftChars="0" w:firstLine="0"/>
        <w:rPr>
          <w:color w:val="auto"/>
          <w:highlight w:val="none"/>
        </w:rPr>
      </w:pPr>
    </w:p>
    <w:p w14:paraId="62B0C425">
      <w:pPr>
        <w:rPr>
          <w:rFonts w:eastAsia="仿宋_GB2312"/>
          <w:color w:val="auto"/>
          <w:sz w:val="36"/>
          <w:szCs w:val="36"/>
          <w:highlight w:val="none"/>
        </w:rPr>
      </w:pPr>
    </w:p>
    <w:p w14:paraId="3261B0CF">
      <w:pPr>
        <w:adjustRightInd w:val="0"/>
        <w:snapToGrid w:val="0"/>
        <w:jc w:val="center"/>
        <w:outlineLvl w:val="0"/>
        <w:rPr>
          <w:rFonts w:eastAsia="方正小标宋_GBK"/>
          <w:bCs/>
          <w:color w:val="auto"/>
          <w:sz w:val="72"/>
          <w:szCs w:val="72"/>
          <w:highlight w:val="none"/>
        </w:rPr>
      </w:pPr>
      <w:bookmarkStart w:id="1" w:name="_Toc19940"/>
      <w:bookmarkStart w:id="2" w:name="_Toc2484"/>
      <w:r>
        <w:rPr>
          <w:rFonts w:eastAsia="方正小标宋_GBK"/>
          <w:bCs/>
          <w:color w:val="auto"/>
          <w:sz w:val="72"/>
          <w:szCs w:val="72"/>
          <w:highlight w:val="none"/>
        </w:rPr>
        <w:t>建设项目环境影响报告表</w:t>
      </w:r>
      <w:bookmarkEnd w:id="1"/>
      <w:bookmarkEnd w:id="2"/>
    </w:p>
    <w:p w14:paraId="68C8C838">
      <w:pPr>
        <w:adjustRightInd w:val="0"/>
        <w:snapToGrid w:val="0"/>
        <w:spacing w:before="192" w:beforeLines="80"/>
        <w:jc w:val="center"/>
        <w:rPr>
          <w:rFonts w:eastAsia="楷体_GB2312"/>
          <w:bCs/>
          <w:color w:val="auto"/>
          <w:sz w:val="48"/>
          <w:szCs w:val="48"/>
          <w:highlight w:val="none"/>
        </w:rPr>
      </w:pPr>
      <w:r>
        <w:rPr>
          <w:rFonts w:eastAsia="楷体_GB2312"/>
          <w:bCs/>
          <w:color w:val="auto"/>
          <w:sz w:val="48"/>
          <w:szCs w:val="48"/>
          <w:highlight w:val="none"/>
        </w:rPr>
        <w:t>（生态影响类）</w:t>
      </w:r>
    </w:p>
    <w:p w14:paraId="79B5F012">
      <w:pPr>
        <w:jc w:val="center"/>
        <w:rPr>
          <w:rFonts w:hint="eastAsia" w:ascii="Times New Roman" w:hAnsi="Times New Roman" w:eastAsia="仿宋" w:cs="Times New Roman"/>
          <w:color w:val="auto"/>
          <w:sz w:val="44"/>
          <w:szCs w:val="44"/>
          <w:highlight w:val="none"/>
          <w:lang w:eastAsia="zh-CN"/>
        </w:rPr>
      </w:pPr>
      <w:bookmarkStart w:id="3" w:name="_Hlk57883728"/>
      <w:r>
        <w:rPr>
          <w:rFonts w:hint="eastAsia" w:eastAsia="仿宋" w:cs="Times New Roman"/>
          <w:color w:val="auto"/>
          <w:sz w:val="44"/>
          <w:szCs w:val="44"/>
          <w:highlight w:val="none"/>
          <w:lang w:eastAsia="zh-CN"/>
        </w:rPr>
        <w:t>（</w:t>
      </w:r>
      <w:r>
        <w:rPr>
          <w:rFonts w:hint="eastAsia" w:eastAsia="仿宋" w:cs="Times New Roman"/>
          <w:color w:val="auto"/>
          <w:sz w:val="44"/>
          <w:szCs w:val="44"/>
          <w:highlight w:val="none"/>
          <w:lang w:val="en-US" w:eastAsia="zh-CN"/>
        </w:rPr>
        <w:t>公示稿</w:t>
      </w:r>
      <w:r>
        <w:rPr>
          <w:rFonts w:hint="eastAsia" w:eastAsia="仿宋" w:cs="Times New Roman"/>
          <w:color w:val="auto"/>
          <w:sz w:val="44"/>
          <w:szCs w:val="44"/>
          <w:highlight w:val="none"/>
          <w:lang w:eastAsia="zh-CN"/>
        </w:rPr>
        <w:t>）</w:t>
      </w:r>
    </w:p>
    <w:p w14:paraId="53C7D9AD">
      <w:pPr>
        <w:rPr>
          <w:rFonts w:ascii="Times New Roman" w:hAnsi="Times New Roman" w:eastAsia="仿宋" w:cs="Times New Roman"/>
          <w:color w:val="auto"/>
          <w:sz w:val="44"/>
          <w:szCs w:val="44"/>
          <w:highlight w:val="none"/>
        </w:rPr>
      </w:pPr>
    </w:p>
    <w:p w14:paraId="34F6947F">
      <w:pPr>
        <w:rPr>
          <w:rFonts w:eastAsia="仿宋"/>
          <w:color w:val="auto"/>
          <w:sz w:val="44"/>
          <w:szCs w:val="44"/>
          <w:highlight w:val="none"/>
        </w:rPr>
      </w:pPr>
    </w:p>
    <w:p w14:paraId="72AB8D06">
      <w:pPr>
        <w:rPr>
          <w:rFonts w:eastAsia="仿宋"/>
          <w:color w:val="auto"/>
          <w:sz w:val="44"/>
          <w:szCs w:val="44"/>
          <w:highlight w:val="none"/>
        </w:rPr>
      </w:pPr>
    </w:p>
    <w:p w14:paraId="7752CA13">
      <w:pPr>
        <w:pStyle w:val="8"/>
      </w:pPr>
    </w:p>
    <w:p w14:paraId="3A4E048F">
      <w:pPr>
        <w:rPr>
          <w:rFonts w:eastAsia="仿宋"/>
          <w:color w:val="auto"/>
          <w:sz w:val="44"/>
          <w:szCs w:val="44"/>
          <w:highlight w:val="none"/>
        </w:rPr>
      </w:pPr>
    </w:p>
    <w:bookmarkEnd w:id="3"/>
    <w:p w14:paraId="5E11B2A5">
      <w:pPr>
        <w:rPr>
          <w:rFonts w:eastAsia="仿宋"/>
          <w:color w:val="auto"/>
          <w:sz w:val="44"/>
          <w:szCs w:val="44"/>
          <w:highlight w:val="none"/>
        </w:rPr>
      </w:pPr>
    </w:p>
    <w:p w14:paraId="67FF55D5">
      <w:pPr>
        <w:adjustRightInd w:val="0"/>
        <w:snapToGrid w:val="0"/>
        <w:spacing w:line="288" w:lineRule="auto"/>
        <w:ind w:firstLine="360" w:firstLineChars="100"/>
        <w:rPr>
          <w:rFonts w:hint="default" w:eastAsia="仿宋"/>
          <w:color w:val="auto"/>
          <w:sz w:val="36"/>
          <w:szCs w:val="36"/>
          <w:highlight w:val="none"/>
          <w:u w:val="single"/>
          <w:lang w:val="en-US"/>
        </w:rPr>
      </w:pPr>
      <w:r>
        <w:rPr>
          <w:rFonts w:eastAsia="仿宋"/>
          <w:color w:val="auto"/>
          <w:sz w:val="36"/>
          <w:szCs w:val="36"/>
          <w:highlight w:val="none"/>
        </w:rPr>
        <w:t>项目名称：</w:t>
      </w:r>
      <w:r>
        <w:rPr>
          <w:rFonts w:hint="eastAsia" w:eastAsia="仿宋"/>
          <w:color w:val="auto"/>
          <w:sz w:val="36"/>
          <w:szCs w:val="36"/>
          <w:highlight w:val="none"/>
          <w:u w:val="single"/>
          <w:lang w:val="en-US" w:eastAsia="zh-CN"/>
        </w:rPr>
        <w:t xml:space="preserve">  宁夏固原张程110千伏输变电工程   </w:t>
      </w:r>
    </w:p>
    <w:p w14:paraId="498CA9D0">
      <w:pPr>
        <w:adjustRightInd w:val="0"/>
        <w:snapToGrid w:val="0"/>
        <w:spacing w:line="288" w:lineRule="auto"/>
        <w:ind w:firstLine="338" w:firstLineChars="100"/>
        <w:rPr>
          <w:rFonts w:eastAsia="仿宋"/>
          <w:color w:val="auto"/>
          <w:spacing w:val="-11"/>
          <w:sz w:val="36"/>
          <w:szCs w:val="36"/>
          <w:highlight w:val="none"/>
          <w:u w:val="single"/>
        </w:rPr>
      </w:pPr>
      <w:r>
        <w:rPr>
          <w:rFonts w:eastAsia="仿宋"/>
          <w:color w:val="auto"/>
          <w:spacing w:val="-11"/>
          <w:sz w:val="36"/>
          <w:szCs w:val="36"/>
          <w:highlight w:val="none"/>
        </w:rPr>
        <w:t>建设单位（盖章）：</w:t>
      </w:r>
      <w:r>
        <w:rPr>
          <w:rFonts w:eastAsia="仿宋"/>
          <w:color w:val="auto"/>
          <w:spacing w:val="-23"/>
          <w:sz w:val="36"/>
          <w:szCs w:val="36"/>
          <w:highlight w:val="none"/>
          <w:u w:val="single"/>
        </w:rPr>
        <w:t>国网宁夏电力有限公司</w:t>
      </w:r>
      <w:r>
        <w:rPr>
          <w:rFonts w:hint="eastAsia" w:eastAsia="仿宋"/>
          <w:color w:val="auto"/>
          <w:spacing w:val="-23"/>
          <w:sz w:val="36"/>
          <w:szCs w:val="36"/>
          <w:highlight w:val="none"/>
          <w:u w:val="single"/>
          <w:lang w:val="en-US" w:eastAsia="zh-CN"/>
        </w:rPr>
        <w:t>固原</w:t>
      </w:r>
      <w:r>
        <w:rPr>
          <w:rFonts w:eastAsia="仿宋"/>
          <w:color w:val="auto"/>
          <w:spacing w:val="-23"/>
          <w:sz w:val="36"/>
          <w:szCs w:val="36"/>
          <w:highlight w:val="none"/>
          <w:u w:val="single"/>
        </w:rPr>
        <w:t>供电公司</w:t>
      </w:r>
    </w:p>
    <w:p w14:paraId="345B7DCF">
      <w:pPr>
        <w:adjustRightInd w:val="0"/>
        <w:snapToGrid w:val="0"/>
        <w:spacing w:line="288" w:lineRule="auto"/>
        <w:ind w:firstLine="360" w:firstLineChars="100"/>
        <w:rPr>
          <w:rFonts w:eastAsia="仿宋_GB2312"/>
          <w:color w:val="auto"/>
          <w:sz w:val="36"/>
          <w:szCs w:val="36"/>
          <w:highlight w:val="none"/>
          <w:u w:val="single"/>
        </w:rPr>
      </w:pPr>
      <w:r>
        <w:rPr>
          <w:rFonts w:eastAsia="仿宋"/>
          <w:color w:val="auto"/>
          <w:sz w:val="36"/>
          <w:szCs w:val="36"/>
          <w:highlight w:val="none"/>
        </w:rPr>
        <w:t>编制日期：</w:t>
      </w:r>
      <w:r>
        <w:rPr>
          <w:rFonts w:eastAsia="仿宋"/>
          <w:color w:val="auto"/>
          <w:sz w:val="36"/>
          <w:szCs w:val="36"/>
          <w:highlight w:val="none"/>
          <w:u w:val="single"/>
        </w:rPr>
        <w:t xml:space="preserve">         </w:t>
      </w:r>
      <w:r>
        <w:rPr>
          <w:rFonts w:hint="eastAsia" w:eastAsia="仿宋"/>
          <w:color w:val="auto"/>
          <w:sz w:val="36"/>
          <w:szCs w:val="36"/>
          <w:highlight w:val="none"/>
          <w:u w:val="single"/>
          <w:lang w:val="en-US" w:eastAsia="zh-CN"/>
        </w:rPr>
        <w:t xml:space="preserve"> </w:t>
      </w:r>
      <w:r>
        <w:rPr>
          <w:rFonts w:eastAsia="仿宋"/>
          <w:color w:val="auto"/>
          <w:sz w:val="36"/>
          <w:szCs w:val="36"/>
          <w:highlight w:val="none"/>
          <w:u w:val="single"/>
        </w:rPr>
        <w:t>二〇二</w:t>
      </w:r>
      <w:r>
        <w:rPr>
          <w:rFonts w:hint="eastAsia" w:eastAsia="仿宋"/>
          <w:color w:val="auto"/>
          <w:sz w:val="36"/>
          <w:szCs w:val="36"/>
          <w:highlight w:val="none"/>
          <w:u w:val="single"/>
          <w:lang w:val="en-US" w:eastAsia="zh-CN"/>
        </w:rPr>
        <w:t>六</w:t>
      </w:r>
      <w:r>
        <w:rPr>
          <w:rFonts w:eastAsia="仿宋"/>
          <w:color w:val="auto"/>
          <w:sz w:val="36"/>
          <w:szCs w:val="36"/>
          <w:highlight w:val="none"/>
          <w:u w:val="single"/>
        </w:rPr>
        <w:t>年</w:t>
      </w:r>
      <w:r>
        <w:rPr>
          <w:rFonts w:hint="eastAsia" w:eastAsia="仿宋"/>
          <w:color w:val="auto"/>
          <w:sz w:val="36"/>
          <w:szCs w:val="36"/>
          <w:highlight w:val="none"/>
          <w:u w:val="single"/>
          <w:lang w:val="en-US" w:eastAsia="zh-CN"/>
        </w:rPr>
        <w:t>三</w:t>
      </w:r>
      <w:r>
        <w:rPr>
          <w:rFonts w:eastAsia="仿宋"/>
          <w:color w:val="auto"/>
          <w:sz w:val="36"/>
          <w:szCs w:val="36"/>
          <w:highlight w:val="none"/>
          <w:u w:val="single"/>
        </w:rPr>
        <w:t xml:space="preserve">月          </w:t>
      </w:r>
    </w:p>
    <w:p w14:paraId="34F64198">
      <w:pPr>
        <w:adjustRightInd w:val="0"/>
        <w:snapToGrid w:val="0"/>
        <w:spacing w:line="288" w:lineRule="auto"/>
        <w:rPr>
          <w:rFonts w:eastAsia="仿宋_GB2312"/>
          <w:color w:val="auto"/>
          <w:sz w:val="36"/>
          <w:szCs w:val="36"/>
          <w:highlight w:val="none"/>
        </w:rPr>
      </w:pPr>
    </w:p>
    <w:p w14:paraId="663F446D">
      <w:pPr>
        <w:adjustRightInd w:val="0"/>
        <w:snapToGrid w:val="0"/>
        <w:spacing w:line="288" w:lineRule="auto"/>
        <w:rPr>
          <w:rFonts w:eastAsia="仿宋_GB2312"/>
          <w:color w:val="auto"/>
          <w:sz w:val="36"/>
          <w:szCs w:val="36"/>
          <w:highlight w:val="none"/>
        </w:rPr>
      </w:pPr>
    </w:p>
    <w:p w14:paraId="2430EC21">
      <w:pPr>
        <w:pStyle w:val="11"/>
        <w:ind w:firstLine="0" w:firstLineChars="0"/>
        <w:jc w:val="both"/>
        <w:rPr>
          <w:rFonts w:ascii="Times New Roman" w:hAnsi="Times New Roman"/>
          <w:color w:val="auto"/>
          <w:highlight w:val="none"/>
        </w:rPr>
      </w:pPr>
    </w:p>
    <w:p w14:paraId="03DF825D">
      <w:pPr>
        <w:pStyle w:val="11"/>
        <w:ind w:firstLine="0" w:firstLineChars="0"/>
        <w:jc w:val="both"/>
        <w:rPr>
          <w:rFonts w:ascii="Times New Roman" w:hAnsi="Times New Roman"/>
          <w:color w:val="auto"/>
          <w:highlight w:val="none"/>
        </w:rPr>
      </w:pPr>
    </w:p>
    <w:p w14:paraId="5507BBC1">
      <w:pPr>
        <w:pStyle w:val="11"/>
        <w:ind w:firstLine="0" w:firstLineChars="0"/>
        <w:jc w:val="both"/>
        <w:rPr>
          <w:rFonts w:ascii="Times New Roman" w:hAnsi="Times New Roman"/>
          <w:color w:val="auto"/>
          <w:highlight w:val="none"/>
        </w:rPr>
      </w:pPr>
    </w:p>
    <w:p w14:paraId="70B5844E">
      <w:pPr>
        <w:adjustRightInd w:val="0"/>
        <w:snapToGrid w:val="0"/>
        <w:spacing w:line="288" w:lineRule="auto"/>
        <w:rPr>
          <w:rFonts w:eastAsia="仿宋_GB2312"/>
          <w:color w:val="auto"/>
          <w:sz w:val="36"/>
          <w:szCs w:val="36"/>
          <w:highlight w:val="none"/>
        </w:rPr>
      </w:pPr>
    </w:p>
    <w:p w14:paraId="7EA1A3EF">
      <w:pPr>
        <w:pStyle w:val="8"/>
        <w:rPr>
          <w:color w:val="auto"/>
          <w:highlight w:val="none"/>
        </w:rPr>
      </w:pPr>
    </w:p>
    <w:p w14:paraId="0E911B14">
      <w:pPr>
        <w:spacing w:before="0" w:beforeLines="0" w:after="0" w:afterLines="0" w:line="240" w:lineRule="auto"/>
        <w:ind w:left="0" w:leftChars="0" w:right="0" w:rightChars="0" w:firstLine="0" w:firstLineChars="0"/>
        <w:jc w:val="center"/>
        <w:rPr>
          <w:rFonts w:eastAsia="楷体_GB2312"/>
          <w:color w:val="auto"/>
          <w:sz w:val="32"/>
          <w:szCs w:val="32"/>
          <w:highlight w:val="none"/>
        </w:rPr>
      </w:pPr>
      <w:r>
        <w:rPr>
          <w:rFonts w:eastAsia="楷体_GB2312"/>
          <w:color w:val="auto"/>
          <w:sz w:val="32"/>
          <w:szCs w:val="32"/>
          <w:highlight w:val="none"/>
        </w:rPr>
        <w:t>中华人民共和国生态环境部制</w:t>
      </w:r>
      <w:bookmarkEnd w:id="0"/>
    </w:p>
    <w:p w14:paraId="110917ED">
      <w:pPr>
        <w:spacing w:before="0" w:beforeLines="0" w:after="0" w:afterLines="0" w:line="240" w:lineRule="auto"/>
        <w:ind w:left="0" w:leftChars="0" w:right="0" w:rightChars="0" w:firstLine="0" w:firstLineChars="0"/>
        <w:jc w:val="center"/>
        <w:rPr>
          <w:rFonts w:eastAsia="楷体_GB2312"/>
          <w:color w:val="auto"/>
          <w:sz w:val="32"/>
          <w:szCs w:val="32"/>
          <w:highlight w:val="none"/>
        </w:rPr>
      </w:pPr>
    </w:p>
    <w:p w14:paraId="2BD379C8">
      <w:pPr>
        <w:spacing w:before="0" w:beforeLines="0" w:after="0" w:afterLines="0" w:line="240" w:lineRule="auto"/>
        <w:ind w:left="0" w:leftChars="0" w:right="0" w:rightChars="0" w:firstLine="0" w:firstLineChars="0"/>
        <w:jc w:val="center"/>
        <w:rPr>
          <w:rFonts w:eastAsia="楷体_GB2312"/>
          <w:color w:val="auto"/>
          <w:sz w:val="32"/>
          <w:szCs w:val="32"/>
          <w:highlight w:val="none"/>
        </w:rPr>
      </w:pPr>
    </w:p>
    <w:sdt>
      <w:sdtPr>
        <w:rPr>
          <w:rFonts w:ascii="Times New Roman" w:hAnsi="Times New Roman" w:eastAsia="黑体" w:cs="Times New Roman"/>
          <w:b/>
          <w:bCs/>
          <w:snapToGrid w:val="0"/>
          <w:color w:val="auto"/>
          <w:kern w:val="0"/>
          <w:sz w:val="30"/>
          <w:szCs w:val="30"/>
          <w:highlight w:val="none"/>
          <w:lang w:val="en-US" w:eastAsia="zh-CN" w:bidi="ar-SA"/>
        </w:rPr>
        <w:id w:val="147470837"/>
        <w15:color w:val="DBDBDB"/>
        <w:docPartObj>
          <w:docPartGallery w:val="Table of Contents"/>
          <w:docPartUnique/>
        </w:docPartObj>
      </w:sdtPr>
      <w:sdtEndPr>
        <w:rPr>
          <w:rFonts w:hint="default" w:ascii="Times New Roman" w:hAnsi="Times New Roman" w:eastAsia="宋体" w:cs="Times New Roman"/>
          <w:b/>
          <w:bCs/>
          <w:snapToGrid w:val="0"/>
          <w:color w:val="auto"/>
          <w:kern w:val="0"/>
          <w:sz w:val="20"/>
          <w:szCs w:val="24"/>
          <w:highlight w:val="none"/>
          <w:lang w:val="en-US" w:eastAsia="zh-CN" w:bidi="ar-SA"/>
        </w:rPr>
      </w:sdtEndPr>
      <w:sdtContent>
        <w:p w14:paraId="01C19082">
          <w:pPr>
            <w:spacing w:before="0" w:beforeLines="0" w:after="0" w:afterLines="0" w:line="360" w:lineRule="auto"/>
            <w:ind w:left="0" w:leftChars="0" w:right="0" w:rightChars="0" w:firstLine="0" w:firstLineChars="0"/>
            <w:jc w:val="center"/>
            <w:rPr>
              <w:rFonts w:ascii="Times New Roman" w:hAnsi="Times New Roman" w:eastAsia="黑体" w:cs="Times New Roman"/>
              <w:b/>
              <w:bCs/>
              <w:snapToGrid w:val="0"/>
              <w:color w:val="auto"/>
              <w:kern w:val="0"/>
              <w:sz w:val="30"/>
              <w:szCs w:val="30"/>
              <w:highlight w:val="none"/>
              <w:lang w:val="en-US" w:eastAsia="zh-CN" w:bidi="ar-SA"/>
            </w:rPr>
          </w:pPr>
          <w:r>
            <w:rPr>
              <w:rFonts w:ascii="Times New Roman" w:hAnsi="Times New Roman" w:eastAsia="黑体" w:cs="Times New Roman"/>
              <w:b/>
              <w:bCs/>
              <w:snapToGrid w:val="0"/>
              <w:color w:val="auto"/>
              <w:kern w:val="0"/>
              <w:sz w:val="30"/>
              <w:szCs w:val="30"/>
              <w:highlight w:val="none"/>
              <w:lang w:val="en-US" w:eastAsia="zh-CN" w:bidi="ar-SA"/>
            </w:rPr>
            <w:t>目录</w:t>
          </w:r>
        </w:p>
        <w:p w14:paraId="2C927640">
          <w:pPr>
            <w:pStyle w:val="20"/>
            <w:tabs>
              <w:tab w:val="right" w:leader="dot" w:pos="8306"/>
            </w:tabs>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TOC \o "1-1" \h \u </w:instrText>
          </w:r>
          <w:r>
            <w:rPr>
              <w:rFonts w:hint="default" w:ascii="Times New Roman" w:hAnsi="Times New Roman" w:eastAsia="宋体" w:cs="Times New Roman"/>
              <w:color w:val="auto"/>
              <w:sz w:val="24"/>
              <w:szCs w:val="24"/>
              <w:highlight w:val="none"/>
              <w:lang w:val="en-US" w:eastAsia="zh-CN"/>
            </w:rPr>
            <w:fldChar w:fldCharType="separate"/>
          </w:r>
        </w:p>
        <w:p w14:paraId="2BD0357D">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_Toc338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7FA2F8B8">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_Toc5467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rPr>
            <w:t xml:space="preserve">二、 </w:t>
          </w:r>
          <w:r>
            <w:rPr>
              <w:rFonts w:hint="default" w:ascii="Times New Roman" w:hAnsi="Times New Roman" w:eastAsia="宋体" w:cs="Times New Roman"/>
              <w:bCs/>
              <w:snapToGrid w:val="0"/>
              <w:sz w:val="24"/>
              <w:szCs w:val="24"/>
              <w:highlight w:val="none"/>
            </w:rPr>
            <w:t>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58EE4A97">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_Toc17272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三、生态环境现状、保护目标及评价标准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1C0DB039">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_Toc5571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四、生态环境影响分析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2ECB46A3">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_Toc22133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五、主要生态环境保护措施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74B769BD">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_Toc2094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六、生态环境保护措施监督检查清单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1E302026">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_Toc612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bCs/>
              <w:snapToGrid w:val="0"/>
              <w:sz w:val="24"/>
              <w:szCs w:val="24"/>
              <w:highlight w:val="none"/>
            </w:rPr>
            <w:t>七、结论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1135E2F3">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_Toc781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sz w:val="24"/>
              <w:szCs w:val="24"/>
              <w:highlight w:val="none"/>
            </w:rPr>
            <w:t>电磁环境影响专题评价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76745304">
          <w:pPr>
            <w:pStyle w:val="20"/>
            <w:tabs>
              <w:tab w:val="right" w:leader="dot" w:pos="8306"/>
            </w:tabs>
            <w:spacing w:line="480" w:lineRule="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sz w:val="24"/>
              <w:szCs w:val="24"/>
              <w:highlight w:val="none"/>
              <w:lang w:val="en-US" w:eastAsia="zh-CN"/>
            </w:rPr>
            <w:instrText xml:space="preserve"> HYPERLINK \l _Toc13621 </w:instrText>
          </w:r>
          <w:r>
            <w:rPr>
              <w:rFonts w:hint="default" w:ascii="Times New Roman" w:hAnsi="Times New Roman" w:eastAsia="宋体" w:cs="Times New Roman"/>
              <w:sz w:val="24"/>
              <w:szCs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生态</w:t>
          </w:r>
          <w:r>
            <w:rPr>
              <w:rFonts w:hint="eastAsia" w:cs="Times New Roman"/>
              <w:color w:val="auto"/>
              <w:sz w:val="24"/>
              <w:highlight w:val="none"/>
              <w:lang w:val="en-US" w:eastAsia="zh-CN"/>
            </w:rPr>
            <w:t>专题</w:t>
          </w:r>
          <w:r>
            <w:rPr>
              <w:rFonts w:hint="default" w:ascii="Times New Roman" w:hAnsi="Times New Roman" w:eastAsia="宋体" w:cs="Times New Roman"/>
              <w:color w:val="auto"/>
              <w:sz w:val="24"/>
              <w:highlight w:val="none"/>
              <w:lang w:val="en-US" w:eastAsia="zh-CN"/>
            </w:rPr>
            <w:t>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_Toc13621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lang w:val="en-US" w:eastAsia="zh-CN"/>
            </w:rPr>
            <w:fldChar w:fldCharType="end"/>
          </w:r>
        </w:p>
        <w:p w14:paraId="242AB43C">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napToGrid w:val="0"/>
              <w:color w:val="auto"/>
              <w:kern w:val="0"/>
              <w:sz w:val="20"/>
              <w:szCs w:val="24"/>
              <w:highlight w:val="none"/>
              <w:lang w:val="en-US" w:eastAsia="zh-CN" w:bidi="ar-SA"/>
            </w:rPr>
          </w:pPr>
          <w:r>
            <w:rPr>
              <w:rFonts w:hint="default" w:ascii="Times New Roman" w:hAnsi="Times New Roman" w:eastAsia="宋体" w:cs="Times New Roman"/>
              <w:color w:val="auto"/>
              <w:szCs w:val="24"/>
              <w:highlight w:val="none"/>
              <w:lang w:val="en-US" w:eastAsia="zh-CN"/>
            </w:rPr>
            <w:fldChar w:fldCharType="end"/>
          </w:r>
        </w:p>
      </w:sdtContent>
    </w:sdt>
    <w:p w14:paraId="2EF0671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napToGrid w:val="0"/>
          <w:color w:val="auto"/>
          <w:kern w:val="0"/>
          <w:sz w:val="20"/>
          <w:szCs w:val="24"/>
          <w:highlight w:val="none"/>
          <w:lang w:val="en-US" w:eastAsia="zh-CN" w:bidi="ar-SA"/>
        </w:rPr>
      </w:pPr>
    </w:p>
    <w:p w14:paraId="4871FA52">
      <w:pPr>
        <w:pStyle w:val="58"/>
        <w:tabs>
          <w:tab w:val="right" w:leader="dot" w:pos="8844"/>
        </w:tabs>
      </w:pPr>
      <w:r>
        <w:rPr>
          <w:rFonts w:hint="eastAsia"/>
          <w:color w:val="auto"/>
          <w:highlight w:val="none"/>
          <w:lang w:val="en-US" w:eastAsia="zh-CN"/>
        </w:rPr>
        <w:fldChar w:fldCharType="begin"/>
      </w:r>
      <w:r>
        <w:rPr>
          <w:rFonts w:hint="eastAsia"/>
          <w:color w:val="auto"/>
          <w:highlight w:val="none"/>
          <w:lang w:val="en-US" w:eastAsia="zh-CN"/>
        </w:rPr>
        <w:instrText xml:space="preserve">TOC \o "1-1" \h \u </w:instrText>
      </w:r>
      <w:r>
        <w:rPr>
          <w:rFonts w:hint="eastAsia"/>
          <w:color w:val="auto"/>
          <w:highlight w:val="none"/>
          <w:lang w:val="en-US" w:eastAsia="zh-CN"/>
        </w:rPr>
        <w:fldChar w:fldCharType="separate"/>
      </w:r>
    </w:p>
    <w:p w14:paraId="1BFE300C">
      <w:pPr>
        <w:spacing w:after="240" w:afterLines="100" w:line="360" w:lineRule="auto"/>
        <w:jc w:val="both"/>
        <w:rPr>
          <w:rFonts w:hint="eastAsia"/>
          <w:color w:val="auto"/>
          <w:highlight w:val="none"/>
          <w:lang w:val="en-US" w:eastAsia="zh-CN"/>
        </w:rPr>
      </w:pPr>
      <w:r>
        <w:rPr>
          <w:rFonts w:hint="eastAsia"/>
          <w:color w:val="auto"/>
          <w:highlight w:val="none"/>
          <w:lang w:val="en-US" w:eastAsia="zh-CN"/>
        </w:rPr>
        <w:fldChar w:fldCharType="end"/>
      </w:r>
    </w:p>
    <w:p w14:paraId="32ECF130">
      <w:pPr>
        <w:spacing w:after="240" w:afterLines="100" w:line="360" w:lineRule="auto"/>
        <w:jc w:val="both"/>
        <w:rPr>
          <w:rFonts w:hint="eastAsia"/>
          <w:color w:val="auto"/>
          <w:highlight w:val="none"/>
          <w:lang w:val="en-US" w:eastAsia="zh-CN"/>
        </w:rPr>
      </w:pPr>
    </w:p>
    <w:p w14:paraId="000AC3F5">
      <w:pPr>
        <w:spacing w:after="240" w:afterLines="100" w:line="360" w:lineRule="auto"/>
        <w:jc w:val="both"/>
        <w:rPr>
          <w:rFonts w:hint="eastAsia"/>
          <w:color w:val="auto"/>
          <w:highlight w:val="none"/>
          <w:lang w:val="en-US" w:eastAsia="zh-CN"/>
        </w:rPr>
      </w:pPr>
    </w:p>
    <w:p w14:paraId="05EBCCE0">
      <w:pPr>
        <w:spacing w:after="240" w:afterLines="100" w:line="360" w:lineRule="auto"/>
        <w:jc w:val="both"/>
        <w:rPr>
          <w:rFonts w:hint="eastAsia"/>
          <w:color w:val="auto"/>
          <w:highlight w:val="none"/>
          <w:lang w:val="en-US" w:eastAsia="zh-CN"/>
        </w:rPr>
      </w:pPr>
    </w:p>
    <w:p w14:paraId="18587249">
      <w:pPr>
        <w:spacing w:after="240" w:afterLines="100" w:line="360" w:lineRule="auto"/>
        <w:jc w:val="both"/>
        <w:rPr>
          <w:rFonts w:hint="eastAsia"/>
          <w:color w:val="auto"/>
          <w:highlight w:val="none"/>
          <w:lang w:val="en-US" w:eastAsia="zh-CN"/>
        </w:rPr>
      </w:pPr>
    </w:p>
    <w:p w14:paraId="511DE435">
      <w:pPr>
        <w:spacing w:after="240" w:afterLines="100" w:line="360" w:lineRule="auto"/>
        <w:jc w:val="both"/>
        <w:rPr>
          <w:rFonts w:hint="eastAsia"/>
          <w:color w:val="auto"/>
          <w:highlight w:val="none"/>
          <w:lang w:val="en-US" w:eastAsia="zh-CN"/>
        </w:rPr>
      </w:pPr>
    </w:p>
    <w:p w14:paraId="3DADC20C">
      <w:pPr>
        <w:spacing w:after="240" w:afterLines="100" w:line="360" w:lineRule="auto"/>
        <w:jc w:val="both"/>
        <w:rPr>
          <w:rFonts w:hint="eastAsia"/>
          <w:color w:val="auto"/>
          <w:highlight w:val="none"/>
          <w:lang w:val="en-US" w:eastAsia="zh-CN"/>
        </w:rPr>
      </w:pPr>
    </w:p>
    <w:p w14:paraId="0DCC9A4E">
      <w:pPr>
        <w:spacing w:after="240" w:afterLines="100" w:line="360" w:lineRule="auto"/>
        <w:jc w:val="both"/>
        <w:rPr>
          <w:rFonts w:hint="eastAsia"/>
          <w:color w:val="auto"/>
          <w:highlight w:val="none"/>
          <w:lang w:val="en-US" w:eastAsia="zh-CN"/>
        </w:rPr>
      </w:pPr>
    </w:p>
    <w:p w14:paraId="21B6C689">
      <w:pPr>
        <w:spacing w:after="240" w:afterLines="100" w:line="360" w:lineRule="auto"/>
        <w:jc w:val="both"/>
        <w:rPr>
          <w:rFonts w:hint="eastAsia"/>
          <w:color w:val="auto"/>
          <w:highlight w:val="none"/>
          <w:lang w:val="en-US" w:eastAsia="zh-CN"/>
        </w:rPr>
      </w:pPr>
    </w:p>
    <w:p w14:paraId="7DC6D812">
      <w:pPr>
        <w:spacing w:after="240" w:afterLines="100" w:line="360" w:lineRule="auto"/>
        <w:jc w:val="both"/>
        <w:rPr>
          <w:rFonts w:hint="eastAsia"/>
          <w:color w:val="auto"/>
          <w:highlight w:val="none"/>
          <w:lang w:val="en-US" w:eastAsia="zh-CN"/>
        </w:rPr>
      </w:pPr>
    </w:p>
    <w:p w14:paraId="161DA446">
      <w:pPr>
        <w:spacing w:after="240" w:afterLines="100" w:line="360" w:lineRule="auto"/>
        <w:jc w:val="both"/>
        <w:rPr>
          <w:rFonts w:hint="eastAsia"/>
          <w:color w:val="auto"/>
          <w:highlight w:val="none"/>
          <w:lang w:val="en-US" w:eastAsia="zh-CN"/>
        </w:rPr>
      </w:pPr>
    </w:p>
    <w:p w14:paraId="40E83C12">
      <w:pPr>
        <w:keepNext w:val="0"/>
        <w:keepLines w:val="0"/>
        <w:pageBreakBefore w:val="0"/>
        <w:kinsoku/>
        <w:wordWrap/>
        <w:overflowPunct/>
        <w:topLinePunct w:val="0"/>
        <w:autoSpaceDE/>
        <w:bidi w:val="0"/>
        <w:spacing w:line="240" w:lineRule="auto"/>
        <w:jc w:val="left"/>
        <w:rPr>
          <w:rFonts w:hint="default" w:ascii="Times New Roman" w:hAnsi="Times New Roman" w:eastAsia="宋体" w:cs="Times New Roman"/>
          <w:b/>
          <w:color w:val="auto"/>
          <w:sz w:val="30"/>
          <w:szCs w:val="30"/>
          <w:highlight w:val="none"/>
          <w:lang w:val="en-US" w:eastAsia="zh-CN"/>
        </w:rPr>
      </w:pPr>
      <w:r>
        <w:rPr>
          <w:rFonts w:hint="default" w:ascii="Times New Roman" w:hAnsi="Times New Roman" w:eastAsia="宋体" w:cs="Times New Roman"/>
          <w:b/>
          <w:color w:val="auto"/>
          <w:sz w:val="30"/>
          <w:szCs w:val="30"/>
          <w:highlight w:val="none"/>
        </w:rPr>
        <w:t>附</w:t>
      </w:r>
      <w:r>
        <w:rPr>
          <w:rFonts w:hint="default" w:ascii="Times New Roman" w:hAnsi="Times New Roman" w:eastAsia="宋体" w:cs="Times New Roman"/>
          <w:b/>
          <w:color w:val="auto"/>
          <w:sz w:val="30"/>
          <w:szCs w:val="30"/>
          <w:highlight w:val="none"/>
          <w:lang w:val="en-US" w:eastAsia="zh-CN"/>
        </w:rPr>
        <w:t>表</w:t>
      </w:r>
    </w:p>
    <w:p w14:paraId="4E33D5E9">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附表1：生态影响评价自查表</w:t>
      </w:r>
      <w:r>
        <w:rPr>
          <w:rFonts w:hint="eastAsia" w:cs="Times New Roman"/>
          <w:color w:val="auto"/>
          <w:sz w:val="24"/>
          <w:szCs w:val="24"/>
          <w:highlight w:val="none"/>
          <w:lang w:val="en-US" w:eastAsia="zh-CN"/>
        </w:rPr>
        <w:t>。</w:t>
      </w:r>
    </w:p>
    <w:p w14:paraId="3DD2AFE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p>
    <w:p w14:paraId="608E3CB3">
      <w:pPr>
        <w:keepNext w:val="0"/>
        <w:keepLines w:val="0"/>
        <w:pageBreakBefore w:val="0"/>
        <w:kinsoku/>
        <w:wordWrap/>
        <w:overflowPunct/>
        <w:topLinePunct w:val="0"/>
        <w:autoSpaceDE/>
        <w:bidi w:val="0"/>
        <w:spacing w:line="240" w:lineRule="auto"/>
        <w:jc w:val="left"/>
        <w:rPr>
          <w:rFonts w:hint="default" w:ascii="Times New Roman" w:hAnsi="Times New Roman" w:eastAsia="宋体" w:cs="Times New Roman"/>
          <w:b/>
          <w:color w:val="auto"/>
          <w:sz w:val="30"/>
          <w:szCs w:val="30"/>
          <w:highlight w:val="none"/>
          <w:lang w:val="en-US" w:eastAsia="zh-CN"/>
        </w:rPr>
      </w:pPr>
      <w:r>
        <w:rPr>
          <w:rFonts w:hint="default" w:ascii="Times New Roman" w:hAnsi="Times New Roman" w:eastAsia="宋体" w:cs="Times New Roman"/>
          <w:b/>
          <w:color w:val="auto"/>
          <w:sz w:val="30"/>
          <w:szCs w:val="30"/>
          <w:highlight w:val="none"/>
          <w:lang w:val="en-US" w:eastAsia="zh-CN"/>
        </w:rPr>
        <w:t>附件</w:t>
      </w:r>
    </w:p>
    <w:p w14:paraId="7ABF69BD">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可研批复；</w:t>
      </w:r>
    </w:p>
    <w:p w14:paraId="7909D25E">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核准</w:t>
      </w:r>
      <w:r>
        <w:rPr>
          <w:rFonts w:hint="eastAsia" w:ascii="Times New Roman" w:hAnsi="Times New Roman" w:eastAsia="宋体" w:cs="Times New Roman"/>
          <w:color w:val="auto"/>
          <w:sz w:val="24"/>
          <w:szCs w:val="24"/>
          <w:highlight w:val="none"/>
          <w:lang w:val="en-US" w:eastAsia="zh-CN"/>
        </w:rPr>
        <w:t>批复</w:t>
      </w:r>
      <w:r>
        <w:rPr>
          <w:rFonts w:hint="default" w:ascii="Times New Roman" w:hAnsi="Times New Roman" w:eastAsia="宋体" w:cs="Times New Roman"/>
          <w:color w:val="auto"/>
          <w:sz w:val="24"/>
          <w:szCs w:val="24"/>
          <w:highlight w:val="none"/>
          <w:lang w:val="en-US" w:eastAsia="zh-CN"/>
        </w:rPr>
        <w:t>；</w:t>
      </w:r>
    </w:p>
    <w:p w14:paraId="3F2CEB86">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附件3：</w:t>
      </w:r>
      <w:r>
        <w:rPr>
          <w:rFonts w:hint="eastAsia" w:ascii="Times New Roman" w:hAnsi="Times New Roman" w:eastAsia="宋体" w:cs="Times New Roman"/>
          <w:color w:val="auto"/>
          <w:sz w:val="24"/>
          <w:szCs w:val="24"/>
          <w:highlight w:val="none"/>
          <w:lang w:val="en-US" w:eastAsia="zh-CN"/>
        </w:rPr>
        <w:t>变电站用地预审与选址意见书</w:t>
      </w:r>
      <w:r>
        <w:rPr>
          <w:rFonts w:hint="default" w:ascii="Times New Roman" w:hAnsi="Times New Roman" w:eastAsia="宋体" w:cs="Times New Roman"/>
          <w:color w:val="auto"/>
          <w:sz w:val="24"/>
          <w:szCs w:val="24"/>
          <w:highlight w:val="none"/>
          <w:lang w:val="en-US" w:eastAsia="zh-CN"/>
        </w:rPr>
        <w:t>；</w:t>
      </w:r>
    </w:p>
    <w:p w14:paraId="68B3752D">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w:t>
      </w:r>
      <w:r>
        <w:rPr>
          <w:rFonts w:hint="eastAsia" w:ascii="Times New Roman" w:hAnsi="Times New Roman" w:eastAsia="宋体" w:cs="Times New Roman"/>
          <w:color w:val="auto"/>
          <w:sz w:val="24"/>
          <w:szCs w:val="24"/>
          <w:highlight w:val="none"/>
          <w:lang w:val="en-US" w:eastAsia="zh-CN"/>
        </w:rPr>
        <w:t>线路路径协议；</w:t>
      </w:r>
    </w:p>
    <w:p w14:paraId="42CBA7F1">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附件5：</w:t>
      </w:r>
      <w:r>
        <w:rPr>
          <w:rFonts w:hint="eastAsia" w:ascii="Times New Roman" w:hAnsi="Times New Roman" w:eastAsia="宋体" w:cs="Times New Roman"/>
          <w:color w:val="auto"/>
          <w:sz w:val="24"/>
          <w:szCs w:val="24"/>
          <w:highlight w:val="none"/>
          <w:lang w:val="en-US" w:eastAsia="zh-CN"/>
        </w:rPr>
        <w:t>项目相关前期环保手续</w:t>
      </w:r>
      <w:r>
        <w:rPr>
          <w:rFonts w:hint="default" w:ascii="Times New Roman" w:hAnsi="Times New Roman" w:eastAsia="宋体" w:cs="Times New Roman"/>
          <w:color w:val="auto"/>
          <w:sz w:val="24"/>
          <w:szCs w:val="24"/>
          <w:highlight w:val="none"/>
          <w:lang w:val="en-US" w:eastAsia="zh-CN"/>
        </w:rPr>
        <w:t>；</w:t>
      </w:r>
    </w:p>
    <w:p w14:paraId="1E2EFE77">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单回路噪声类比监测报告</w:t>
      </w:r>
      <w:r>
        <w:rPr>
          <w:rFonts w:hint="default" w:ascii="Times New Roman" w:hAnsi="Times New Roman" w:eastAsia="宋体" w:cs="Times New Roman"/>
          <w:color w:val="auto"/>
          <w:sz w:val="24"/>
          <w:szCs w:val="24"/>
          <w:highlight w:val="none"/>
          <w:lang w:val="en-US" w:eastAsia="zh-CN"/>
        </w:rPr>
        <w:t>；</w:t>
      </w:r>
    </w:p>
    <w:p w14:paraId="71FE7F95">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双回路噪声类比监测报告</w:t>
      </w:r>
      <w:r>
        <w:rPr>
          <w:rFonts w:hint="default" w:ascii="Times New Roman" w:hAnsi="Times New Roman" w:eastAsia="宋体" w:cs="Times New Roman"/>
          <w:color w:val="auto"/>
          <w:sz w:val="24"/>
          <w:szCs w:val="24"/>
          <w:highlight w:val="none"/>
          <w:lang w:val="en-US" w:eastAsia="zh-CN"/>
        </w:rPr>
        <w:t>；</w:t>
      </w:r>
    </w:p>
    <w:p w14:paraId="4D6DBAC2">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：变电站</w:t>
      </w:r>
      <w:r>
        <w:rPr>
          <w:rFonts w:hint="eastAsia" w:ascii="Times New Roman" w:hAnsi="Times New Roman" w:eastAsia="宋体" w:cs="Times New Roman"/>
          <w:color w:val="auto"/>
          <w:sz w:val="24"/>
          <w:szCs w:val="24"/>
          <w:highlight w:val="none"/>
          <w:lang w:val="en-US" w:eastAsia="zh-CN"/>
        </w:rPr>
        <w:t>电磁</w:t>
      </w:r>
      <w:r>
        <w:rPr>
          <w:rFonts w:hint="default" w:ascii="Times New Roman" w:hAnsi="Times New Roman" w:eastAsia="宋体" w:cs="Times New Roman"/>
          <w:color w:val="auto"/>
          <w:sz w:val="24"/>
          <w:szCs w:val="24"/>
          <w:highlight w:val="none"/>
          <w:lang w:val="en-US" w:eastAsia="zh-CN"/>
        </w:rPr>
        <w:t>类比监测报告；</w:t>
      </w:r>
    </w:p>
    <w:p w14:paraId="38566CB0">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项目现状监测报告</w:t>
      </w:r>
      <w:r>
        <w:rPr>
          <w:rFonts w:hint="default" w:ascii="Times New Roman" w:hAnsi="Times New Roman" w:eastAsia="宋体" w:cs="Times New Roman"/>
          <w:color w:val="auto"/>
          <w:sz w:val="24"/>
          <w:szCs w:val="24"/>
          <w:highlight w:val="none"/>
          <w:lang w:val="en-US" w:eastAsia="zh-CN"/>
        </w:rPr>
        <w:t>；</w:t>
      </w:r>
    </w:p>
    <w:p w14:paraId="32E5CE26">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附件10：</w:t>
      </w:r>
      <w:r>
        <w:rPr>
          <w:rFonts w:hint="default" w:ascii="Times New Roman" w:hAnsi="Times New Roman" w:eastAsia="宋体" w:cs="Times New Roman"/>
          <w:color w:val="auto"/>
          <w:sz w:val="24"/>
          <w:szCs w:val="24"/>
          <w:highlight w:val="none"/>
          <w:lang w:val="en-US" w:eastAsia="zh-CN"/>
        </w:rPr>
        <w:t>项目委托合同。</w:t>
      </w:r>
    </w:p>
    <w:p w14:paraId="0958D28F">
      <w:pPr>
        <w:pStyle w:val="11"/>
        <w:keepNext w:val="0"/>
        <w:keepLines w:val="0"/>
        <w:pageBreakBefore w:val="0"/>
        <w:kinsoku/>
        <w:wordWrap/>
        <w:overflowPunct/>
        <w:topLinePunct w:val="0"/>
        <w:autoSpaceDE/>
        <w:bidi w:val="0"/>
        <w:spacing w:before="0" w:after="0" w:line="240" w:lineRule="auto"/>
        <w:ind w:left="0" w:leftChars="0" w:firstLine="0" w:firstLineChars="0"/>
        <w:jc w:val="both"/>
        <w:rPr>
          <w:rFonts w:hint="default"/>
          <w:sz w:val="21"/>
          <w:szCs w:val="21"/>
          <w:lang w:val="en-US" w:eastAsia="zh-CN"/>
        </w:rPr>
      </w:pPr>
    </w:p>
    <w:p w14:paraId="75091A4C">
      <w:pPr>
        <w:keepNext w:val="0"/>
        <w:keepLines w:val="0"/>
        <w:pageBreakBefore w:val="0"/>
        <w:kinsoku/>
        <w:wordWrap/>
        <w:overflowPunct/>
        <w:topLinePunct w:val="0"/>
        <w:autoSpaceDE/>
        <w:autoSpaceDN w:val="0"/>
        <w:bidi w:val="0"/>
        <w:spacing w:line="240" w:lineRule="auto"/>
        <w:jc w:val="left"/>
        <w:textAlignment w:val="baseline"/>
        <w:rPr>
          <w:rFonts w:hint="default" w:ascii="Times New Roman" w:hAnsi="Times New Roman" w:eastAsia="宋体" w:cs="Times New Roman"/>
          <w:color w:val="auto"/>
          <w:highlight w:val="green"/>
        </w:rPr>
      </w:pPr>
      <w:r>
        <w:rPr>
          <w:rFonts w:hint="default" w:ascii="Times New Roman" w:hAnsi="Times New Roman" w:eastAsia="宋体" w:cs="Times New Roman"/>
          <w:b/>
          <w:color w:val="auto"/>
          <w:sz w:val="30"/>
          <w:szCs w:val="30"/>
          <w:highlight w:val="none"/>
        </w:rPr>
        <w:t>附图</w:t>
      </w:r>
    </w:p>
    <w:p w14:paraId="7D49D663">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附图1-1：项目与固原市生态保护红线位置关系图；</w:t>
      </w:r>
    </w:p>
    <w:p w14:paraId="33338682">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附图1-2：项目与固原市大气环境分区管控位置关系图</w:t>
      </w:r>
      <w:r>
        <w:rPr>
          <w:rFonts w:hint="eastAsia" w:ascii="Times New Roman" w:hAnsi="Times New Roman" w:eastAsia="宋体" w:cs="Times New Roman"/>
          <w:color w:val="auto"/>
          <w:sz w:val="24"/>
          <w:szCs w:val="24"/>
          <w:highlight w:val="none"/>
          <w:lang w:val="en-US" w:eastAsia="zh-CN"/>
        </w:rPr>
        <w:t>；</w:t>
      </w:r>
    </w:p>
    <w:p w14:paraId="2F9EA0C1">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附图1-3：项目与固原市水环境分区管控位置关系图</w:t>
      </w:r>
      <w:r>
        <w:rPr>
          <w:rFonts w:hint="eastAsia" w:ascii="Times New Roman" w:hAnsi="Times New Roman" w:eastAsia="宋体" w:cs="Times New Roman"/>
          <w:color w:val="auto"/>
          <w:sz w:val="24"/>
          <w:szCs w:val="24"/>
          <w:highlight w:val="none"/>
          <w:lang w:val="en-US" w:eastAsia="zh-CN"/>
        </w:rPr>
        <w:t>；</w:t>
      </w:r>
    </w:p>
    <w:p w14:paraId="723A1229">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附图1-4：项目与固原市土壤污染风险分区管控位置关系图</w:t>
      </w:r>
      <w:r>
        <w:rPr>
          <w:rFonts w:hint="eastAsia" w:ascii="Times New Roman" w:hAnsi="Times New Roman" w:eastAsia="宋体" w:cs="Times New Roman"/>
          <w:color w:val="auto"/>
          <w:sz w:val="24"/>
          <w:szCs w:val="24"/>
          <w:highlight w:val="none"/>
          <w:lang w:val="en-US" w:eastAsia="zh-CN"/>
        </w:rPr>
        <w:t>；</w:t>
      </w:r>
    </w:p>
    <w:p w14:paraId="79E751A2">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附图1-5：项目与固原市环境管控单元位置关系图</w:t>
      </w:r>
      <w:r>
        <w:rPr>
          <w:rFonts w:hint="eastAsia" w:ascii="Times New Roman" w:hAnsi="Times New Roman" w:eastAsia="宋体" w:cs="Times New Roman"/>
          <w:color w:val="auto"/>
          <w:sz w:val="24"/>
          <w:szCs w:val="24"/>
          <w:highlight w:val="none"/>
          <w:lang w:val="en-US" w:eastAsia="zh-CN"/>
        </w:rPr>
        <w:t>；</w:t>
      </w:r>
    </w:p>
    <w:p w14:paraId="1A023DB1">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附图2-1：项目地理位置示意图；</w:t>
      </w:r>
    </w:p>
    <w:p w14:paraId="0E92FB2C">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附图2-2：杆塔一览图；</w:t>
      </w:r>
    </w:p>
    <w:p w14:paraId="3C509A1A">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附图2-3：基础一览图；</w:t>
      </w:r>
    </w:p>
    <w:p w14:paraId="00428825">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附图2-4：变电站站区土建总平面布置图；</w:t>
      </w:r>
    </w:p>
    <w:p w14:paraId="7BD9982A">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附图2-5：变电站站区电气总平面布置图；</w:t>
      </w:r>
    </w:p>
    <w:p w14:paraId="41017E89">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附图2-6：线路路径图；</w:t>
      </w:r>
    </w:p>
    <w:p w14:paraId="1B81ACAB">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附图3-1：项目与宁夏主体功能区划位置关系图；</w:t>
      </w:r>
    </w:p>
    <w:p w14:paraId="334253FC">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附图3-2：项目与宁夏生态功能区划位置关系图；</w:t>
      </w:r>
    </w:p>
    <w:p w14:paraId="2A7C4E34">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附图3-3：项目所在区域土地利用现状图；</w:t>
      </w:r>
    </w:p>
    <w:p w14:paraId="35B1C1AD">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附图3-4：项目所在区域植被类型图；</w:t>
      </w:r>
    </w:p>
    <w:p w14:paraId="6EA9EF2C">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附图5-1：项目生态保护措施平面布置图；</w:t>
      </w:r>
    </w:p>
    <w:p w14:paraId="50877003">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附图5-2：项目典型生态保护措施设计图。</w:t>
      </w:r>
    </w:p>
    <w:p w14:paraId="543BC524">
      <w:pPr>
        <w:pStyle w:val="8"/>
        <w:keepNext w:val="0"/>
        <w:keepLines w:val="0"/>
        <w:pageBreakBefore w:val="0"/>
        <w:widowControl w:val="0"/>
        <w:kinsoku/>
        <w:wordWrap/>
        <w:overflowPunct/>
        <w:topLinePunct w:val="0"/>
        <w:autoSpaceDE/>
        <w:bidi w:val="0"/>
        <w:adjustRightInd w:val="0"/>
        <w:snapToGrid w:val="0"/>
        <w:spacing w:after="0" w:line="240" w:lineRule="auto"/>
        <w:ind w:left="0" w:leftChars="0" w:firstLine="0" w:firstLineChars="0"/>
        <w:rPr>
          <w:rFonts w:hint="default" w:ascii="Times New Roman" w:hAnsi="Times New Roman" w:eastAsia="宋体" w:cs="Times New Roman"/>
          <w:color w:val="auto"/>
          <w:sz w:val="24"/>
          <w:szCs w:val="24"/>
          <w:highlight w:val="yellow"/>
          <w:lang w:val="en-US" w:eastAsia="zh-CN"/>
        </w:rPr>
      </w:pPr>
    </w:p>
    <w:p w14:paraId="6C6CCDFA">
      <w:pPr>
        <w:rPr>
          <w:rFonts w:hint="default" w:ascii="Times New Roman" w:hAnsi="Times New Roman" w:eastAsia="宋体" w:cs="Times New Roman"/>
          <w:caps w:val="0"/>
          <w:color w:val="auto"/>
          <w:spacing w:val="0"/>
          <w:w w:val="100"/>
          <w:highlight w:val="none"/>
        </w:rPr>
        <w:sectPr>
          <w:pgSz w:w="11906" w:h="16838"/>
          <w:pgMar w:top="1440" w:right="1800" w:bottom="1440" w:left="1800" w:header="850" w:footer="850" w:gutter="0"/>
          <w:pgBorders>
            <w:top w:val="none" w:sz="0" w:space="0"/>
            <w:left w:val="none" w:sz="0" w:space="0"/>
            <w:bottom w:val="none" w:sz="0" w:space="0"/>
            <w:right w:val="none" w:sz="0" w:space="0"/>
          </w:pgBorders>
          <w:pgNumType w:fmt="numberInDash" w:start="1"/>
          <w:cols w:space="720" w:num="1"/>
          <w:docGrid w:linePitch="381" w:charSpace="0"/>
        </w:sectPr>
      </w:pPr>
    </w:p>
    <w:p w14:paraId="745DB115">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4" w:name="_Toc338"/>
      <w:r>
        <w:rPr>
          <w:rFonts w:ascii="Times New Roman" w:hAnsi="Times New Roman" w:eastAsia="黑体"/>
          <w:b/>
          <w:bCs/>
          <w:snapToGrid w:val="0"/>
          <w:color w:val="auto"/>
          <w:sz w:val="30"/>
          <w:szCs w:val="30"/>
          <w:highlight w:val="none"/>
        </w:rPr>
        <w:t>一、建设项目基本情况</w:t>
      </w:r>
      <w:bookmarkEnd w:id="4"/>
    </w:p>
    <w:tbl>
      <w:tblPr>
        <w:tblStyle w:val="28"/>
        <w:tblW w:w="94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72"/>
        <w:gridCol w:w="1033"/>
        <w:gridCol w:w="2201"/>
        <w:gridCol w:w="2355"/>
        <w:gridCol w:w="3134"/>
      </w:tblGrid>
      <w:tr w14:paraId="00FBB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495F5E43">
            <w:pPr>
              <w:adjustRightInd w:val="0"/>
              <w:snapToGrid w:val="0"/>
              <w:jc w:val="center"/>
              <w:rPr>
                <w:color w:val="auto"/>
                <w:sz w:val="24"/>
                <w:highlight w:val="none"/>
              </w:rPr>
            </w:pPr>
            <w:r>
              <w:rPr>
                <w:color w:val="auto"/>
                <w:sz w:val="24"/>
                <w:highlight w:val="none"/>
              </w:rPr>
              <w:t>建设项目名称</w:t>
            </w:r>
          </w:p>
        </w:tc>
        <w:tc>
          <w:tcPr>
            <w:tcW w:w="7690" w:type="dxa"/>
            <w:gridSpan w:val="3"/>
            <w:vAlign w:val="center"/>
          </w:tcPr>
          <w:p w14:paraId="6AB01AA9">
            <w:pPr>
              <w:adjustRightInd w:val="0"/>
              <w:snapToGrid w:val="0"/>
              <w:jc w:val="center"/>
              <w:rPr>
                <w:color w:val="auto"/>
                <w:sz w:val="24"/>
                <w:highlight w:val="none"/>
              </w:rPr>
            </w:pPr>
            <w:r>
              <w:rPr>
                <w:rFonts w:hint="eastAsia"/>
                <w:color w:val="auto"/>
                <w:sz w:val="24"/>
                <w:highlight w:val="none"/>
              </w:rPr>
              <w:t>宁夏</w:t>
            </w:r>
            <w:r>
              <w:rPr>
                <w:rFonts w:hint="eastAsia"/>
                <w:color w:val="auto"/>
                <w:sz w:val="24"/>
                <w:highlight w:val="none"/>
                <w:lang w:val="en-US" w:eastAsia="zh-CN"/>
              </w:rPr>
              <w:t>固原张程</w:t>
            </w:r>
            <w:r>
              <w:rPr>
                <w:rFonts w:hint="eastAsia"/>
                <w:color w:val="auto"/>
                <w:sz w:val="24"/>
                <w:highlight w:val="none"/>
              </w:rPr>
              <w:t>110千伏输变电工程</w:t>
            </w:r>
          </w:p>
        </w:tc>
      </w:tr>
      <w:tr w14:paraId="6D1E4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546580F0">
            <w:pPr>
              <w:adjustRightInd w:val="0"/>
              <w:snapToGrid w:val="0"/>
              <w:jc w:val="center"/>
              <w:rPr>
                <w:color w:val="auto"/>
                <w:sz w:val="24"/>
                <w:highlight w:val="none"/>
              </w:rPr>
            </w:pPr>
            <w:r>
              <w:rPr>
                <w:color w:val="auto"/>
                <w:sz w:val="24"/>
                <w:highlight w:val="none"/>
              </w:rPr>
              <w:t>项目代码</w:t>
            </w:r>
          </w:p>
        </w:tc>
        <w:tc>
          <w:tcPr>
            <w:tcW w:w="7690" w:type="dxa"/>
            <w:gridSpan w:val="3"/>
            <w:vAlign w:val="center"/>
          </w:tcPr>
          <w:p w14:paraId="55104B1B">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2509-640423-04-01-366537</w:t>
            </w:r>
          </w:p>
        </w:tc>
      </w:tr>
      <w:tr w14:paraId="35E6A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3CAC7539">
            <w:pPr>
              <w:adjustRightInd w:val="0"/>
              <w:snapToGrid w:val="0"/>
              <w:jc w:val="center"/>
              <w:rPr>
                <w:color w:val="auto"/>
                <w:sz w:val="24"/>
                <w:highlight w:val="none"/>
              </w:rPr>
            </w:pPr>
            <w:r>
              <w:rPr>
                <w:color w:val="auto"/>
                <w:sz w:val="24"/>
                <w:highlight w:val="none"/>
              </w:rPr>
              <w:t>建设单位联系人</w:t>
            </w:r>
          </w:p>
        </w:tc>
        <w:tc>
          <w:tcPr>
            <w:tcW w:w="2201" w:type="dxa"/>
            <w:vAlign w:val="center"/>
          </w:tcPr>
          <w:p w14:paraId="3F19D211">
            <w:pPr>
              <w:adjustRightInd w:val="0"/>
              <w:snapToGrid w:val="0"/>
              <w:jc w:val="center"/>
              <w:rPr>
                <w:color w:val="auto"/>
                <w:sz w:val="24"/>
                <w:highlight w:val="none"/>
              </w:rPr>
            </w:pPr>
            <w:r>
              <w:rPr>
                <w:rFonts w:hint="eastAsia"/>
                <w:color w:val="auto"/>
                <w:sz w:val="24"/>
                <w:highlight w:val="none"/>
              </w:rPr>
              <w:t>妥平</w:t>
            </w:r>
          </w:p>
        </w:tc>
        <w:tc>
          <w:tcPr>
            <w:tcW w:w="2355" w:type="dxa"/>
            <w:vAlign w:val="center"/>
          </w:tcPr>
          <w:p w14:paraId="5C9C9F28">
            <w:pPr>
              <w:adjustRightInd w:val="0"/>
              <w:snapToGrid w:val="0"/>
              <w:jc w:val="center"/>
              <w:rPr>
                <w:color w:val="auto"/>
                <w:sz w:val="24"/>
                <w:highlight w:val="none"/>
              </w:rPr>
            </w:pPr>
            <w:r>
              <w:rPr>
                <w:color w:val="auto"/>
                <w:sz w:val="24"/>
                <w:highlight w:val="none"/>
              </w:rPr>
              <w:t>联系方式</w:t>
            </w:r>
          </w:p>
        </w:tc>
        <w:tc>
          <w:tcPr>
            <w:tcW w:w="3134" w:type="dxa"/>
            <w:vAlign w:val="center"/>
          </w:tcPr>
          <w:p w14:paraId="7F929838">
            <w:pPr>
              <w:adjustRightInd w:val="0"/>
              <w:snapToGrid w:val="0"/>
              <w:jc w:val="center"/>
              <w:rPr>
                <w:color w:val="auto"/>
                <w:sz w:val="24"/>
                <w:highlight w:val="none"/>
              </w:rPr>
            </w:pPr>
            <w:r>
              <w:rPr>
                <w:rFonts w:hint="eastAsia"/>
                <w:color w:val="auto"/>
                <w:sz w:val="24"/>
                <w:highlight w:val="none"/>
              </w:rPr>
              <w:t>13995422008</w:t>
            </w:r>
          </w:p>
        </w:tc>
      </w:tr>
      <w:tr w14:paraId="30850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6BF94E0E">
            <w:pPr>
              <w:adjustRightInd w:val="0"/>
              <w:snapToGrid w:val="0"/>
              <w:jc w:val="center"/>
              <w:rPr>
                <w:color w:val="auto"/>
                <w:sz w:val="24"/>
                <w:highlight w:val="none"/>
              </w:rPr>
            </w:pPr>
            <w:r>
              <w:rPr>
                <w:color w:val="auto"/>
                <w:sz w:val="24"/>
                <w:highlight w:val="none"/>
              </w:rPr>
              <w:t>建设地点</w:t>
            </w:r>
          </w:p>
        </w:tc>
        <w:tc>
          <w:tcPr>
            <w:tcW w:w="7690" w:type="dxa"/>
            <w:gridSpan w:val="3"/>
            <w:vAlign w:val="center"/>
          </w:tcPr>
          <w:p w14:paraId="563453F0">
            <w:pPr>
              <w:adjustRightInd w:val="0"/>
              <w:snapToGrid w:val="0"/>
              <w:jc w:val="center"/>
              <w:rPr>
                <w:rFonts w:hint="default" w:eastAsia="宋体"/>
                <w:color w:val="auto"/>
                <w:sz w:val="24"/>
                <w:highlight w:val="none"/>
                <w:lang w:val="en-US" w:eastAsia="zh-CN"/>
              </w:rPr>
            </w:pPr>
            <w:r>
              <w:rPr>
                <w:color w:val="auto"/>
                <w:sz w:val="24"/>
                <w:highlight w:val="none"/>
              </w:rPr>
              <w:t>宁夏回族自治区</w:t>
            </w:r>
            <w:r>
              <w:rPr>
                <w:rFonts w:hint="eastAsia"/>
                <w:color w:val="auto"/>
                <w:sz w:val="24"/>
                <w:highlight w:val="none"/>
                <w:lang w:val="en-US" w:eastAsia="zh-CN"/>
              </w:rPr>
              <w:t>固原市隆德县******</w:t>
            </w:r>
          </w:p>
        </w:tc>
      </w:tr>
      <w:tr w14:paraId="7D4CF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7B00559F">
            <w:pPr>
              <w:adjustRightInd w:val="0"/>
              <w:snapToGrid w:val="0"/>
              <w:jc w:val="center"/>
              <w:rPr>
                <w:color w:val="auto"/>
                <w:sz w:val="24"/>
                <w:highlight w:val="none"/>
              </w:rPr>
            </w:pPr>
            <w:r>
              <w:rPr>
                <w:color w:val="auto"/>
                <w:sz w:val="24"/>
                <w:highlight w:val="none"/>
              </w:rPr>
              <w:t>地理坐标</w:t>
            </w:r>
          </w:p>
        </w:tc>
        <w:tc>
          <w:tcPr>
            <w:tcW w:w="7690" w:type="dxa"/>
            <w:gridSpan w:val="3"/>
            <w:vAlign w:val="center"/>
          </w:tcPr>
          <w:p w14:paraId="56E1B1D1">
            <w:pPr>
              <w:adjustRightInd w:val="0"/>
              <w:snapToGrid w:val="0"/>
              <w:rPr>
                <w:color w:val="auto"/>
                <w:sz w:val="24"/>
                <w:highlight w:val="none"/>
              </w:rPr>
            </w:pPr>
            <w:r>
              <w:rPr>
                <w:rFonts w:hint="eastAsia"/>
                <w:b/>
                <w:bCs/>
                <w:color w:val="auto"/>
                <w:sz w:val="24"/>
                <w:highlight w:val="none"/>
                <w:lang w:val="en-US" w:eastAsia="zh-CN"/>
              </w:rPr>
              <w:t>①新建张程110千伏变电站工程：</w:t>
            </w:r>
            <w:r>
              <w:rPr>
                <w:color w:val="auto"/>
                <w:sz w:val="24"/>
                <w:highlight w:val="none"/>
              </w:rPr>
              <w:t>（</w:t>
            </w:r>
            <w:r>
              <w:rPr>
                <w:color w:val="auto"/>
                <w:sz w:val="24"/>
                <w:highlight w:val="none"/>
                <w:u w:val="single"/>
              </w:rPr>
              <w:t>10</w:t>
            </w:r>
            <w:r>
              <w:rPr>
                <w:rFonts w:hint="eastAsia"/>
                <w:color w:val="auto"/>
                <w:sz w:val="24"/>
                <w:highlight w:val="none"/>
                <w:u w:val="single"/>
                <w:lang w:val="en-US" w:eastAsia="zh-CN"/>
              </w:rPr>
              <w:t>5</w:t>
            </w:r>
            <w:r>
              <w:rPr>
                <w:color w:val="auto"/>
                <w:sz w:val="24"/>
                <w:highlight w:val="none"/>
              </w:rPr>
              <w:t>度</w:t>
            </w:r>
            <w:r>
              <w:rPr>
                <w:rFonts w:hint="eastAsia"/>
                <w:color w:val="auto"/>
                <w:sz w:val="24"/>
                <w:highlight w:val="none"/>
                <w:u w:val="single"/>
                <w:lang w:val="en-US" w:eastAsia="zh-CN"/>
              </w:rPr>
              <w:t>54</w:t>
            </w:r>
            <w:r>
              <w:rPr>
                <w:color w:val="auto"/>
                <w:sz w:val="24"/>
                <w:highlight w:val="none"/>
              </w:rPr>
              <w:t>分</w:t>
            </w:r>
            <w:r>
              <w:rPr>
                <w:rFonts w:hint="eastAsia"/>
                <w:color w:val="auto"/>
                <w:sz w:val="24"/>
                <w:highlight w:val="none"/>
                <w:u w:val="single"/>
                <w:lang w:val="en-US" w:eastAsia="zh-CN"/>
              </w:rPr>
              <w:t>7.510</w:t>
            </w:r>
            <w:r>
              <w:rPr>
                <w:color w:val="auto"/>
                <w:sz w:val="24"/>
                <w:highlight w:val="none"/>
              </w:rPr>
              <w:t>秒，</w:t>
            </w:r>
            <w:r>
              <w:rPr>
                <w:color w:val="auto"/>
                <w:sz w:val="24"/>
                <w:highlight w:val="none"/>
                <w:u w:val="single"/>
              </w:rPr>
              <w:t>3</w:t>
            </w:r>
            <w:r>
              <w:rPr>
                <w:rFonts w:hint="eastAsia"/>
                <w:color w:val="auto"/>
                <w:sz w:val="24"/>
                <w:highlight w:val="none"/>
                <w:u w:val="single"/>
                <w:lang w:val="en-US" w:eastAsia="zh-CN"/>
              </w:rPr>
              <w:t>5</w:t>
            </w:r>
            <w:r>
              <w:rPr>
                <w:color w:val="auto"/>
                <w:sz w:val="24"/>
                <w:highlight w:val="none"/>
              </w:rPr>
              <w:t>度</w:t>
            </w:r>
            <w:r>
              <w:rPr>
                <w:rFonts w:hint="eastAsia"/>
                <w:color w:val="auto"/>
                <w:sz w:val="24"/>
                <w:highlight w:val="none"/>
                <w:u w:val="single"/>
                <w:lang w:val="en-US" w:eastAsia="zh-CN"/>
              </w:rPr>
              <w:t>39</w:t>
            </w:r>
            <w:r>
              <w:rPr>
                <w:color w:val="auto"/>
                <w:sz w:val="24"/>
                <w:highlight w:val="none"/>
              </w:rPr>
              <w:t>分</w:t>
            </w:r>
            <w:r>
              <w:rPr>
                <w:rFonts w:hint="eastAsia"/>
                <w:color w:val="auto"/>
                <w:sz w:val="24"/>
                <w:highlight w:val="none"/>
                <w:u w:val="single"/>
                <w:lang w:val="en-US" w:eastAsia="zh-CN"/>
              </w:rPr>
              <w:t>55.497</w:t>
            </w:r>
            <w:r>
              <w:rPr>
                <w:color w:val="auto"/>
                <w:sz w:val="24"/>
                <w:highlight w:val="none"/>
              </w:rPr>
              <w:t>秒）；</w:t>
            </w:r>
          </w:p>
          <w:p w14:paraId="6F647E45">
            <w:pPr>
              <w:adjustRightInd w:val="0"/>
              <w:snapToGrid w:val="0"/>
              <w:rPr>
                <w:rFonts w:hint="eastAsia" w:eastAsia="宋体"/>
                <w:color w:val="auto"/>
                <w:highlight w:val="none"/>
                <w:lang w:eastAsia="zh-CN"/>
              </w:rPr>
            </w:pPr>
            <w:r>
              <w:rPr>
                <w:rFonts w:hint="eastAsia"/>
                <w:b/>
                <w:bCs/>
                <w:color w:val="auto"/>
                <w:sz w:val="24"/>
                <w:highlight w:val="none"/>
                <w:lang w:val="en-US" w:eastAsia="zh-CN"/>
              </w:rPr>
              <w:t>②新建渝河110千伏变电站~张程变110千伏线路工程</w:t>
            </w:r>
            <w:r>
              <w:rPr>
                <w:b/>
                <w:bCs/>
                <w:color w:val="auto"/>
                <w:sz w:val="24"/>
                <w:highlight w:val="none"/>
              </w:rPr>
              <w:t>：</w:t>
            </w:r>
            <w:r>
              <w:rPr>
                <w:color w:val="auto"/>
                <w:sz w:val="24"/>
                <w:highlight w:val="none"/>
              </w:rPr>
              <w:t>起点（</w:t>
            </w:r>
            <w:r>
              <w:rPr>
                <w:color w:val="auto"/>
                <w:sz w:val="24"/>
                <w:highlight w:val="none"/>
                <w:u w:val="single"/>
              </w:rPr>
              <w:t>106</w:t>
            </w:r>
            <w:r>
              <w:rPr>
                <w:color w:val="auto"/>
                <w:sz w:val="24"/>
                <w:highlight w:val="none"/>
              </w:rPr>
              <w:t>度</w:t>
            </w:r>
            <w:r>
              <w:rPr>
                <w:rFonts w:hint="eastAsia"/>
                <w:color w:val="auto"/>
                <w:sz w:val="24"/>
                <w:highlight w:val="none"/>
                <w:u w:val="single"/>
                <w:lang w:val="en-US" w:eastAsia="zh-CN"/>
              </w:rPr>
              <w:t>1</w:t>
            </w:r>
            <w:r>
              <w:rPr>
                <w:color w:val="auto"/>
                <w:sz w:val="24"/>
                <w:highlight w:val="none"/>
              </w:rPr>
              <w:t>分</w:t>
            </w:r>
            <w:r>
              <w:rPr>
                <w:rFonts w:hint="eastAsia"/>
                <w:color w:val="auto"/>
                <w:sz w:val="24"/>
                <w:highlight w:val="none"/>
                <w:u w:val="single"/>
                <w:lang w:val="en-US" w:eastAsia="zh-CN"/>
              </w:rPr>
              <w:t>59.965</w:t>
            </w:r>
            <w:r>
              <w:rPr>
                <w:color w:val="auto"/>
                <w:sz w:val="24"/>
                <w:highlight w:val="none"/>
              </w:rPr>
              <w:t>秒，</w:t>
            </w:r>
            <w:r>
              <w:rPr>
                <w:color w:val="auto"/>
                <w:sz w:val="24"/>
                <w:highlight w:val="none"/>
                <w:u w:val="single"/>
              </w:rPr>
              <w:t>3</w:t>
            </w:r>
            <w:r>
              <w:rPr>
                <w:rFonts w:hint="eastAsia"/>
                <w:color w:val="auto"/>
                <w:sz w:val="24"/>
                <w:highlight w:val="none"/>
                <w:u w:val="single"/>
                <w:lang w:val="en-US" w:eastAsia="zh-CN"/>
              </w:rPr>
              <w:t>5</w:t>
            </w:r>
            <w:r>
              <w:rPr>
                <w:color w:val="auto"/>
                <w:sz w:val="24"/>
                <w:highlight w:val="none"/>
              </w:rPr>
              <w:t>度</w:t>
            </w:r>
            <w:r>
              <w:rPr>
                <w:rFonts w:hint="eastAsia"/>
                <w:color w:val="auto"/>
                <w:sz w:val="24"/>
                <w:highlight w:val="none"/>
                <w:u w:val="single"/>
                <w:lang w:val="en-US" w:eastAsia="zh-CN"/>
              </w:rPr>
              <w:t>36</w:t>
            </w:r>
            <w:r>
              <w:rPr>
                <w:color w:val="auto"/>
                <w:sz w:val="24"/>
                <w:highlight w:val="none"/>
              </w:rPr>
              <w:t>分</w:t>
            </w:r>
            <w:r>
              <w:rPr>
                <w:rFonts w:hint="eastAsia"/>
                <w:color w:val="auto"/>
                <w:sz w:val="24"/>
                <w:highlight w:val="none"/>
                <w:u w:val="single"/>
                <w:lang w:val="en-US" w:eastAsia="zh-CN"/>
              </w:rPr>
              <w:t>52.866</w:t>
            </w:r>
            <w:r>
              <w:rPr>
                <w:color w:val="auto"/>
                <w:sz w:val="24"/>
                <w:highlight w:val="none"/>
              </w:rPr>
              <w:t>秒），终点</w:t>
            </w:r>
            <w:r>
              <w:rPr>
                <w:color w:val="auto"/>
                <w:sz w:val="24"/>
                <w:highlight w:val="none"/>
                <w:u w:val="single"/>
              </w:rPr>
              <w:t>10</w:t>
            </w:r>
            <w:r>
              <w:rPr>
                <w:rFonts w:hint="eastAsia"/>
                <w:color w:val="auto"/>
                <w:sz w:val="24"/>
                <w:highlight w:val="none"/>
                <w:u w:val="single"/>
                <w:lang w:val="en-US" w:eastAsia="zh-CN"/>
              </w:rPr>
              <w:t>5</w:t>
            </w:r>
            <w:r>
              <w:rPr>
                <w:color w:val="auto"/>
                <w:sz w:val="24"/>
                <w:highlight w:val="none"/>
              </w:rPr>
              <w:t>度</w:t>
            </w:r>
            <w:r>
              <w:rPr>
                <w:rFonts w:hint="eastAsia"/>
                <w:color w:val="auto"/>
                <w:sz w:val="24"/>
                <w:highlight w:val="none"/>
                <w:u w:val="single"/>
                <w:lang w:val="en-US" w:eastAsia="zh-CN"/>
              </w:rPr>
              <w:t>54</w:t>
            </w:r>
            <w:r>
              <w:rPr>
                <w:color w:val="auto"/>
                <w:sz w:val="24"/>
                <w:highlight w:val="none"/>
              </w:rPr>
              <w:t>分</w:t>
            </w:r>
            <w:r>
              <w:rPr>
                <w:rFonts w:hint="eastAsia"/>
                <w:color w:val="auto"/>
                <w:sz w:val="24"/>
                <w:highlight w:val="none"/>
                <w:u w:val="single"/>
                <w:lang w:val="en-US" w:eastAsia="zh-CN"/>
              </w:rPr>
              <w:t>8.785</w:t>
            </w:r>
            <w:r>
              <w:rPr>
                <w:color w:val="auto"/>
                <w:sz w:val="24"/>
                <w:highlight w:val="none"/>
              </w:rPr>
              <w:t>秒，</w:t>
            </w:r>
            <w:r>
              <w:rPr>
                <w:color w:val="auto"/>
                <w:sz w:val="24"/>
                <w:highlight w:val="none"/>
                <w:u w:val="single"/>
              </w:rPr>
              <w:t>3</w:t>
            </w:r>
            <w:r>
              <w:rPr>
                <w:rFonts w:hint="eastAsia"/>
                <w:color w:val="auto"/>
                <w:sz w:val="24"/>
                <w:highlight w:val="none"/>
                <w:u w:val="single"/>
                <w:lang w:val="en-US" w:eastAsia="zh-CN"/>
              </w:rPr>
              <w:t>5</w:t>
            </w:r>
            <w:r>
              <w:rPr>
                <w:color w:val="auto"/>
                <w:sz w:val="24"/>
                <w:highlight w:val="none"/>
              </w:rPr>
              <w:t>度</w:t>
            </w:r>
            <w:r>
              <w:rPr>
                <w:rFonts w:hint="eastAsia"/>
                <w:color w:val="auto"/>
                <w:sz w:val="24"/>
                <w:highlight w:val="none"/>
                <w:u w:val="single"/>
                <w:lang w:val="en-US" w:eastAsia="zh-CN"/>
              </w:rPr>
              <w:t>39</w:t>
            </w:r>
            <w:r>
              <w:rPr>
                <w:color w:val="auto"/>
                <w:sz w:val="24"/>
                <w:highlight w:val="none"/>
              </w:rPr>
              <w:t>分</w:t>
            </w:r>
            <w:r>
              <w:rPr>
                <w:rFonts w:hint="eastAsia"/>
                <w:color w:val="auto"/>
                <w:sz w:val="24"/>
                <w:highlight w:val="none"/>
                <w:u w:val="single"/>
                <w:lang w:val="en-US" w:eastAsia="zh-CN"/>
              </w:rPr>
              <w:t>56.064</w:t>
            </w:r>
            <w:r>
              <w:rPr>
                <w:color w:val="auto"/>
                <w:sz w:val="24"/>
                <w:highlight w:val="none"/>
              </w:rPr>
              <w:t>秒）</w:t>
            </w:r>
            <w:r>
              <w:rPr>
                <w:rFonts w:hint="eastAsia"/>
                <w:color w:val="auto"/>
                <w:sz w:val="24"/>
                <w:highlight w:val="none"/>
                <w:lang w:eastAsia="zh-CN"/>
              </w:rPr>
              <w:t>。</w:t>
            </w:r>
          </w:p>
        </w:tc>
      </w:tr>
      <w:tr w14:paraId="2B4C1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0DB16822">
            <w:pPr>
              <w:adjustRightInd w:val="0"/>
              <w:snapToGrid w:val="0"/>
              <w:jc w:val="center"/>
              <w:rPr>
                <w:color w:val="auto"/>
                <w:sz w:val="24"/>
                <w:highlight w:val="none"/>
              </w:rPr>
            </w:pPr>
            <w:r>
              <w:rPr>
                <w:color w:val="auto"/>
                <w:sz w:val="24"/>
                <w:highlight w:val="none"/>
              </w:rPr>
              <w:t>建设项目行业类别</w:t>
            </w:r>
          </w:p>
        </w:tc>
        <w:tc>
          <w:tcPr>
            <w:tcW w:w="2201" w:type="dxa"/>
            <w:vAlign w:val="center"/>
          </w:tcPr>
          <w:p w14:paraId="69F49EEA">
            <w:pPr>
              <w:adjustRightInd w:val="0"/>
              <w:snapToGrid w:val="0"/>
              <w:jc w:val="center"/>
              <w:rPr>
                <w:color w:val="auto"/>
                <w:sz w:val="24"/>
                <w:highlight w:val="none"/>
              </w:rPr>
            </w:pPr>
            <w:r>
              <w:rPr>
                <w:color w:val="auto"/>
                <w:sz w:val="24"/>
                <w:highlight w:val="none"/>
              </w:rPr>
              <w:t>五十五、核与辐射：161输变电工程</w:t>
            </w:r>
          </w:p>
        </w:tc>
        <w:tc>
          <w:tcPr>
            <w:tcW w:w="2355" w:type="dxa"/>
            <w:vAlign w:val="center"/>
          </w:tcPr>
          <w:p w14:paraId="68816A8C">
            <w:pPr>
              <w:adjustRightInd w:val="0"/>
              <w:snapToGrid w:val="0"/>
              <w:jc w:val="center"/>
              <w:rPr>
                <w:color w:val="auto"/>
                <w:sz w:val="24"/>
                <w:highlight w:val="none"/>
              </w:rPr>
            </w:pPr>
            <w:r>
              <w:rPr>
                <w:rFonts w:hint="default" w:ascii="Times New Roman" w:hAnsi="Times New Roman" w:cs="Times New Roman"/>
                <w:color w:val="auto"/>
                <w:sz w:val="24"/>
                <w:highlight w:val="none"/>
              </w:rPr>
              <w:t>用地（用海）面积（m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）/长度（km）</w:t>
            </w:r>
          </w:p>
        </w:tc>
        <w:tc>
          <w:tcPr>
            <w:tcW w:w="3134" w:type="dxa"/>
            <w:vAlign w:val="center"/>
          </w:tcPr>
          <w:p w14:paraId="47E15A25">
            <w:pPr>
              <w:adjustRightInd w:val="0"/>
              <w:snapToGrid w:val="0"/>
              <w:jc w:val="center"/>
              <w:rPr>
                <w:color w:val="auto"/>
                <w:sz w:val="24"/>
                <w:highlight w:val="none"/>
              </w:rPr>
            </w:pPr>
            <w:r>
              <w:rPr>
                <w:rFonts w:hint="eastAsia" w:cs="Times New Roman" w:eastAsiaTheme="minorEastAsia"/>
                <w:color w:val="auto"/>
                <w:sz w:val="24"/>
                <w:highlight w:val="none"/>
                <w:lang w:val="en-US" w:eastAsia="zh-CN"/>
              </w:rPr>
              <w:t>75598</w:t>
            </w:r>
            <w:r>
              <w:rPr>
                <w:color w:val="auto"/>
                <w:sz w:val="24"/>
                <w:highlight w:val="none"/>
              </w:rPr>
              <w:t>m</w:t>
            </w:r>
            <w:r>
              <w:rPr>
                <w:color w:val="auto"/>
                <w:sz w:val="24"/>
                <w:highlight w:val="none"/>
                <w:vertAlign w:val="superscript"/>
              </w:rPr>
              <w:t>2</w:t>
            </w:r>
            <w:r>
              <w:rPr>
                <w:rFonts w:hint="eastAsia"/>
                <w:color w:val="auto"/>
                <w:sz w:val="24"/>
                <w:highlight w:val="none"/>
                <w:lang w:val="en-US" w:eastAsia="zh-CN"/>
              </w:rPr>
              <w:t>/</w:t>
            </w:r>
            <w:r>
              <w:rPr>
                <w:rFonts w:hint="eastAsia"/>
                <w:color w:val="auto"/>
                <w:sz w:val="24"/>
                <w:highlight w:val="none"/>
              </w:rPr>
              <w:t>长度</w:t>
            </w:r>
            <w:r>
              <w:rPr>
                <w:rFonts w:hint="eastAsia"/>
                <w:color w:val="auto"/>
                <w:sz w:val="24"/>
                <w:highlight w:val="none"/>
                <w:lang w:val="en-US" w:eastAsia="zh-CN"/>
              </w:rPr>
              <w:t>14.23</w:t>
            </w:r>
            <w:r>
              <w:rPr>
                <w:rFonts w:hint="eastAsia"/>
                <w:color w:val="auto"/>
                <w:sz w:val="24"/>
                <w:highlight w:val="none"/>
              </w:rPr>
              <w:t>km</w:t>
            </w:r>
          </w:p>
        </w:tc>
      </w:tr>
      <w:tr w14:paraId="3D71A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21F7CD64">
            <w:pPr>
              <w:adjustRightInd w:val="0"/>
              <w:snapToGrid w:val="0"/>
              <w:jc w:val="center"/>
              <w:rPr>
                <w:color w:val="auto"/>
                <w:sz w:val="24"/>
                <w:highlight w:val="none"/>
              </w:rPr>
            </w:pPr>
            <w:r>
              <w:rPr>
                <w:color w:val="auto"/>
                <w:sz w:val="24"/>
                <w:highlight w:val="none"/>
              </w:rPr>
              <w:t>建设性质</w:t>
            </w:r>
          </w:p>
        </w:tc>
        <w:tc>
          <w:tcPr>
            <w:tcW w:w="2201" w:type="dxa"/>
            <w:vAlign w:val="center"/>
          </w:tcPr>
          <w:p w14:paraId="3A8F2E6D">
            <w:pPr>
              <w:adjustRightInd w:val="0"/>
              <w:snapToGrid w:val="0"/>
              <w:jc w:val="left"/>
              <w:rPr>
                <w:color w:val="auto"/>
                <w:sz w:val="24"/>
                <w:highlight w:val="none"/>
              </w:rPr>
            </w:pPr>
            <w:r>
              <w:rPr>
                <w:color w:val="auto"/>
                <w:sz w:val="24"/>
                <w:highlight w:val="none"/>
              </w:rPr>
              <w:sym w:font="Wingdings 2" w:char="0052"/>
            </w:r>
            <w:r>
              <w:rPr>
                <w:color w:val="auto"/>
                <w:sz w:val="24"/>
                <w:highlight w:val="none"/>
              </w:rPr>
              <w:t>新建（迁建）</w:t>
            </w:r>
          </w:p>
          <w:p w14:paraId="21F4CECF">
            <w:pPr>
              <w:adjustRightInd w:val="0"/>
              <w:snapToGrid w:val="0"/>
              <w:jc w:val="left"/>
              <w:rPr>
                <w:color w:val="auto"/>
                <w:sz w:val="24"/>
                <w:highlight w:val="none"/>
              </w:rPr>
            </w:pPr>
            <w:r>
              <w:rPr>
                <w:color w:val="auto"/>
                <w:sz w:val="24"/>
                <w:highlight w:val="none"/>
              </w:rPr>
              <w:t>□改建</w:t>
            </w:r>
          </w:p>
          <w:p w14:paraId="47AEB26A">
            <w:pPr>
              <w:adjustRightInd w:val="0"/>
              <w:snapToGrid w:val="0"/>
              <w:jc w:val="left"/>
              <w:rPr>
                <w:color w:val="auto"/>
                <w:sz w:val="24"/>
                <w:highlight w:val="none"/>
              </w:rPr>
            </w:pPr>
            <w:r>
              <w:rPr>
                <w:color w:val="auto"/>
                <w:sz w:val="24"/>
                <w:highlight w:val="none"/>
              </w:rPr>
              <w:t>□扩建</w:t>
            </w:r>
          </w:p>
          <w:p w14:paraId="13FF76D6">
            <w:pPr>
              <w:adjustRightInd w:val="0"/>
              <w:snapToGrid w:val="0"/>
              <w:jc w:val="left"/>
              <w:rPr>
                <w:color w:val="auto"/>
                <w:sz w:val="24"/>
                <w:highlight w:val="none"/>
              </w:rPr>
            </w:pPr>
            <w:r>
              <w:rPr>
                <w:color w:val="auto"/>
                <w:sz w:val="24"/>
                <w:highlight w:val="none"/>
              </w:rPr>
              <w:t>□技术改造</w:t>
            </w:r>
          </w:p>
        </w:tc>
        <w:tc>
          <w:tcPr>
            <w:tcW w:w="2355" w:type="dxa"/>
            <w:vAlign w:val="center"/>
          </w:tcPr>
          <w:p w14:paraId="4A7E998D">
            <w:pPr>
              <w:adjustRightInd w:val="0"/>
              <w:snapToGrid w:val="0"/>
              <w:jc w:val="center"/>
              <w:rPr>
                <w:color w:val="auto"/>
                <w:sz w:val="24"/>
                <w:highlight w:val="none"/>
              </w:rPr>
            </w:pPr>
            <w:r>
              <w:rPr>
                <w:color w:val="auto"/>
                <w:sz w:val="24"/>
                <w:highlight w:val="none"/>
              </w:rPr>
              <w:t>建设项目</w:t>
            </w:r>
          </w:p>
          <w:p w14:paraId="75D59DB2">
            <w:pPr>
              <w:adjustRightInd w:val="0"/>
              <w:snapToGrid w:val="0"/>
              <w:jc w:val="center"/>
              <w:rPr>
                <w:color w:val="auto"/>
                <w:sz w:val="24"/>
                <w:highlight w:val="none"/>
              </w:rPr>
            </w:pPr>
            <w:r>
              <w:rPr>
                <w:color w:val="auto"/>
                <w:sz w:val="24"/>
                <w:highlight w:val="none"/>
              </w:rPr>
              <w:t>申报情形</w:t>
            </w:r>
          </w:p>
        </w:tc>
        <w:tc>
          <w:tcPr>
            <w:tcW w:w="3134" w:type="dxa"/>
            <w:vAlign w:val="center"/>
          </w:tcPr>
          <w:p w14:paraId="1F0FAFF3">
            <w:pPr>
              <w:adjustRightInd w:val="0"/>
              <w:snapToGrid w:val="0"/>
              <w:jc w:val="left"/>
              <w:rPr>
                <w:color w:val="auto"/>
                <w:sz w:val="24"/>
                <w:highlight w:val="none"/>
              </w:rPr>
            </w:pPr>
            <w:r>
              <w:rPr>
                <w:color w:val="auto"/>
                <w:sz w:val="24"/>
                <w:highlight w:val="none"/>
              </w:rPr>
              <w:sym w:font="Wingdings 2" w:char="0052"/>
            </w:r>
            <w:r>
              <w:rPr>
                <w:color w:val="auto"/>
                <w:sz w:val="24"/>
                <w:highlight w:val="none"/>
              </w:rPr>
              <w:t>首次申报项目</w:t>
            </w:r>
          </w:p>
          <w:p w14:paraId="37DDC18A">
            <w:pPr>
              <w:adjustRightInd w:val="0"/>
              <w:snapToGrid w:val="0"/>
              <w:jc w:val="left"/>
              <w:rPr>
                <w:color w:val="auto"/>
                <w:sz w:val="24"/>
                <w:highlight w:val="none"/>
              </w:rPr>
            </w:pPr>
            <w:r>
              <w:rPr>
                <w:color w:val="auto"/>
                <w:sz w:val="24"/>
                <w:highlight w:val="none"/>
              </w:rPr>
              <w:t>□不予批准后再次申报项目</w:t>
            </w:r>
          </w:p>
          <w:p w14:paraId="515690D1">
            <w:pPr>
              <w:adjustRightInd w:val="0"/>
              <w:snapToGrid w:val="0"/>
              <w:jc w:val="left"/>
              <w:rPr>
                <w:color w:val="auto"/>
                <w:sz w:val="24"/>
                <w:highlight w:val="none"/>
              </w:rPr>
            </w:pPr>
            <w:r>
              <w:rPr>
                <w:color w:val="auto"/>
                <w:sz w:val="24"/>
                <w:highlight w:val="none"/>
              </w:rPr>
              <w:t>□超五年重新审核项目</w:t>
            </w:r>
          </w:p>
          <w:p w14:paraId="00FE78EC">
            <w:pPr>
              <w:adjustRightInd w:val="0"/>
              <w:snapToGrid w:val="0"/>
              <w:jc w:val="left"/>
              <w:rPr>
                <w:color w:val="auto"/>
                <w:sz w:val="24"/>
                <w:highlight w:val="none"/>
              </w:rPr>
            </w:pPr>
            <w:r>
              <w:rPr>
                <w:color w:val="auto"/>
                <w:sz w:val="24"/>
                <w:highlight w:val="none"/>
              </w:rPr>
              <w:t>□重大变动重新报批项目</w:t>
            </w:r>
          </w:p>
        </w:tc>
      </w:tr>
      <w:tr w14:paraId="30FBD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4BCBB5EC">
            <w:pPr>
              <w:adjustRightInd w:val="0"/>
              <w:snapToGrid w:val="0"/>
              <w:jc w:val="center"/>
              <w:rPr>
                <w:color w:val="auto"/>
                <w:sz w:val="24"/>
                <w:highlight w:val="none"/>
              </w:rPr>
            </w:pPr>
            <w:r>
              <w:rPr>
                <w:color w:val="auto"/>
                <w:sz w:val="24"/>
                <w:highlight w:val="none"/>
              </w:rPr>
              <w:t>项目审批（核准/</w:t>
            </w:r>
          </w:p>
          <w:p w14:paraId="610EEA2F">
            <w:pPr>
              <w:adjustRightInd w:val="0"/>
              <w:snapToGrid w:val="0"/>
              <w:jc w:val="center"/>
              <w:rPr>
                <w:color w:val="auto"/>
                <w:sz w:val="24"/>
                <w:highlight w:val="none"/>
              </w:rPr>
            </w:pPr>
            <w:r>
              <w:rPr>
                <w:color w:val="auto"/>
                <w:sz w:val="24"/>
                <w:highlight w:val="none"/>
              </w:rPr>
              <w:t>备案）部门（选填）</w:t>
            </w:r>
          </w:p>
        </w:tc>
        <w:tc>
          <w:tcPr>
            <w:tcW w:w="2201" w:type="dxa"/>
            <w:vAlign w:val="center"/>
          </w:tcPr>
          <w:p w14:paraId="143B09E8">
            <w:pPr>
              <w:adjustRightInd w:val="0"/>
              <w:snapToGrid w:val="0"/>
              <w:jc w:val="center"/>
              <w:rPr>
                <w:color w:val="auto"/>
                <w:sz w:val="24"/>
                <w:highlight w:val="none"/>
              </w:rPr>
            </w:pPr>
            <w:r>
              <w:rPr>
                <w:rFonts w:hint="eastAsia"/>
                <w:color w:val="auto"/>
                <w:sz w:val="24"/>
                <w:highlight w:val="none"/>
                <w:lang w:val="en-US" w:eastAsia="zh-CN"/>
              </w:rPr>
              <w:t>固原</w:t>
            </w:r>
            <w:r>
              <w:rPr>
                <w:color w:val="auto"/>
                <w:sz w:val="24"/>
                <w:highlight w:val="none"/>
              </w:rPr>
              <w:t>市审批服务管理局</w:t>
            </w:r>
          </w:p>
        </w:tc>
        <w:tc>
          <w:tcPr>
            <w:tcW w:w="2355" w:type="dxa"/>
            <w:vAlign w:val="center"/>
          </w:tcPr>
          <w:p w14:paraId="37F7D449">
            <w:pPr>
              <w:adjustRightInd w:val="0"/>
              <w:snapToGrid w:val="0"/>
              <w:jc w:val="center"/>
              <w:rPr>
                <w:color w:val="auto"/>
                <w:sz w:val="24"/>
                <w:highlight w:val="none"/>
              </w:rPr>
            </w:pPr>
            <w:r>
              <w:rPr>
                <w:color w:val="auto"/>
                <w:sz w:val="24"/>
                <w:highlight w:val="none"/>
              </w:rPr>
              <w:t>项目审批（核准/</w:t>
            </w:r>
          </w:p>
          <w:p w14:paraId="3997C78A">
            <w:pPr>
              <w:adjustRightInd w:val="0"/>
              <w:snapToGrid w:val="0"/>
              <w:jc w:val="center"/>
              <w:rPr>
                <w:color w:val="auto"/>
                <w:sz w:val="24"/>
                <w:highlight w:val="none"/>
              </w:rPr>
            </w:pPr>
            <w:r>
              <w:rPr>
                <w:color w:val="auto"/>
                <w:sz w:val="24"/>
                <w:highlight w:val="none"/>
              </w:rPr>
              <w:t>备案）文号（选填）</w:t>
            </w:r>
          </w:p>
        </w:tc>
        <w:tc>
          <w:tcPr>
            <w:tcW w:w="3134" w:type="dxa"/>
            <w:vAlign w:val="center"/>
          </w:tcPr>
          <w:p w14:paraId="0ECEDCDE">
            <w:pPr>
              <w:adjustRightInd w:val="0"/>
              <w:snapToGrid w:val="0"/>
              <w:jc w:val="center"/>
              <w:rPr>
                <w:color w:val="auto"/>
                <w:sz w:val="24"/>
                <w:highlight w:val="none"/>
              </w:rPr>
            </w:pPr>
            <w:r>
              <w:rPr>
                <w:rFonts w:hint="eastAsia"/>
                <w:color w:val="auto"/>
                <w:sz w:val="24"/>
                <w:highlight w:val="none"/>
                <w:lang w:val="en-US" w:eastAsia="zh-CN"/>
              </w:rPr>
              <w:t>固</w:t>
            </w:r>
            <w:r>
              <w:rPr>
                <w:color w:val="auto"/>
                <w:sz w:val="24"/>
                <w:highlight w:val="none"/>
              </w:rPr>
              <w:t>审批（</w:t>
            </w:r>
            <w:r>
              <w:rPr>
                <w:rFonts w:hint="eastAsia"/>
                <w:color w:val="auto"/>
                <w:sz w:val="24"/>
                <w:highlight w:val="none"/>
                <w:lang w:val="en-US" w:eastAsia="zh-CN"/>
              </w:rPr>
              <w:t>投资</w:t>
            </w:r>
            <w:r>
              <w:rPr>
                <w:color w:val="auto"/>
                <w:sz w:val="24"/>
                <w:highlight w:val="none"/>
              </w:rPr>
              <w:t>）〔202</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63</w:t>
            </w:r>
            <w:r>
              <w:rPr>
                <w:color w:val="auto"/>
                <w:sz w:val="24"/>
                <w:highlight w:val="none"/>
              </w:rPr>
              <w:t>号</w:t>
            </w:r>
          </w:p>
        </w:tc>
      </w:tr>
      <w:tr w14:paraId="2782E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490FA0F2">
            <w:pPr>
              <w:adjustRightInd w:val="0"/>
              <w:snapToGrid w:val="0"/>
              <w:jc w:val="center"/>
              <w:rPr>
                <w:color w:val="auto"/>
                <w:sz w:val="24"/>
                <w:highlight w:val="none"/>
              </w:rPr>
            </w:pPr>
            <w:r>
              <w:rPr>
                <w:color w:val="auto"/>
                <w:sz w:val="24"/>
                <w:highlight w:val="none"/>
              </w:rPr>
              <w:t>总投资（万元）</w:t>
            </w:r>
          </w:p>
        </w:tc>
        <w:tc>
          <w:tcPr>
            <w:tcW w:w="2201" w:type="dxa"/>
            <w:vAlign w:val="center"/>
          </w:tcPr>
          <w:p w14:paraId="779E3D3A">
            <w:pPr>
              <w:adjustRightInd w:val="0"/>
              <w:snapToGrid w:val="0"/>
              <w:jc w:val="center"/>
              <w:rPr>
                <w:rFonts w:hint="default"/>
                <w:color w:val="auto"/>
                <w:sz w:val="24"/>
                <w:highlight w:val="none"/>
                <w:lang w:val="en-US"/>
              </w:rPr>
            </w:pPr>
            <w:r>
              <w:rPr>
                <w:rFonts w:hint="eastAsia"/>
                <w:color w:val="auto"/>
                <w:sz w:val="24"/>
                <w:highlight w:val="none"/>
                <w:lang w:val="en-US" w:eastAsia="zh-CN"/>
              </w:rPr>
              <w:t>******</w:t>
            </w:r>
          </w:p>
        </w:tc>
        <w:tc>
          <w:tcPr>
            <w:tcW w:w="2355" w:type="dxa"/>
            <w:tcMar>
              <w:top w:w="16" w:type="dxa"/>
              <w:left w:w="16" w:type="dxa"/>
              <w:right w:w="16" w:type="dxa"/>
            </w:tcMar>
            <w:vAlign w:val="center"/>
          </w:tcPr>
          <w:p w14:paraId="0C9FC7B2">
            <w:pPr>
              <w:adjustRightInd w:val="0"/>
              <w:snapToGrid w:val="0"/>
              <w:jc w:val="center"/>
              <w:rPr>
                <w:color w:val="auto"/>
                <w:sz w:val="24"/>
                <w:highlight w:val="none"/>
              </w:rPr>
            </w:pPr>
            <w:r>
              <w:rPr>
                <w:color w:val="auto"/>
                <w:sz w:val="24"/>
                <w:highlight w:val="none"/>
              </w:rPr>
              <w:t>环保投资（万元）</w:t>
            </w:r>
          </w:p>
        </w:tc>
        <w:tc>
          <w:tcPr>
            <w:tcW w:w="3134" w:type="dxa"/>
            <w:vAlign w:val="center"/>
          </w:tcPr>
          <w:p w14:paraId="68BCA13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w:t>
            </w:r>
          </w:p>
        </w:tc>
      </w:tr>
      <w:tr w14:paraId="544D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63DDE692">
            <w:pPr>
              <w:adjustRightInd w:val="0"/>
              <w:snapToGrid w:val="0"/>
              <w:jc w:val="center"/>
              <w:rPr>
                <w:color w:val="auto"/>
                <w:sz w:val="24"/>
                <w:highlight w:val="none"/>
              </w:rPr>
            </w:pPr>
            <w:r>
              <w:rPr>
                <w:color w:val="auto"/>
                <w:sz w:val="24"/>
                <w:highlight w:val="none"/>
              </w:rPr>
              <w:t>环保投资占比（%）</w:t>
            </w:r>
          </w:p>
        </w:tc>
        <w:tc>
          <w:tcPr>
            <w:tcW w:w="2201" w:type="dxa"/>
            <w:vAlign w:val="center"/>
          </w:tcPr>
          <w:p w14:paraId="52E3588A">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w:t>
            </w:r>
          </w:p>
        </w:tc>
        <w:tc>
          <w:tcPr>
            <w:tcW w:w="2355" w:type="dxa"/>
            <w:tcMar>
              <w:top w:w="16" w:type="dxa"/>
              <w:left w:w="16" w:type="dxa"/>
              <w:right w:w="16" w:type="dxa"/>
            </w:tcMar>
            <w:vAlign w:val="center"/>
          </w:tcPr>
          <w:p w14:paraId="76C87661">
            <w:pPr>
              <w:adjustRightInd w:val="0"/>
              <w:snapToGrid w:val="0"/>
              <w:jc w:val="center"/>
              <w:rPr>
                <w:color w:val="auto"/>
                <w:sz w:val="24"/>
                <w:highlight w:val="none"/>
              </w:rPr>
            </w:pPr>
            <w:r>
              <w:rPr>
                <w:color w:val="auto"/>
                <w:sz w:val="24"/>
                <w:highlight w:val="none"/>
              </w:rPr>
              <w:t>施工工期</w:t>
            </w:r>
          </w:p>
        </w:tc>
        <w:tc>
          <w:tcPr>
            <w:tcW w:w="3134" w:type="dxa"/>
            <w:vAlign w:val="center"/>
          </w:tcPr>
          <w:p w14:paraId="037255B0">
            <w:pPr>
              <w:adjustRightInd w:val="0"/>
              <w:snapToGrid w:val="0"/>
              <w:jc w:val="center"/>
              <w:rPr>
                <w:color w:val="auto"/>
                <w:sz w:val="24"/>
                <w:highlight w:val="none"/>
              </w:rPr>
            </w:pPr>
            <w:r>
              <w:rPr>
                <w:color w:val="auto"/>
                <w:sz w:val="24"/>
                <w:highlight w:val="none"/>
              </w:rPr>
              <w:t>1</w:t>
            </w:r>
            <w:r>
              <w:rPr>
                <w:rFonts w:hint="eastAsia"/>
                <w:color w:val="auto"/>
                <w:sz w:val="24"/>
                <w:highlight w:val="none"/>
                <w:lang w:val="en-US" w:eastAsia="zh-CN"/>
              </w:rPr>
              <w:t>6</w:t>
            </w:r>
            <w:r>
              <w:rPr>
                <w:color w:val="auto"/>
                <w:sz w:val="24"/>
                <w:highlight w:val="none"/>
              </w:rPr>
              <w:t>个月</w:t>
            </w:r>
          </w:p>
        </w:tc>
      </w:tr>
      <w:tr w14:paraId="18A07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4C2AE940">
            <w:pPr>
              <w:adjustRightInd w:val="0"/>
              <w:snapToGrid w:val="0"/>
              <w:jc w:val="center"/>
              <w:rPr>
                <w:color w:val="auto"/>
                <w:sz w:val="24"/>
                <w:highlight w:val="none"/>
              </w:rPr>
            </w:pPr>
            <w:r>
              <w:rPr>
                <w:color w:val="auto"/>
                <w:sz w:val="24"/>
                <w:highlight w:val="none"/>
              </w:rPr>
              <w:t>是否开工建设</w:t>
            </w:r>
          </w:p>
        </w:tc>
        <w:tc>
          <w:tcPr>
            <w:tcW w:w="7690" w:type="dxa"/>
            <w:gridSpan w:val="3"/>
            <w:vAlign w:val="center"/>
          </w:tcPr>
          <w:p w14:paraId="25431C89">
            <w:pPr>
              <w:adjustRightInd w:val="0"/>
              <w:snapToGrid w:val="0"/>
              <w:ind w:firstLine="105"/>
              <w:jc w:val="left"/>
              <w:rPr>
                <w:color w:val="auto"/>
                <w:sz w:val="24"/>
                <w:highlight w:val="none"/>
              </w:rPr>
            </w:pPr>
            <w:r>
              <w:rPr>
                <w:color w:val="auto"/>
                <w:sz w:val="24"/>
                <w:highlight w:val="none"/>
              </w:rPr>
              <w:sym w:font="Wingdings 2" w:char="0052"/>
            </w:r>
            <w:r>
              <w:rPr>
                <w:color w:val="auto"/>
                <w:sz w:val="24"/>
                <w:highlight w:val="none"/>
              </w:rPr>
              <w:t>否</w:t>
            </w:r>
          </w:p>
          <w:p w14:paraId="1AAA76E8">
            <w:pPr>
              <w:adjustRightInd w:val="0"/>
              <w:snapToGrid w:val="0"/>
              <w:ind w:firstLine="92"/>
              <w:jc w:val="left"/>
              <w:rPr>
                <w:color w:val="auto"/>
                <w:sz w:val="24"/>
                <w:highlight w:val="none"/>
              </w:rPr>
            </w:pPr>
            <w:r>
              <w:rPr>
                <w:color w:val="auto"/>
                <w:sz w:val="24"/>
                <w:highlight w:val="none"/>
              </w:rPr>
              <w:t>□是</w:t>
            </w:r>
          </w:p>
        </w:tc>
      </w:tr>
      <w:tr w14:paraId="4DACC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5E56937C">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690" w:type="dxa"/>
            <w:gridSpan w:val="3"/>
            <w:tcMar>
              <w:top w:w="16" w:type="dxa"/>
              <w:left w:w="16" w:type="dxa"/>
              <w:right w:w="16" w:type="dxa"/>
            </w:tcMar>
            <w:vAlign w:val="center"/>
          </w:tcPr>
          <w:p w14:paraId="3AC9507C">
            <w:pPr>
              <w:numPr>
                <w:ilvl w:val="0"/>
                <w:numId w:val="2"/>
              </w:numPr>
              <w:autoSpaceDE w:val="0"/>
              <w:autoSpaceDN w:val="0"/>
              <w:adjustRightInd w:val="0"/>
              <w:snapToGrid w:val="0"/>
              <w:jc w:val="left"/>
              <w:rPr>
                <w:color w:val="auto"/>
                <w:kern w:val="0"/>
                <w:sz w:val="24"/>
                <w:highlight w:val="none"/>
              </w:rPr>
            </w:pPr>
            <w:r>
              <w:rPr>
                <w:color w:val="auto"/>
                <w:kern w:val="0"/>
                <w:sz w:val="24"/>
                <w:highlight w:val="none"/>
              </w:rPr>
              <w:t>电磁环境影响专题评价，设置理由：根据《环境影响评价技术导则 输变电》（HJ24-2020）要求，</w:t>
            </w:r>
            <w:r>
              <w:rPr>
                <w:rFonts w:hint="eastAsia"/>
                <w:color w:val="auto"/>
                <w:kern w:val="0"/>
                <w:sz w:val="24"/>
                <w:highlight w:val="none"/>
                <w:lang w:val="en-US" w:eastAsia="zh-CN"/>
              </w:rPr>
              <w:t>应</w:t>
            </w:r>
            <w:r>
              <w:rPr>
                <w:color w:val="auto"/>
                <w:kern w:val="0"/>
                <w:sz w:val="24"/>
                <w:highlight w:val="none"/>
              </w:rPr>
              <w:t>设电磁环境影响专题</w:t>
            </w:r>
            <w:r>
              <w:rPr>
                <w:rFonts w:hint="eastAsia"/>
                <w:color w:val="auto"/>
                <w:kern w:val="0"/>
                <w:sz w:val="24"/>
                <w:highlight w:val="none"/>
                <w:lang w:val="en-US" w:eastAsia="zh-CN"/>
              </w:rPr>
              <w:t>评价</w:t>
            </w:r>
            <w:r>
              <w:rPr>
                <w:color w:val="auto"/>
                <w:kern w:val="0"/>
                <w:sz w:val="24"/>
                <w:highlight w:val="none"/>
              </w:rPr>
              <w:t>。</w:t>
            </w:r>
          </w:p>
          <w:p w14:paraId="19EC461E">
            <w:pPr>
              <w:numPr>
                <w:ilvl w:val="0"/>
                <w:numId w:val="2"/>
              </w:numPr>
              <w:autoSpaceDE w:val="0"/>
              <w:autoSpaceDN w:val="0"/>
              <w:adjustRightInd w:val="0"/>
              <w:snapToGrid w:val="0"/>
              <w:jc w:val="left"/>
              <w:rPr>
                <w:color w:val="auto"/>
                <w:kern w:val="0"/>
                <w:sz w:val="24"/>
                <w:highlight w:val="none"/>
              </w:rPr>
            </w:pPr>
            <w:r>
              <w:rPr>
                <w:rFonts w:hint="eastAsia"/>
                <w:color w:val="auto"/>
                <w:kern w:val="0"/>
                <w:sz w:val="24"/>
                <w:highlight w:val="none"/>
                <w:lang w:val="en-US" w:eastAsia="zh-CN"/>
              </w:rPr>
              <w:t xml:space="preserve">生态专题评价，设置理由：根据《环境影响评价技术导则 输变电》 </w:t>
            </w:r>
          </w:p>
          <w:p w14:paraId="3A64F236">
            <w:pPr>
              <w:autoSpaceDE w:val="0"/>
              <w:autoSpaceDN w:val="0"/>
              <w:adjustRightInd w:val="0"/>
              <w:snapToGrid w:val="0"/>
              <w:jc w:val="left"/>
              <w:rPr>
                <w:color w:val="auto"/>
                <w:kern w:val="0"/>
                <w:sz w:val="24"/>
                <w:highlight w:val="none"/>
              </w:rPr>
            </w:pPr>
            <w:r>
              <w:rPr>
                <w:rFonts w:hint="eastAsia"/>
                <w:color w:val="auto"/>
                <w:kern w:val="0"/>
                <w:sz w:val="24"/>
                <w:highlight w:val="none"/>
                <w:lang w:val="en-US" w:eastAsia="zh-CN"/>
              </w:rPr>
              <w:t>（</w:t>
            </w:r>
            <w:r>
              <w:rPr>
                <w:rFonts w:hint="default"/>
                <w:color w:val="auto"/>
                <w:kern w:val="0"/>
                <w:sz w:val="24"/>
                <w:highlight w:val="none"/>
                <w:lang w:val="en-US" w:eastAsia="zh-CN"/>
              </w:rPr>
              <w:t>HJ24-2020</w:t>
            </w:r>
            <w:r>
              <w:rPr>
                <w:rFonts w:hint="eastAsia"/>
                <w:color w:val="auto"/>
                <w:kern w:val="0"/>
                <w:sz w:val="24"/>
                <w:highlight w:val="none"/>
                <w:lang w:val="en-US" w:eastAsia="zh-CN"/>
              </w:rPr>
              <w:t>）要求，输电线路进入生态敏感区时，应设生态专题评价。</w:t>
            </w:r>
          </w:p>
        </w:tc>
      </w:tr>
      <w:tr w14:paraId="1B44C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783E6DC6">
            <w:pPr>
              <w:autoSpaceDE w:val="0"/>
              <w:autoSpaceDN w:val="0"/>
              <w:adjustRightInd w:val="0"/>
              <w:snapToGrid w:val="0"/>
              <w:jc w:val="center"/>
              <w:rPr>
                <w:color w:val="auto"/>
                <w:sz w:val="24"/>
                <w:highlight w:val="none"/>
              </w:rPr>
            </w:pPr>
            <w:r>
              <w:rPr>
                <w:color w:val="auto"/>
                <w:sz w:val="24"/>
                <w:highlight w:val="none"/>
              </w:rPr>
              <w:t>规划情况</w:t>
            </w:r>
          </w:p>
        </w:tc>
        <w:tc>
          <w:tcPr>
            <w:tcW w:w="7690" w:type="dxa"/>
            <w:gridSpan w:val="3"/>
            <w:tcMar>
              <w:top w:w="16" w:type="dxa"/>
              <w:left w:w="16" w:type="dxa"/>
              <w:right w:w="16" w:type="dxa"/>
            </w:tcMar>
            <w:vAlign w:val="center"/>
          </w:tcPr>
          <w:p w14:paraId="6A74BB5D">
            <w:pPr>
              <w:autoSpaceDE w:val="0"/>
              <w:autoSpaceDN w:val="0"/>
              <w:adjustRightInd w:val="0"/>
              <w:snapToGrid w:val="0"/>
              <w:jc w:val="center"/>
              <w:rPr>
                <w:rFonts w:hint="eastAsia"/>
                <w:color w:val="auto"/>
                <w:kern w:val="0"/>
                <w:sz w:val="24"/>
                <w:highlight w:val="none"/>
                <w:lang w:eastAsia="zh-CN"/>
              </w:rPr>
            </w:pPr>
            <w:r>
              <w:rPr>
                <w:rFonts w:hint="eastAsia"/>
                <w:color w:val="auto"/>
                <w:kern w:val="0"/>
                <w:sz w:val="24"/>
                <w:highlight w:val="none"/>
                <w:lang w:val="en-US" w:eastAsia="zh-CN"/>
              </w:rPr>
              <w:t>无</w:t>
            </w:r>
          </w:p>
        </w:tc>
      </w:tr>
      <w:tr w14:paraId="44F4B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39B2FE09">
            <w:pPr>
              <w:autoSpaceDE w:val="0"/>
              <w:autoSpaceDN w:val="0"/>
              <w:adjustRightInd w:val="0"/>
              <w:snapToGrid w:val="0"/>
              <w:jc w:val="center"/>
              <w:rPr>
                <w:color w:val="auto"/>
                <w:sz w:val="24"/>
                <w:highlight w:val="none"/>
              </w:rPr>
            </w:pPr>
            <w:r>
              <w:rPr>
                <w:color w:val="auto"/>
                <w:sz w:val="24"/>
                <w:highlight w:val="none"/>
              </w:rPr>
              <w:t>规划环境影响评价情况</w:t>
            </w:r>
          </w:p>
        </w:tc>
        <w:tc>
          <w:tcPr>
            <w:tcW w:w="7690" w:type="dxa"/>
            <w:gridSpan w:val="3"/>
            <w:tcMar>
              <w:top w:w="16" w:type="dxa"/>
              <w:left w:w="16" w:type="dxa"/>
              <w:right w:w="16" w:type="dxa"/>
            </w:tcMar>
            <w:vAlign w:val="center"/>
          </w:tcPr>
          <w:p w14:paraId="7D2D1111">
            <w:pPr>
              <w:autoSpaceDE w:val="0"/>
              <w:autoSpaceDN w:val="0"/>
              <w:adjustRightInd w:val="0"/>
              <w:snapToGrid w:val="0"/>
              <w:jc w:val="center"/>
              <w:rPr>
                <w:rFonts w:hint="eastAsia"/>
                <w:color w:val="auto"/>
                <w:kern w:val="0"/>
                <w:sz w:val="24"/>
                <w:highlight w:val="none"/>
                <w:lang w:eastAsia="zh-CN"/>
              </w:rPr>
            </w:pPr>
            <w:r>
              <w:rPr>
                <w:rFonts w:hint="eastAsia"/>
                <w:color w:val="auto"/>
                <w:kern w:val="0"/>
                <w:sz w:val="24"/>
                <w:highlight w:val="none"/>
                <w:lang w:val="en-US" w:eastAsia="zh-CN"/>
              </w:rPr>
              <w:t>无</w:t>
            </w:r>
          </w:p>
        </w:tc>
      </w:tr>
      <w:tr w14:paraId="391D4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05" w:type="dxa"/>
            <w:gridSpan w:val="2"/>
            <w:tcMar>
              <w:top w:w="16" w:type="dxa"/>
              <w:left w:w="16" w:type="dxa"/>
              <w:right w:w="16" w:type="dxa"/>
            </w:tcMar>
            <w:vAlign w:val="center"/>
          </w:tcPr>
          <w:p w14:paraId="7A591CEA">
            <w:pPr>
              <w:autoSpaceDE w:val="0"/>
              <w:autoSpaceDN w:val="0"/>
              <w:adjustRightInd w:val="0"/>
              <w:snapToGrid w:val="0"/>
              <w:jc w:val="center"/>
              <w:rPr>
                <w:color w:val="auto"/>
                <w:kern w:val="0"/>
                <w:szCs w:val="21"/>
                <w:highlight w:val="none"/>
              </w:rPr>
            </w:pPr>
            <w:r>
              <w:rPr>
                <w:color w:val="auto"/>
                <w:kern w:val="0"/>
                <w:sz w:val="24"/>
                <w:highlight w:val="none"/>
              </w:rPr>
              <w:t>规划及</w:t>
            </w:r>
            <w:r>
              <w:rPr>
                <w:color w:val="auto"/>
                <w:sz w:val="24"/>
                <w:highlight w:val="none"/>
              </w:rPr>
              <w:t>规划环境影响评价</w:t>
            </w:r>
            <w:r>
              <w:rPr>
                <w:color w:val="auto"/>
                <w:kern w:val="0"/>
                <w:sz w:val="24"/>
                <w:highlight w:val="none"/>
              </w:rPr>
              <w:t>符合性分析</w:t>
            </w:r>
          </w:p>
        </w:tc>
        <w:tc>
          <w:tcPr>
            <w:tcW w:w="7690" w:type="dxa"/>
            <w:gridSpan w:val="3"/>
            <w:tcMar>
              <w:top w:w="16" w:type="dxa"/>
              <w:left w:w="16" w:type="dxa"/>
              <w:right w:w="16" w:type="dxa"/>
            </w:tcMar>
            <w:vAlign w:val="center"/>
          </w:tcPr>
          <w:p w14:paraId="695D3DEB">
            <w:pPr>
              <w:autoSpaceDE w:val="0"/>
              <w:autoSpaceDN w:val="0"/>
              <w:adjustRightInd w:val="0"/>
              <w:snapToGrid w:val="0"/>
              <w:jc w:val="center"/>
              <w:rPr>
                <w:color w:val="auto"/>
                <w:kern w:val="0"/>
                <w:sz w:val="24"/>
                <w:highlight w:val="none"/>
              </w:rPr>
            </w:pPr>
            <w:r>
              <w:rPr>
                <w:rFonts w:hint="eastAsia"/>
                <w:color w:val="auto"/>
                <w:kern w:val="0"/>
                <w:sz w:val="24"/>
                <w:highlight w:val="none"/>
                <w:lang w:val="en-US" w:eastAsia="zh-CN"/>
              </w:rPr>
              <w:t>无</w:t>
            </w:r>
          </w:p>
        </w:tc>
      </w:tr>
      <w:tr w14:paraId="5C4D9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72" w:type="dxa"/>
            <w:tcMar>
              <w:top w:w="16" w:type="dxa"/>
              <w:left w:w="16" w:type="dxa"/>
              <w:right w:w="16" w:type="dxa"/>
            </w:tcMar>
            <w:vAlign w:val="center"/>
          </w:tcPr>
          <w:p w14:paraId="33518424">
            <w:pPr>
              <w:autoSpaceDE w:val="0"/>
              <w:autoSpaceDN w:val="0"/>
              <w:adjustRightInd w:val="0"/>
              <w:snapToGrid w:val="0"/>
              <w:jc w:val="center"/>
              <w:rPr>
                <w:color w:val="auto"/>
                <w:kern w:val="0"/>
                <w:sz w:val="24"/>
                <w:highlight w:val="none"/>
              </w:rPr>
            </w:pPr>
            <w:bookmarkStart w:id="5" w:name="_Hlk56690880"/>
            <w:r>
              <w:rPr>
                <w:color w:val="auto"/>
                <w:kern w:val="0"/>
                <w:sz w:val="24"/>
                <w:highlight w:val="none"/>
              </w:rPr>
              <w:t>其他符合性分析</w:t>
            </w:r>
            <w:bookmarkEnd w:id="5"/>
          </w:p>
        </w:tc>
        <w:tc>
          <w:tcPr>
            <w:tcW w:w="8723" w:type="dxa"/>
            <w:gridSpan w:val="4"/>
            <w:tcMar>
              <w:top w:w="16" w:type="dxa"/>
              <w:left w:w="16" w:type="dxa"/>
              <w:right w:w="16" w:type="dxa"/>
            </w:tcMar>
            <w:vAlign w:val="center"/>
          </w:tcPr>
          <w:p w14:paraId="594729B3">
            <w:pPr>
              <w:spacing w:line="360" w:lineRule="auto"/>
              <w:ind w:firstLine="482" w:firstLineChars="200"/>
              <w:rPr>
                <w:b/>
                <w:bCs/>
                <w:color w:val="auto"/>
                <w:sz w:val="24"/>
                <w:highlight w:val="none"/>
              </w:rPr>
            </w:pPr>
            <w:r>
              <w:rPr>
                <w:b/>
                <w:bCs/>
                <w:color w:val="auto"/>
                <w:sz w:val="24"/>
                <w:highlight w:val="none"/>
              </w:rPr>
              <w:t xml:space="preserve">1、产业政策符合性分析 </w:t>
            </w:r>
          </w:p>
          <w:p w14:paraId="1838BDFB">
            <w:pPr>
              <w:autoSpaceDE w:val="0"/>
              <w:autoSpaceDN w:val="0"/>
              <w:spacing w:line="360" w:lineRule="auto"/>
              <w:ind w:firstLine="480" w:firstLineChars="200"/>
              <w:rPr>
                <w:rFonts w:hint="default" w:ascii="Times New Roman" w:hAnsi="Times New Roman" w:eastAsia="宋体" w:cs="Times New Roman"/>
                <w:color w:val="auto"/>
                <w:spacing w:val="0"/>
                <w:sz w:val="24"/>
                <w:highlight w:val="none"/>
              </w:rPr>
            </w:pPr>
            <w:r>
              <w:rPr>
                <w:rFonts w:hint="default" w:ascii="Times New Roman" w:hAnsi="Times New Roman" w:cs="Times New Roman"/>
                <w:b w:val="0"/>
                <w:bCs w:val="0"/>
                <w:color w:val="auto"/>
                <w:sz w:val="24"/>
                <w:highlight w:val="none"/>
                <w:lang w:val="en-US" w:eastAsia="zh-CN"/>
              </w:rPr>
              <w:t>本项目属于《产业结构调整指导目录》（2024年本）</w:t>
            </w:r>
            <w:r>
              <w:rPr>
                <w:rFonts w:hint="default" w:ascii="Times New Roman" w:hAnsi="Times New Roman" w:eastAsia="宋体" w:cs="Times New Roman"/>
                <w:b w:val="0"/>
                <w:bCs w:val="0"/>
                <w:color w:val="auto"/>
                <w:sz w:val="24"/>
                <w:szCs w:val="24"/>
                <w:highlight w:val="none"/>
                <w:lang w:val="en-US" w:eastAsia="zh-CN"/>
              </w:rPr>
              <w:t>中“第一类 鼓励类”中“四、电力”中“2.电力基础设施建设”中的“电网改造与建设”项目</w:t>
            </w:r>
            <w:r>
              <w:rPr>
                <w:rFonts w:hint="default" w:ascii="Times New Roman" w:hAnsi="Times New Roman" w:eastAsia="宋体" w:cs="Times New Roman"/>
                <w:color w:val="auto"/>
                <w:spacing w:val="0"/>
                <w:sz w:val="24"/>
                <w:highlight w:val="none"/>
              </w:rPr>
              <w:t>，符合国家产业政策</w:t>
            </w:r>
            <w:r>
              <w:rPr>
                <w:rFonts w:hint="default" w:ascii="Times New Roman" w:hAnsi="Times New Roman" w:eastAsia="宋体" w:cs="Times New Roman"/>
                <w:color w:val="auto"/>
                <w:spacing w:val="0"/>
                <w:sz w:val="24"/>
                <w:highlight w:val="none"/>
                <w:lang w:val="en-US" w:eastAsia="zh-CN"/>
              </w:rPr>
              <w:t>要求</w:t>
            </w:r>
            <w:r>
              <w:rPr>
                <w:rFonts w:hint="default" w:ascii="Times New Roman" w:hAnsi="Times New Roman" w:eastAsia="宋体" w:cs="Times New Roman"/>
                <w:color w:val="auto"/>
                <w:spacing w:val="0"/>
                <w:sz w:val="24"/>
                <w:highlight w:val="none"/>
              </w:rPr>
              <w:t>。</w:t>
            </w:r>
          </w:p>
          <w:p w14:paraId="623E935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本项目属于《西部地区鼓励类产业目录</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2025年本</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九</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宁夏回族自治区</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中的“34.石油、天然气、电力等能源储备设施和系统建设及运营”，符合西部地区鼓励类产业目录要求。</w:t>
            </w:r>
          </w:p>
          <w:p w14:paraId="1D664598">
            <w:pPr>
              <w:keepNext w:val="0"/>
              <w:keepLines w:val="0"/>
              <w:pageBreakBefore w:val="0"/>
              <w:widowControl w:val="0"/>
              <w:tabs>
                <w:tab w:val="left" w:pos="929"/>
              </w:tabs>
              <w:kinsoku/>
              <w:wordWrap w:val="0"/>
              <w:overflowPunct/>
              <w:topLinePunct w:val="0"/>
              <w:autoSpaceDE w:val="0"/>
              <w:autoSpaceDN w:val="0"/>
              <w:bidi w:val="0"/>
              <w:adjustRightInd w:val="0"/>
              <w:snapToGrid w:val="0"/>
              <w:spacing w:line="360" w:lineRule="auto"/>
              <w:ind w:right="0" w:firstLine="482" w:firstLineChars="200"/>
              <w:textAlignment w:val="auto"/>
              <w:outlineLvl w:val="1"/>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2、与《隆德县国土空间总体规划（2021-2035年）》符合性分析</w:t>
            </w:r>
          </w:p>
          <w:p w14:paraId="4DBDBA81">
            <w:pPr>
              <w:keepNext w:val="0"/>
              <w:keepLines w:val="0"/>
              <w:pageBreakBefore w:val="0"/>
              <w:widowControl w:val="0"/>
              <w:tabs>
                <w:tab w:val="left" w:pos="929"/>
              </w:tabs>
              <w:kinsoku/>
              <w:wordWrap w:val="0"/>
              <w:overflowPunct/>
              <w:topLinePunct w:val="0"/>
              <w:autoSpaceDE w:val="0"/>
              <w:autoSpaceDN w:val="0"/>
              <w:bidi w:val="0"/>
              <w:adjustRightInd w:val="0"/>
              <w:snapToGrid w:val="0"/>
              <w:spacing w:line="360" w:lineRule="auto"/>
              <w:ind w:right="0" w:firstLine="480" w:firstLineChars="200"/>
              <w:textAlignment w:val="auto"/>
              <w:outlineLvl w:val="1"/>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根据自治区人民政府关于《隆德县国土空间总体规划（2021-2035年）》的批复（宁政函〔2024〕10 号）中提到：“统筹保障水、电、气、通信、垃圾处理等各类市政基础设施，确保城市生命线稳定运行。”</w:t>
            </w:r>
          </w:p>
          <w:p w14:paraId="329C8E0E">
            <w:pPr>
              <w:keepNext w:val="0"/>
              <w:keepLines w:val="0"/>
              <w:pageBreakBefore w:val="0"/>
              <w:widowControl w:val="0"/>
              <w:tabs>
                <w:tab w:val="left" w:pos="929"/>
              </w:tabs>
              <w:kinsoku/>
              <w:wordWrap w:val="0"/>
              <w:overflowPunct/>
              <w:topLinePunct w:val="0"/>
              <w:autoSpaceDE w:val="0"/>
              <w:autoSpaceDN w:val="0"/>
              <w:bidi w:val="0"/>
              <w:adjustRightInd w:val="0"/>
              <w:snapToGrid w:val="0"/>
              <w:spacing w:line="360" w:lineRule="auto"/>
              <w:ind w:right="0" w:firstLine="480" w:firstLineChars="200"/>
              <w:textAlignment w:val="auto"/>
              <w:outlineLvl w:val="1"/>
              <w:rPr>
                <w:rFonts w:hint="eastAsia"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本项目为输变电工程，属于电力基础设施项目，本项目的实施为满足项目区周边“煤改电”及新增负荷接入需求，进一步提升配网供电能力和供电可靠性而建设的。因此，本项目与《隆德县国土空间总体规划（2021-2035年）》相符。</w:t>
            </w:r>
          </w:p>
          <w:p w14:paraId="2C20E974">
            <w:pPr>
              <w:pStyle w:val="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cs="Times New Roman"/>
                <w:b/>
                <w:bCs w:val="0"/>
                <w:color w:val="auto"/>
                <w:sz w:val="24"/>
                <w:highlight w:val="none"/>
                <w:lang w:val="en-US" w:eastAsia="zh-CN"/>
              </w:rPr>
            </w:pPr>
            <w:r>
              <w:rPr>
                <w:rFonts w:hint="eastAsia" w:cs="Times New Roman"/>
                <w:b/>
                <w:bCs w:val="0"/>
                <w:color w:val="auto"/>
                <w:kern w:val="2"/>
                <w:sz w:val="24"/>
                <w:szCs w:val="24"/>
                <w:highlight w:val="none"/>
                <w:lang w:val="en-US" w:eastAsia="zh-CN" w:bidi="ar-SA"/>
              </w:rPr>
              <w:t>3</w:t>
            </w:r>
            <w:r>
              <w:rPr>
                <w:rFonts w:hint="default" w:ascii="Times New Roman" w:hAnsi="Times New Roman" w:eastAsia="宋体" w:cs="Times New Roman"/>
                <w:b/>
                <w:bCs w:val="0"/>
                <w:color w:val="auto"/>
                <w:kern w:val="2"/>
                <w:sz w:val="24"/>
                <w:szCs w:val="24"/>
                <w:highlight w:val="none"/>
                <w:lang w:val="en-US" w:eastAsia="zh-CN" w:bidi="ar-SA"/>
              </w:rPr>
              <w:t>、</w:t>
            </w:r>
            <w:r>
              <w:rPr>
                <w:rFonts w:hint="default" w:ascii="Times New Roman" w:hAnsi="Times New Roman" w:cs="Times New Roman"/>
                <w:b/>
                <w:bCs w:val="0"/>
                <w:color w:val="auto"/>
                <w:sz w:val="24"/>
                <w:highlight w:val="none"/>
              </w:rPr>
              <w:t>《</w:t>
            </w:r>
            <w:r>
              <w:rPr>
                <w:rFonts w:hint="eastAsia" w:ascii="Times New Roman" w:hAnsi="Times New Roman" w:cs="Times New Roman"/>
                <w:b/>
                <w:bCs w:val="0"/>
                <w:color w:val="auto"/>
                <w:sz w:val="24"/>
                <w:highlight w:val="none"/>
                <w:lang w:val="en-US" w:eastAsia="zh-CN"/>
              </w:rPr>
              <w:t>固原市“十四五”配电网规划</w:t>
            </w:r>
            <w:r>
              <w:rPr>
                <w:rFonts w:hint="default" w:ascii="Times New Roman" w:hAnsi="Times New Roman" w:cs="Times New Roman"/>
                <w:b/>
                <w:bCs w:val="0"/>
                <w:color w:val="auto"/>
                <w:sz w:val="24"/>
                <w:highlight w:val="none"/>
              </w:rPr>
              <w:t>（2021-2035年）</w:t>
            </w:r>
            <w:r>
              <w:rPr>
                <w:rFonts w:hint="eastAsia" w:cs="Times New Roman"/>
                <w:b/>
                <w:bCs w:val="0"/>
                <w:color w:val="auto"/>
                <w:sz w:val="24"/>
                <w:highlight w:val="none"/>
                <w:lang w:eastAsia="zh-CN"/>
              </w:rPr>
              <w:t>》</w:t>
            </w:r>
            <w:r>
              <w:rPr>
                <w:rFonts w:hint="default" w:ascii="Times New Roman" w:hAnsi="Times New Roman" w:cs="Times New Roman"/>
                <w:b/>
                <w:bCs w:val="0"/>
                <w:color w:val="auto"/>
                <w:sz w:val="24"/>
                <w:highlight w:val="none"/>
                <w:lang w:val="en-US" w:eastAsia="zh-CN"/>
              </w:rPr>
              <w:t>符合性分析</w:t>
            </w:r>
          </w:p>
          <w:p w14:paraId="53F04B20">
            <w:pPr>
              <w:keepNext w:val="0"/>
              <w:keepLines w:val="0"/>
              <w:pageBreakBefore w:val="0"/>
              <w:widowControl w:val="0"/>
              <w:tabs>
                <w:tab w:val="left" w:pos="929"/>
              </w:tabs>
              <w:kinsoku/>
              <w:wordWrap w:val="0"/>
              <w:overflowPunct/>
              <w:topLinePunct w:val="0"/>
              <w:autoSpaceDE w:val="0"/>
              <w:autoSpaceDN w:val="0"/>
              <w:bidi w:val="0"/>
              <w:adjustRightInd w:val="0"/>
              <w:snapToGrid w:val="0"/>
              <w:spacing w:line="360" w:lineRule="auto"/>
              <w:ind w:right="0" w:firstLine="480" w:firstLineChars="200"/>
              <w:textAlignment w:val="auto"/>
              <w:outlineLvl w:val="1"/>
              <w:rPr>
                <w:rFonts w:hint="eastAsia" w:cs="Times New Roman"/>
                <w:b/>
                <w:bCs w:val="0"/>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根据《固原市“十四五”配电网规划（2021-2035年）》，宁夏固原张程110千伏输变电工程已被纳入《固原市“十四五”配电网规划（2021-2035年）》，因此，本项目与《固原市“十四五”配电网规划（2021-2035年）》相符。</w:t>
            </w:r>
          </w:p>
          <w:p w14:paraId="0C807699">
            <w:pPr>
              <w:keepNext w:val="0"/>
              <w:keepLines w:val="0"/>
              <w:pageBreakBefore w:val="0"/>
              <w:widowControl w:val="0"/>
              <w:tabs>
                <w:tab w:val="left" w:pos="929"/>
              </w:tabs>
              <w:kinsoku/>
              <w:wordWrap w:val="0"/>
              <w:overflowPunct/>
              <w:topLinePunct w:val="0"/>
              <w:autoSpaceDE w:val="0"/>
              <w:autoSpaceDN w:val="0"/>
              <w:bidi w:val="0"/>
              <w:adjustRightInd w:val="0"/>
              <w:snapToGrid w:val="0"/>
              <w:spacing w:line="360" w:lineRule="auto"/>
              <w:ind w:right="0" w:firstLine="482" w:firstLineChars="200"/>
              <w:textAlignment w:val="auto"/>
              <w:outlineLvl w:val="1"/>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与生态保护红线相关法律法规符合性分析</w:t>
            </w:r>
          </w:p>
          <w:p w14:paraId="1370EF79">
            <w:pPr>
              <w:pStyle w:val="55"/>
              <w:keepNext w:val="0"/>
              <w:keepLines w:val="0"/>
              <w:pageBreakBefore w:val="0"/>
              <w:widowControl w:val="0"/>
              <w:numPr>
                <w:ilvl w:val="0"/>
                <w:numId w:val="0"/>
              </w:numPr>
              <w:tabs>
                <w:tab w:val="left" w:pos="1742"/>
              </w:tabs>
              <w:kinsoku/>
              <w:wordWrap w:val="0"/>
              <w:overflowPunct/>
              <w:topLinePunct w:val="0"/>
              <w:autoSpaceDE w:val="0"/>
              <w:autoSpaceDN w:val="0"/>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sz w:val="24"/>
                <w:szCs w:val="24"/>
                <w:highlight w:val="none"/>
                <w:lang w:eastAsia="zh-CN"/>
              </w:rPr>
              <w:t>与《自然资源部生态环境部国家林业和草原局〈关于加强生态保护红线管理的通知（试行）〉》（自然资发〔2022〕142号）、中共宁夏回族自治区委员会办公厅《自治区党委办公厅人民政府办公厅印发&lt;关于优化国土空间开发保护格局的实施意见&gt;等7个生态文明建设领域绿色发展类专项文件的通知》（宁党办〔2023〕63号）文件符合性分析</w:t>
            </w:r>
          </w:p>
          <w:p w14:paraId="133A096D">
            <w:pPr>
              <w:pStyle w:val="55"/>
              <w:keepNext w:val="0"/>
              <w:keepLines w:val="0"/>
              <w:pageBreakBefore w:val="0"/>
              <w:widowControl w:val="0"/>
              <w:numPr>
                <w:ilvl w:val="0"/>
                <w:numId w:val="0"/>
              </w:numPr>
              <w:tabs>
                <w:tab w:val="left" w:pos="1742"/>
              </w:tabs>
              <w:kinsoku/>
              <w:wordWrap w:val="0"/>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《关于加强生态保护红线管理的通知（试行）》文件</w:t>
            </w:r>
            <w:r>
              <w:rPr>
                <w:rFonts w:hint="default" w:ascii="Times New Roman" w:hAnsi="Times New Roman" w:eastAsia="宋体" w:cs="Times New Roman"/>
                <w:color w:val="auto"/>
                <w:sz w:val="24"/>
                <w:szCs w:val="24"/>
                <w:highlight w:val="none"/>
                <w:lang w:val="en-US" w:eastAsia="zh-CN"/>
              </w:rPr>
              <w:t>中提出</w:t>
            </w:r>
            <w:r>
              <w:rPr>
                <w:rFonts w:hint="default" w:ascii="Times New Roman" w:hAnsi="Times New Roman" w:eastAsia="宋体" w:cs="Times New Roman"/>
                <w:color w:val="auto"/>
                <w:sz w:val="24"/>
                <w:szCs w:val="24"/>
                <w:highlight w:val="none"/>
                <w:lang w:eastAsia="zh-CN"/>
              </w:rPr>
              <w:t>“生态保护红线是国土空间规划中的重要管控边界，生态保护红线内自然保护地核心保护区外，禁止开发性、生产性建设活动，在符合法律法规的前提下，仅允许以下对生态功能不造成破坏的有限人为活动：……</w:t>
            </w:r>
            <w:r>
              <w:rPr>
                <w:rFonts w:hint="default" w:ascii="Times New Roman" w:hAnsi="Times New Roman" w:eastAsia="宋体" w:cs="Times New Roman"/>
                <w:color w:val="auto"/>
                <w:sz w:val="24"/>
                <w:szCs w:val="24"/>
                <w:highlight w:val="none"/>
                <w:u w:val="single"/>
                <w:lang w:eastAsia="zh-CN"/>
              </w:rPr>
              <w:t>必须且无法避让、符合县级以上国土空间规划的</w:t>
            </w:r>
            <w:r>
              <w:rPr>
                <w:rFonts w:hint="default" w:ascii="Times New Roman" w:hAnsi="Times New Roman" w:eastAsia="宋体" w:cs="Times New Roman"/>
                <w:b/>
                <w:bCs/>
                <w:color w:val="auto"/>
                <w:sz w:val="24"/>
                <w:szCs w:val="24"/>
                <w:highlight w:val="none"/>
                <w:u w:val="single"/>
                <w:lang w:eastAsia="zh-CN"/>
              </w:rPr>
              <w:t>线性基础设施</w:t>
            </w:r>
            <w:r>
              <w:rPr>
                <w:rFonts w:hint="default" w:ascii="Times New Roman" w:hAnsi="Times New Roman" w:eastAsia="宋体" w:cs="Times New Roman"/>
                <w:color w:val="auto"/>
                <w:sz w:val="24"/>
                <w:szCs w:val="24"/>
                <w:highlight w:val="none"/>
                <w:u w:val="single"/>
                <w:lang w:eastAsia="zh-CN"/>
              </w:rPr>
              <w:t>、通讯和防洪、供水设施建设和船舶航行、航道疏浚清淤等活动，已有的合法水利、交通运输等设施运行维护改造。</w:t>
            </w:r>
            <w:r>
              <w:rPr>
                <w:rFonts w:hint="default" w:ascii="Times New Roman" w:hAnsi="Times New Roman" w:eastAsia="宋体" w:cs="Times New Roman"/>
                <w:color w:val="auto"/>
                <w:sz w:val="24"/>
                <w:szCs w:val="24"/>
                <w:highlight w:val="none"/>
                <w:lang w:eastAsia="zh-CN"/>
              </w:rPr>
              <w:t>”</w:t>
            </w:r>
          </w:p>
          <w:p w14:paraId="76FBCEF4">
            <w:pPr>
              <w:pStyle w:val="55"/>
              <w:keepNext w:val="0"/>
              <w:keepLines w:val="0"/>
              <w:pageBreakBefore w:val="0"/>
              <w:widowControl w:val="0"/>
              <w:numPr>
                <w:ilvl w:val="0"/>
                <w:numId w:val="0"/>
              </w:numPr>
              <w:tabs>
                <w:tab w:val="left" w:pos="1742"/>
              </w:tabs>
              <w:kinsoku/>
              <w:wordWrap w:val="0"/>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u w:val="single"/>
                <w:lang w:eastAsia="zh-CN"/>
              </w:rPr>
            </w:pPr>
            <w:r>
              <w:rPr>
                <w:rFonts w:hint="default" w:ascii="Times New Roman" w:hAnsi="Times New Roman" w:eastAsia="宋体" w:cs="Times New Roman"/>
                <w:color w:val="auto"/>
                <w:sz w:val="24"/>
                <w:szCs w:val="24"/>
                <w:highlight w:val="none"/>
                <w:lang w:eastAsia="zh-CN"/>
              </w:rPr>
              <w:t>《关于优化国土空间开发保护格局的实施意见》</w:t>
            </w:r>
            <w:r>
              <w:rPr>
                <w:rFonts w:hint="default" w:ascii="Times New Roman" w:hAnsi="Times New Roman" w:eastAsia="宋体" w:cs="Times New Roman"/>
                <w:color w:val="auto"/>
                <w:sz w:val="24"/>
                <w:szCs w:val="24"/>
                <w:highlight w:val="none"/>
                <w:lang w:val="en-US" w:eastAsia="zh-CN"/>
              </w:rPr>
              <w:t>文件中提出</w:t>
            </w:r>
            <w:r>
              <w:rPr>
                <w:rFonts w:hint="default" w:ascii="Times New Roman" w:hAnsi="Times New Roman" w:eastAsia="宋体" w:cs="Times New Roman"/>
                <w:color w:val="auto"/>
                <w:sz w:val="24"/>
                <w:szCs w:val="24"/>
                <w:highlight w:val="none"/>
                <w:lang w:eastAsia="zh-CN"/>
              </w:rPr>
              <w:t>“分区分类管控人为活动。生态保护红线内，自然保护地核心保护区原则上禁止人为活动。自然保护地核心保护区外，禁止开发性、生产性建设活动，在符合法律法规的前提下，仅允许国家政策规定的以下9类对生态功能不造成破坏的有限人为活动：</w:t>
            </w:r>
            <w:r>
              <w:rPr>
                <w:rFonts w:hint="default" w:ascii="Times New Roman" w:hAnsi="Times New Roman" w:eastAsia="宋体" w:cs="Times New Roman"/>
                <w:color w:val="auto"/>
                <w:sz w:val="24"/>
                <w:szCs w:val="24"/>
                <w:highlight w:val="none"/>
                <w:u w:val="single"/>
                <w:lang w:eastAsia="zh-CN"/>
              </w:rPr>
              <w:t>……必须且无法避让、符合县级以上国土空间规划的</w:t>
            </w:r>
            <w:r>
              <w:rPr>
                <w:rFonts w:hint="default" w:ascii="Times New Roman" w:hAnsi="Times New Roman" w:eastAsia="宋体" w:cs="Times New Roman"/>
                <w:b/>
                <w:bCs/>
                <w:color w:val="auto"/>
                <w:sz w:val="24"/>
                <w:szCs w:val="24"/>
                <w:highlight w:val="none"/>
                <w:u w:val="single"/>
                <w:lang w:eastAsia="zh-CN"/>
              </w:rPr>
              <w:t>线性基础设施</w:t>
            </w:r>
            <w:r>
              <w:rPr>
                <w:rFonts w:hint="default" w:ascii="Times New Roman" w:hAnsi="Times New Roman" w:eastAsia="宋体" w:cs="Times New Roman"/>
                <w:color w:val="auto"/>
                <w:sz w:val="24"/>
                <w:szCs w:val="24"/>
                <w:highlight w:val="none"/>
                <w:u w:val="single"/>
                <w:lang w:eastAsia="zh-CN"/>
              </w:rPr>
              <w:t>、通讯和防洪、供水设施建设和船舶航行、航道疏浚清淤等活动及已有的合法水利、交通运输等设施运行维护改造。”“……不涉及新增建设用地、有具体建设活动的项目，市、县</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eastAsia="zh-CN"/>
              </w:rPr>
              <w:t>区</w:t>
            </w:r>
            <w:r>
              <w:rPr>
                <w:rFonts w:hint="eastAsia" w:ascii="Times New Roman" w:hAnsi="Times New Roman" w:eastAsia="宋体" w:cs="Times New Roman"/>
                <w:color w:val="auto"/>
                <w:sz w:val="24"/>
                <w:szCs w:val="24"/>
                <w:highlight w:val="none"/>
                <w:u w:val="single"/>
                <w:lang w:eastAsia="zh-CN"/>
              </w:rPr>
              <w:t>）</w:t>
            </w:r>
            <w:r>
              <w:rPr>
                <w:rFonts w:hint="default" w:ascii="Times New Roman" w:hAnsi="Times New Roman" w:eastAsia="宋体" w:cs="Times New Roman"/>
                <w:color w:val="auto"/>
                <w:sz w:val="24"/>
                <w:szCs w:val="24"/>
                <w:highlight w:val="none"/>
                <w:u w:val="single"/>
                <w:lang w:eastAsia="zh-CN"/>
              </w:rPr>
              <w:t>自然资源主管部门组织对有限人为活动不可避让生态保护红线、节约集约和减缓生态环境影响的措施进行论证，由同级人民政府认定，办理相关行政许可审批手续时应当附认定意见。”</w:t>
            </w:r>
          </w:p>
          <w:p w14:paraId="4E340CAC">
            <w:pPr>
              <w:pStyle w:val="55"/>
              <w:keepNext w:val="0"/>
              <w:keepLines w:val="0"/>
              <w:pageBreakBefore w:val="0"/>
              <w:widowControl w:val="0"/>
              <w:numPr>
                <w:ilvl w:val="0"/>
                <w:numId w:val="0"/>
              </w:numPr>
              <w:tabs>
                <w:tab w:val="left" w:pos="1742"/>
              </w:tabs>
              <w:kinsoku/>
              <w:wordWrap w:val="0"/>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本项目局部输电线路无法避让生态保护红线，输电线路属于线性基础设施，</w:t>
            </w:r>
            <w:r>
              <w:rPr>
                <w:rFonts w:hint="default" w:ascii="Times New Roman" w:hAnsi="Times New Roman" w:eastAsia="宋体" w:cs="Times New Roman"/>
                <w:b w:val="0"/>
                <w:bCs w:val="0"/>
                <w:color w:val="auto"/>
                <w:sz w:val="24"/>
                <w:szCs w:val="24"/>
                <w:highlight w:val="none"/>
                <w:lang w:eastAsia="zh-CN"/>
              </w:rPr>
              <w:t>属于文件中要求的有限人为活动</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且</w:t>
            </w: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b w:val="0"/>
                <w:bCs w:val="0"/>
                <w:color w:val="auto"/>
                <w:sz w:val="24"/>
                <w:szCs w:val="24"/>
                <w:highlight w:val="none"/>
                <w:lang w:val="en-US" w:eastAsia="zh-CN"/>
              </w:rPr>
              <w:t>已列入</w:t>
            </w:r>
            <w:r>
              <w:rPr>
                <w:rFonts w:hint="default" w:ascii="Times New Roman" w:hAnsi="Times New Roman" w:eastAsia="宋体" w:cs="Times New Roman"/>
                <w:b w:val="0"/>
                <w:bCs w:val="0"/>
                <w:color w:val="auto"/>
                <w:sz w:val="24"/>
                <w:szCs w:val="24"/>
                <w:highlight w:val="none"/>
                <w:lang w:eastAsia="zh-CN"/>
              </w:rPr>
              <w:t>《</w:t>
            </w:r>
            <w:r>
              <w:rPr>
                <w:rFonts w:hint="eastAsia" w:eastAsia="宋体" w:cs="Times New Roman"/>
                <w:b w:val="0"/>
                <w:bCs w:val="0"/>
                <w:color w:val="auto"/>
                <w:sz w:val="24"/>
                <w:szCs w:val="24"/>
                <w:highlight w:val="none"/>
                <w:lang w:val="en-US" w:eastAsia="zh-CN"/>
              </w:rPr>
              <w:t>隆德县</w:t>
            </w:r>
            <w:r>
              <w:rPr>
                <w:rFonts w:hint="default" w:ascii="Times New Roman" w:hAnsi="Times New Roman" w:eastAsia="宋体" w:cs="Times New Roman"/>
                <w:b w:val="0"/>
                <w:bCs w:val="0"/>
                <w:color w:val="auto"/>
                <w:sz w:val="24"/>
                <w:szCs w:val="24"/>
                <w:highlight w:val="none"/>
                <w:lang w:eastAsia="zh-CN"/>
              </w:rPr>
              <w:t>国土空间总体规划（2021-2035年）》</w:t>
            </w:r>
            <w:r>
              <w:rPr>
                <w:rFonts w:hint="default" w:ascii="Times New Roman" w:hAnsi="Times New Roman" w:eastAsia="宋体" w:cs="Times New Roman"/>
                <w:b w:val="0"/>
                <w:bCs w:val="0"/>
                <w:color w:val="auto"/>
                <w:sz w:val="24"/>
                <w:szCs w:val="24"/>
                <w:highlight w:val="none"/>
                <w:lang w:val="en-US" w:eastAsia="zh-CN"/>
              </w:rPr>
              <w:t>项目列表</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本项目符合生态保护红线内允许有限人为活动，</w:t>
            </w:r>
            <w:r>
              <w:rPr>
                <w:rFonts w:hint="default" w:ascii="Times New Roman" w:hAnsi="Times New Roman" w:eastAsia="宋体" w:cs="Times New Roman"/>
                <w:b w:val="0"/>
                <w:bCs w:val="0"/>
                <w:color w:val="auto"/>
                <w:sz w:val="24"/>
                <w:szCs w:val="24"/>
                <w:highlight w:val="none"/>
                <w:lang w:eastAsia="zh-CN"/>
              </w:rPr>
              <w:t>符合</w:t>
            </w:r>
            <w:r>
              <w:rPr>
                <w:rFonts w:hint="default" w:ascii="Times New Roman" w:hAnsi="Times New Roman" w:eastAsia="宋体" w:cs="Times New Roman"/>
                <w:b w:val="0"/>
                <w:bCs w:val="0"/>
                <w:color w:val="auto"/>
                <w:sz w:val="24"/>
                <w:szCs w:val="24"/>
                <w:highlight w:val="none"/>
                <w:lang w:val="en-US" w:eastAsia="zh-CN"/>
              </w:rPr>
              <w:t>以上</w:t>
            </w:r>
            <w:r>
              <w:rPr>
                <w:rFonts w:hint="default" w:ascii="Times New Roman" w:hAnsi="Times New Roman" w:eastAsia="宋体" w:cs="Times New Roman"/>
                <w:b w:val="0"/>
                <w:bCs w:val="0"/>
                <w:color w:val="auto"/>
                <w:sz w:val="24"/>
                <w:szCs w:val="24"/>
                <w:highlight w:val="none"/>
                <w:lang w:eastAsia="zh-CN"/>
              </w:rPr>
              <w:t>文件要求。</w:t>
            </w:r>
          </w:p>
          <w:p w14:paraId="21968D54">
            <w:pPr>
              <w:pStyle w:val="55"/>
              <w:keepNext w:val="0"/>
              <w:keepLines w:val="0"/>
              <w:pageBreakBefore w:val="0"/>
              <w:widowControl w:val="0"/>
              <w:numPr>
                <w:ilvl w:val="0"/>
                <w:numId w:val="0"/>
              </w:numPr>
              <w:tabs>
                <w:tab w:val="left" w:pos="1742"/>
              </w:tabs>
              <w:kinsoku/>
              <w:wordWrap w:val="0"/>
              <w:overflowPunct/>
              <w:topLinePunct w:val="0"/>
              <w:autoSpaceDE w:val="0"/>
              <w:autoSpaceDN w:val="0"/>
              <w:bidi w:val="0"/>
              <w:adjustRightInd w:val="0"/>
              <w:snapToGrid w:val="0"/>
              <w:spacing w:line="360" w:lineRule="auto"/>
              <w:ind w:leftChars="200" w:right="0" w:righ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）与《宁夏回族自治区生态保护红线管理条例》文件符合性分析</w:t>
            </w:r>
          </w:p>
          <w:p w14:paraId="231E9B97">
            <w:pPr>
              <w:pStyle w:val="5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本项目位于</w:t>
            </w:r>
            <w:r>
              <w:rPr>
                <w:rFonts w:hint="default" w:ascii="Times New Roman" w:hAnsi="Times New Roman" w:eastAsia="宋体" w:cs="Times New Roman"/>
                <w:b w:val="0"/>
                <w:bCs w:val="0"/>
                <w:color w:val="auto"/>
                <w:sz w:val="24"/>
                <w:szCs w:val="24"/>
                <w:highlight w:val="none"/>
                <w:lang w:val="en-US" w:eastAsia="zh-CN"/>
              </w:rPr>
              <w:t>宁夏回族自治区固原市隆德县</w:t>
            </w:r>
            <w:r>
              <w:rPr>
                <w:rFonts w:hint="default" w:ascii="Times New Roman" w:hAnsi="Times New Roman" w:eastAsia="宋体" w:cs="Times New Roman"/>
                <w:b w:val="0"/>
                <w:bCs w:val="0"/>
                <w:color w:val="auto"/>
                <w:sz w:val="24"/>
                <w:szCs w:val="24"/>
                <w:highlight w:val="none"/>
                <w:lang w:eastAsia="zh-CN"/>
              </w:rPr>
              <w:t>。文件中</w:t>
            </w:r>
            <w:r>
              <w:rPr>
                <w:rFonts w:hint="eastAsia" w:ascii="Times New Roman" w:hAnsi="Times New Roman" w:cs="Times New Roman"/>
                <w:b w:val="0"/>
                <w:bCs w:val="0"/>
                <w:color w:val="auto"/>
                <w:sz w:val="24"/>
                <w:szCs w:val="24"/>
                <w:highlight w:val="none"/>
                <w:lang w:val="en-US" w:eastAsia="zh-CN"/>
              </w:rPr>
              <w:t>提出</w:t>
            </w:r>
            <w:r>
              <w:rPr>
                <w:rFonts w:hint="default" w:ascii="Times New Roman" w:hAnsi="Times New Roman" w:eastAsia="宋体" w:cs="Times New Roman"/>
                <w:b w:val="0"/>
                <w:bCs w:val="0"/>
                <w:color w:val="auto"/>
                <w:sz w:val="24"/>
                <w:szCs w:val="24"/>
                <w:highlight w:val="none"/>
                <w:lang w:eastAsia="zh-CN"/>
              </w:rPr>
              <w:t>“生态保护红线内，自然保护地核心保护区原则上禁止人为活动，其他区域严格禁止开发性、生产性建设活动，在符合法律法规和国家规定的前提下，可以从事对生态功能不造成破坏的有限人为活动，具体按照国家有关规定和政策执行”。</w:t>
            </w:r>
          </w:p>
          <w:p w14:paraId="4DB6A00B">
            <w:pPr>
              <w:autoSpaceDE w:val="0"/>
              <w:autoSpaceDN w:val="0"/>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局部输电线路无法避让******</w:t>
            </w:r>
            <w:r>
              <w:rPr>
                <w:rFonts w:hint="default" w:ascii="Times New Roman" w:hAnsi="Times New Roman" w:eastAsia="宋体" w:cs="Times New Roman"/>
                <w:b w:val="0"/>
                <w:bCs w:val="0"/>
                <w:color w:val="auto"/>
                <w:sz w:val="24"/>
                <w:szCs w:val="24"/>
                <w:highlight w:val="none"/>
                <w:lang w:val="en-US" w:eastAsia="zh-CN"/>
              </w:rPr>
              <w:t>，不在自然保护地核心地带，</w:t>
            </w:r>
            <w:r>
              <w:rPr>
                <w:rFonts w:hint="default" w:ascii="Times New Roman" w:hAnsi="Times New Roman" w:eastAsia="宋体" w:cs="Times New Roman"/>
                <w:b w:val="0"/>
                <w:bCs w:val="0"/>
                <w:color w:val="auto"/>
                <w:sz w:val="24"/>
                <w:szCs w:val="24"/>
                <w:highlight w:val="none"/>
                <w:lang w:eastAsia="zh-CN"/>
              </w:rPr>
              <w:t>输电线路属于线性基础设施，且本项目</w:t>
            </w:r>
            <w:r>
              <w:rPr>
                <w:rFonts w:hint="eastAsia" w:ascii="Times New Roman" w:hAnsi="Times New Roman" w:eastAsia="宋体" w:cs="Times New Roman"/>
                <w:b w:val="0"/>
                <w:bCs w:val="0"/>
                <w:color w:val="auto"/>
                <w:sz w:val="24"/>
                <w:szCs w:val="24"/>
                <w:highlight w:val="none"/>
                <w:lang w:val="en-US" w:eastAsia="zh-CN"/>
              </w:rPr>
              <w:t>已纳入</w:t>
            </w:r>
            <w:r>
              <w:rPr>
                <w:rFonts w:hint="default"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隆德县</w:t>
            </w:r>
            <w:r>
              <w:rPr>
                <w:rFonts w:hint="default" w:ascii="Times New Roman" w:hAnsi="Times New Roman" w:eastAsia="宋体" w:cs="Times New Roman"/>
                <w:b w:val="0"/>
                <w:bCs w:val="0"/>
                <w:color w:val="auto"/>
                <w:sz w:val="24"/>
                <w:szCs w:val="24"/>
                <w:highlight w:val="none"/>
                <w:lang w:eastAsia="zh-CN"/>
              </w:rPr>
              <w:t>国土空间总体规划（2021-2035年）》，即</w:t>
            </w:r>
            <w:r>
              <w:rPr>
                <w:rFonts w:hint="eastAsia" w:ascii="Times New Roman" w:hAnsi="Times New Roman" w:eastAsia="宋体" w:cs="Times New Roman"/>
                <w:b w:val="0"/>
                <w:bCs w:val="0"/>
                <w:color w:val="auto"/>
                <w:sz w:val="24"/>
                <w:szCs w:val="24"/>
                <w:highlight w:val="none"/>
                <w:lang w:val="en-US" w:eastAsia="zh-CN"/>
              </w:rPr>
              <w:t>符合文件要求</w:t>
            </w:r>
            <w:r>
              <w:rPr>
                <w:rFonts w:hint="default" w:ascii="Times New Roman" w:hAnsi="Times New Roman" w:eastAsia="宋体" w:cs="Times New Roman"/>
                <w:b w:val="0"/>
                <w:bCs w:val="0"/>
                <w:color w:val="auto"/>
                <w:sz w:val="24"/>
                <w:szCs w:val="24"/>
                <w:highlight w:val="none"/>
                <w:lang w:eastAsia="zh-CN"/>
              </w:rPr>
              <w:t>。</w:t>
            </w:r>
          </w:p>
          <w:p w14:paraId="17D325D6">
            <w:pPr>
              <w:autoSpaceDE w:val="0"/>
              <w:autoSpaceDN w:val="0"/>
              <w:spacing w:line="360" w:lineRule="auto"/>
              <w:ind w:firstLine="482" w:firstLineChars="200"/>
              <w:rPr>
                <w:b/>
                <w:color w:val="auto"/>
                <w:sz w:val="24"/>
                <w:highlight w:val="none"/>
              </w:rPr>
            </w:pPr>
            <w:r>
              <w:rPr>
                <w:rFonts w:hint="eastAsia"/>
                <w:b/>
                <w:color w:val="auto"/>
                <w:sz w:val="24"/>
                <w:highlight w:val="none"/>
                <w:lang w:val="en-US" w:eastAsia="zh-CN"/>
              </w:rPr>
              <w:t>5</w:t>
            </w:r>
            <w:r>
              <w:rPr>
                <w:b/>
                <w:color w:val="auto"/>
                <w:sz w:val="24"/>
                <w:highlight w:val="none"/>
              </w:rPr>
              <w:t>、</w:t>
            </w:r>
            <w:r>
              <w:rPr>
                <w:rFonts w:hint="eastAsia"/>
                <w:b/>
                <w:color w:val="auto"/>
                <w:sz w:val="24"/>
                <w:highlight w:val="none"/>
              </w:rPr>
              <w:t>“</w:t>
            </w:r>
            <w:r>
              <w:rPr>
                <w:b/>
                <w:color w:val="auto"/>
                <w:sz w:val="24"/>
                <w:highlight w:val="none"/>
              </w:rPr>
              <w:t>三线一单</w:t>
            </w:r>
            <w:r>
              <w:rPr>
                <w:rFonts w:hint="eastAsia"/>
                <w:b/>
                <w:color w:val="auto"/>
                <w:sz w:val="24"/>
                <w:highlight w:val="none"/>
              </w:rPr>
              <w:t>”</w:t>
            </w:r>
            <w:r>
              <w:rPr>
                <w:b/>
                <w:color w:val="auto"/>
                <w:sz w:val="24"/>
                <w:highlight w:val="none"/>
              </w:rPr>
              <w:t>符合性分析</w:t>
            </w:r>
          </w:p>
          <w:p w14:paraId="1A5F4941">
            <w:pPr>
              <w:autoSpaceDE w:val="0"/>
              <w:autoSpaceDN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根据生态环境部发布的《关于以改善环境质量为核心加强环境影响评价管理的通知》（环环评</w:t>
            </w:r>
            <w:r>
              <w:rPr>
                <w:rFonts w:hint="default" w:ascii="Times New Roman" w:hAnsi="Times New Roman" w:cs="Times New Roman"/>
                <w:color w:val="auto"/>
                <w:sz w:val="24"/>
                <w:highlight w:val="none"/>
              </w:rPr>
              <w:t>〔2016〕</w:t>
            </w:r>
            <w:r>
              <w:rPr>
                <w:rFonts w:hint="default" w:ascii="Times New Roman" w:hAnsi="Times New Roman" w:cs="Times New Roman"/>
                <w:bCs/>
                <w:color w:val="auto"/>
                <w:sz w:val="24"/>
                <w:highlight w:val="none"/>
              </w:rPr>
              <w:t>150号）要求：切实加强环境影响评价管理，落实“生态保护红线、环境质量底线、资源利用上线和环境准入负面清单”约束，建立项目环评审批与现有项目环境管理、区域环境质量联动机制，更好地发挥环评制度从源头防范环境污染和生态破坏的作用，加快推进改善环境质量。</w:t>
            </w:r>
          </w:p>
          <w:p w14:paraId="5489F32A">
            <w:pPr>
              <w:autoSpaceDE w:val="0"/>
              <w:autoSpaceDN w:val="0"/>
              <w:spacing w:line="360" w:lineRule="auto"/>
              <w:ind w:firstLine="480" w:firstLineChars="200"/>
              <w:rPr>
                <w:bCs/>
                <w:color w:val="auto"/>
                <w:sz w:val="24"/>
                <w:highlight w:val="none"/>
              </w:rPr>
            </w:pPr>
            <w:r>
              <w:rPr>
                <w:bCs/>
                <w:color w:val="auto"/>
                <w:sz w:val="24"/>
                <w:highlight w:val="none"/>
              </w:rPr>
              <w:t>（1）生态保护红线</w:t>
            </w:r>
          </w:p>
          <w:p w14:paraId="0991DEC4">
            <w:pPr>
              <w:pStyle w:val="41"/>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根据《固原市人民政府关于印发&lt;固原市生态环境分区管控实施方案&gt;的通知》（固政发〔2024〕28号），</w:t>
            </w:r>
            <w:r>
              <w:rPr>
                <w:rFonts w:hint="default" w:ascii="Times New Roman" w:hAnsi="Times New Roman" w:eastAsia="宋体" w:cs="Times New Roman"/>
                <w:b w:val="0"/>
                <w:bCs w:val="0"/>
                <w:color w:val="auto"/>
                <w:sz w:val="24"/>
                <w:szCs w:val="24"/>
                <w:highlight w:val="none"/>
                <w:lang w:val="en-US" w:eastAsia="zh-CN"/>
              </w:rPr>
              <w:t>本项目</w:t>
            </w:r>
            <w:r>
              <w:rPr>
                <w:rFonts w:hint="eastAsia" w:ascii="Times New Roman" w:hAnsi="Times New Roman" w:eastAsia="宋体" w:cs="Times New Roman"/>
                <w:b w:val="0"/>
                <w:bCs w:val="0"/>
                <w:color w:val="auto"/>
                <w:sz w:val="24"/>
                <w:szCs w:val="24"/>
                <w:highlight w:val="none"/>
                <w:lang w:val="en-US" w:eastAsia="zh-CN"/>
              </w:rPr>
              <w:t>部分线路一档跨越生态保护红线</w:t>
            </w:r>
            <w:r>
              <w:rPr>
                <w:rFonts w:hint="default" w:ascii="Times New Roman" w:hAnsi="Times New Roman" w:eastAsia="宋体" w:cs="Times New Roman"/>
                <w:b w:val="0"/>
                <w:bCs w:val="0"/>
                <w:color w:val="auto"/>
                <w:sz w:val="24"/>
                <w:szCs w:val="24"/>
                <w:highlight w:val="none"/>
                <w:lang w:val="en-US" w:eastAsia="zh-CN"/>
              </w:rPr>
              <w:t>，不在生态保护红线范围内新增永久、临时占地，跨越线路长度约13m，</w:t>
            </w:r>
            <w:r>
              <w:rPr>
                <w:rFonts w:hint="eastAsia" w:ascii="Times New Roman" w:hAnsi="Times New Roman" w:eastAsia="宋体" w:cs="Times New Roman"/>
                <w:b w:val="0"/>
                <w:bCs w:val="0"/>
                <w:color w:val="auto"/>
                <w:sz w:val="24"/>
                <w:szCs w:val="24"/>
                <w:highlight w:val="none"/>
                <w:lang w:val="en-US" w:eastAsia="zh-CN"/>
              </w:rPr>
              <w:t>线路路径上</w:t>
            </w:r>
            <w:r>
              <w:rPr>
                <w:rFonts w:hint="default" w:ascii="Times New Roman" w:hAnsi="Times New Roman" w:eastAsia="宋体" w:cs="Times New Roman"/>
                <w:b w:val="0"/>
                <w:bCs w:val="0"/>
                <w:color w:val="auto"/>
                <w:sz w:val="24"/>
                <w:szCs w:val="24"/>
                <w:highlight w:val="none"/>
                <w:lang w:val="en-US" w:eastAsia="zh-CN"/>
              </w:rPr>
              <w:t>最近</w:t>
            </w:r>
            <w:r>
              <w:rPr>
                <w:rFonts w:hint="eastAsia" w:ascii="Times New Roman" w:hAnsi="Times New Roman" w:eastAsia="宋体"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铁塔距离生态保护红线约46m</w:t>
            </w:r>
            <w:r>
              <w:rPr>
                <w:rFonts w:hint="default" w:ascii="Times New Roman" w:hAnsi="Times New Roman" w:cs="Times New Roman"/>
                <w:color w:val="auto"/>
                <w:sz w:val="24"/>
                <w:highlight w:val="none"/>
                <w:lang w:val="en-US" w:eastAsia="zh-CN"/>
              </w:rPr>
              <w:t>。本项目符合生态保护红线内允许有限人为活动，</w:t>
            </w:r>
            <w:r>
              <w:rPr>
                <w:rFonts w:hint="default" w:ascii="Times New Roman" w:hAnsi="Times New Roman" w:cs="Times New Roman"/>
                <w:b/>
                <w:bCs/>
                <w:color w:val="auto"/>
                <w:sz w:val="24"/>
                <w:highlight w:val="none"/>
                <w:lang w:val="en-US" w:eastAsia="zh-CN"/>
              </w:rPr>
              <w:t>具体项目</w:t>
            </w:r>
            <w:r>
              <w:rPr>
                <w:rFonts w:hint="eastAsia" w:ascii="Times New Roman" w:hAnsi="Times New Roman" w:cs="Times New Roman"/>
                <w:b/>
                <w:bCs/>
                <w:color w:val="auto"/>
                <w:sz w:val="24"/>
                <w:highlight w:val="none"/>
                <w:lang w:val="en-US" w:eastAsia="zh-CN"/>
              </w:rPr>
              <w:t>跨越</w:t>
            </w:r>
            <w:r>
              <w:rPr>
                <w:rFonts w:hint="default" w:ascii="Times New Roman" w:hAnsi="Times New Roman" w:cs="Times New Roman"/>
                <w:b/>
                <w:bCs/>
                <w:color w:val="auto"/>
                <w:sz w:val="24"/>
                <w:highlight w:val="none"/>
                <w:lang w:val="en-US" w:eastAsia="zh-CN"/>
              </w:rPr>
              <w:t>生态保护红线不可避让性分析详见</w:t>
            </w:r>
            <w:r>
              <w:rPr>
                <w:b/>
                <w:bCs/>
                <w:color w:val="auto"/>
                <w:kern w:val="0"/>
                <w:sz w:val="24"/>
                <w:highlight w:val="none"/>
              </w:rPr>
              <w:t>本报告</w:t>
            </w:r>
            <w:r>
              <w:rPr>
                <w:rFonts w:hint="eastAsia"/>
                <w:b/>
                <w:bCs/>
                <w:color w:val="auto"/>
                <w:kern w:val="0"/>
                <w:sz w:val="24"/>
                <w:highlight w:val="none"/>
                <w:lang w:val="en-US" w:eastAsia="zh-CN"/>
              </w:rPr>
              <w:t>生态</w:t>
            </w:r>
            <w:r>
              <w:rPr>
                <w:b/>
                <w:bCs/>
                <w:color w:val="auto"/>
                <w:kern w:val="0"/>
                <w:sz w:val="24"/>
                <w:highlight w:val="none"/>
              </w:rPr>
              <w:t>影响专题评价</w:t>
            </w:r>
            <w:r>
              <w:rPr>
                <w:b w:val="0"/>
                <w:bCs w:val="0"/>
                <w:color w:val="auto"/>
                <w:kern w:val="0"/>
                <w:sz w:val="24"/>
                <w:highlight w:val="none"/>
              </w:rPr>
              <w:t>。</w:t>
            </w:r>
          </w:p>
          <w:p w14:paraId="78E36E60">
            <w:pPr>
              <w:pStyle w:val="41"/>
              <w:ind w:firstLine="480" w:firstLineChars="200"/>
              <w:rPr>
                <w:rFonts w:hint="default" w:ascii="Times New Roman" w:hAnsi="Times New Roman" w:cs="Times New Roman"/>
                <w:bCs/>
                <w:color w:val="auto"/>
                <w:highlight w:val="none"/>
              </w:rPr>
            </w:pPr>
            <w:r>
              <w:rPr>
                <w:rFonts w:hint="default" w:ascii="Times New Roman" w:hAnsi="Times New Roman" w:cs="Times New Roman"/>
                <w:color w:val="auto"/>
                <w:sz w:val="24"/>
                <w:highlight w:val="none"/>
                <w:lang w:val="en-US" w:eastAsia="zh-CN"/>
              </w:rPr>
              <w:t>根据固原市“三线一单”中生态红线的管控要求：“....生态保护红线内，自然保护地核心保护区除满足国家特殊战略需要的有关活动外，原则上禁止人为活动。但允许开展以下活动：...必须且无法避让、符合县级以上国土空间规划的线性基础设施建设...”本项目输电线路属于符合《</w:t>
            </w:r>
            <w:r>
              <w:rPr>
                <w:rFonts w:hint="eastAsia" w:ascii="Times New Roman" w:hAnsi="Times New Roman" w:cs="Times New Roman"/>
                <w:color w:val="auto"/>
                <w:sz w:val="24"/>
                <w:highlight w:val="none"/>
                <w:lang w:val="en-US" w:eastAsia="zh-CN"/>
              </w:rPr>
              <w:t>隆德县</w:t>
            </w:r>
            <w:r>
              <w:rPr>
                <w:rFonts w:hint="default" w:ascii="Times New Roman" w:hAnsi="Times New Roman" w:cs="Times New Roman"/>
                <w:color w:val="auto"/>
                <w:sz w:val="24"/>
                <w:highlight w:val="none"/>
                <w:lang w:val="en-US" w:eastAsia="zh-CN"/>
              </w:rPr>
              <w:t>国土空间规划（2021-2035年）》的线性基础设施，即满足生态红线管控要求。</w:t>
            </w:r>
          </w:p>
          <w:p w14:paraId="2D75CA25">
            <w:pPr>
              <w:autoSpaceDE w:val="0"/>
              <w:autoSpaceDN w:val="0"/>
              <w:spacing w:line="360" w:lineRule="auto"/>
              <w:ind w:firstLine="480" w:firstLineChars="200"/>
              <w:rPr>
                <w:bCs/>
                <w:color w:val="auto"/>
                <w:sz w:val="24"/>
                <w:highlight w:val="none"/>
              </w:rPr>
            </w:pPr>
            <w:r>
              <w:rPr>
                <w:bCs/>
                <w:color w:val="auto"/>
                <w:sz w:val="24"/>
                <w:highlight w:val="none"/>
              </w:rPr>
              <w:t>（2）环境质量底线</w:t>
            </w:r>
          </w:p>
          <w:p w14:paraId="78FD8D7D">
            <w:pPr>
              <w:autoSpaceDE w:val="0"/>
              <w:autoSpaceDN w:val="0"/>
              <w:spacing w:line="360" w:lineRule="auto"/>
              <w:ind w:firstLine="480" w:firstLineChars="200"/>
              <w:jc w:val="left"/>
              <w:rPr>
                <w:rFonts w:hint="default"/>
                <w:bCs/>
                <w:color w:val="auto"/>
                <w:sz w:val="24"/>
                <w:highlight w:val="none"/>
                <w:lang w:val="en-US" w:eastAsia="zh-CN"/>
              </w:rPr>
            </w:pPr>
            <w:r>
              <w:rPr>
                <w:rFonts w:hint="eastAsia"/>
                <w:bCs/>
                <w:color w:val="auto"/>
                <w:sz w:val="24"/>
                <w:highlight w:val="none"/>
                <w:lang w:val="en-US" w:eastAsia="zh-CN"/>
              </w:rPr>
              <w:t>①大气环境</w:t>
            </w:r>
          </w:p>
          <w:p w14:paraId="4DFB9C8B">
            <w:pPr>
              <w:autoSpaceDE w:val="0"/>
              <w:autoSpaceDN w:val="0"/>
              <w:spacing w:line="360" w:lineRule="auto"/>
              <w:ind w:firstLine="480" w:firstLineChars="200"/>
              <w:jc w:val="left"/>
              <w:rPr>
                <w:rFonts w:hint="eastAsia"/>
                <w:bCs/>
                <w:color w:val="auto"/>
                <w:sz w:val="24"/>
                <w:highlight w:val="none"/>
              </w:rPr>
            </w:pPr>
            <w:r>
              <w:rPr>
                <w:rFonts w:hint="eastAsia"/>
                <w:bCs/>
                <w:color w:val="auto"/>
                <w:sz w:val="24"/>
                <w:highlight w:val="none"/>
              </w:rPr>
              <w:t>根据《202</w:t>
            </w:r>
            <w:r>
              <w:rPr>
                <w:rFonts w:hint="eastAsia"/>
                <w:bCs/>
                <w:color w:val="auto"/>
                <w:sz w:val="24"/>
                <w:highlight w:val="none"/>
                <w:lang w:val="en-US" w:eastAsia="zh-CN"/>
              </w:rPr>
              <w:t>4</w:t>
            </w:r>
            <w:r>
              <w:rPr>
                <w:rFonts w:hint="eastAsia"/>
                <w:bCs/>
                <w:color w:val="auto"/>
                <w:sz w:val="24"/>
                <w:highlight w:val="none"/>
              </w:rPr>
              <w:t>年宁夏生态环境质量状况》中</w:t>
            </w:r>
            <w:r>
              <w:rPr>
                <w:rFonts w:hint="eastAsia"/>
                <w:bCs/>
                <w:color w:val="auto"/>
                <w:sz w:val="24"/>
                <w:highlight w:val="none"/>
                <w:lang w:val="en-US" w:eastAsia="zh-CN"/>
              </w:rPr>
              <w:t>隆德县</w:t>
            </w:r>
            <w:r>
              <w:rPr>
                <w:rFonts w:hint="eastAsia"/>
                <w:bCs/>
                <w:color w:val="auto"/>
                <w:sz w:val="24"/>
                <w:highlight w:val="none"/>
              </w:rPr>
              <w:t>环境空气质量监测数据</w:t>
            </w:r>
            <w:r>
              <w:rPr>
                <w:rFonts w:hint="eastAsia"/>
                <w:bCs/>
                <w:color w:val="auto"/>
                <w:sz w:val="24"/>
                <w:highlight w:val="none"/>
                <w:lang w:val="en-US" w:eastAsia="zh-CN"/>
              </w:rPr>
              <w:t>和结论</w:t>
            </w:r>
            <w:r>
              <w:rPr>
                <w:rFonts w:hint="eastAsia"/>
                <w:bCs/>
                <w:color w:val="auto"/>
                <w:sz w:val="24"/>
                <w:highlight w:val="none"/>
              </w:rPr>
              <w:t>，</w:t>
            </w:r>
            <w:r>
              <w:rPr>
                <w:rFonts w:hint="eastAsia"/>
                <w:bCs/>
                <w:color w:val="auto"/>
                <w:sz w:val="24"/>
                <w:highlight w:val="none"/>
                <w:lang w:val="en-US" w:eastAsia="zh-CN"/>
              </w:rPr>
              <w:t>隆德县</w:t>
            </w:r>
            <w:r>
              <w:rPr>
                <w:rFonts w:hint="eastAsia"/>
                <w:bCs/>
                <w:color w:val="auto"/>
                <w:sz w:val="24"/>
                <w:highlight w:val="none"/>
              </w:rPr>
              <w:t>202</w:t>
            </w:r>
            <w:r>
              <w:rPr>
                <w:rFonts w:hint="eastAsia"/>
                <w:bCs/>
                <w:color w:val="auto"/>
                <w:sz w:val="24"/>
                <w:highlight w:val="none"/>
                <w:lang w:val="en-US" w:eastAsia="zh-CN"/>
              </w:rPr>
              <w:t>4</w:t>
            </w:r>
            <w:r>
              <w:rPr>
                <w:rFonts w:hint="eastAsia"/>
                <w:bCs/>
                <w:color w:val="auto"/>
                <w:sz w:val="24"/>
                <w:highlight w:val="none"/>
              </w:rPr>
              <w:t>年度</w:t>
            </w:r>
            <w:r>
              <w:rPr>
                <w:rFonts w:hint="eastAsia"/>
                <w:bCs/>
                <w:color w:val="auto"/>
                <w:sz w:val="24"/>
                <w:highlight w:val="none"/>
                <w:lang w:val="en-US" w:eastAsia="zh-CN"/>
              </w:rPr>
              <w:t>6</w:t>
            </w:r>
            <w:r>
              <w:rPr>
                <w:rFonts w:hint="eastAsia"/>
                <w:bCs/>
                <w:color w:val="auto"/>
                <w:sz w:val="24"/>
                <w:highlight w:val="none"/>
              </w:rPr>
              <w:t>项</w:t>
            </w:r>
            <w:r>
              <w:rPr>
                <w:rFonts w:hint="eastAsia"/>
                <w:bCs/>
                <w:color w:val="auto"/>
                <w:sz w:val="24"/>
                <w:highlight w:val="none"/>
                <w:lang w:val="en-US" w:eastAsia="zh-CN"/>
              </w:rPr>
              <w:t>基本</w:t>
            </w:r>
            <w:r>
              <w:rPr>
                <w:rFonts w:hint="eastAsia"/>
                <w:bCs/>
                <w:color w:val="auto"/>
                <w:sz w:val="24"/>
                <w:highlight w:val="none"/>
              </w:rPr>
              <w:t>污染物均满足《环境空气质量标准》（GB3095-20</w:t>
            </w:r>
            <w:r>
              <w:rPr>
                <w:rFonts w:hint="eastAsia"/>
                <w:bCs/>
                <w:color w:val="auto"/>
                <w:sz w:val="24"/>
                <w:highlight w:val="none"/>
                <w:lang w:val="en-US" w:eastAsia="zh-CN"/>
              </w:rPr>
              <w:t>12</w:t>
            </w:r>
            <w:r>
              <w:rPr>
                <w:rFonts w:hint="eastAsia"/>
                <w:bCs/>
                <w:color w:val="auto"/>
                <w:sz w:val="24"/>
                <w:highlight w:val="none"/>
              </w:rPr>
              <w:t>）</w:t>
            </w:r>
            <w:r>
              <w:rPr>
                <w:rFonts w:hint="eastAsia"/>
                <w:bCs/>
                <w:color w:val="auto"/>
                <w:sz w:val="24"/>
                <w:highlight w:val="none"/>
                <w:lang w:val="en-US" w:eastAsia="zh-CN"/>
              </w:rPr>
              <w:t>中</w:t>
            </w:r>
            <w:r>
              <w:rPr>
                <w:rFonts w:hint="eastAsia"/>
                <w:bCs/>
                <w:color w:val="auto"/>
                <w:sz w:val="24"/>
                <w:highlight w:val="none"/>
              </w:rPr>
              <w:t>二级标准限值要求，判定项目所在区域为达标区域。</w:t>
            </w:r>
          </w:p>
          <w:p w14:paraId="16B5831F">
            <w:pPr>
              <w:autoSpaceDE w:val="0"/>
              <w:autoSpaceDN w:val="0"/>
              <w:spacing w:line="360" w:lineRule="auto"/>
              <w:ind w:firstLine="480" w:firstLineChars="200"/>
              <w:jc w:val="left"/>
              <w:rPr>
                <w:rFonts w:hint="eastAsia" w:eastAsia="宋体"/>
                <w:bCs/>
                <w:color w:val="auto"/>
                <w:sz w:val="24"/>
                <w:highlight w:val="none"/>
                <w:lang w:eastAsia="zh-CN"/>
              </w:rPr>
            </w:pPr>
            <w:r>
              <w:rPr>
                <w:bCs/>
                <w:color w:val="auto"/>
                <w:sz w:val="24"/>
                <w:highlight w:val="none"/>
              </w:rPr>
              <w:t>本项目运行期无废气产生，在落实项目</w:t>
            </w:r>
            <w:r>
              <w:rPr>
                <w:rFonts w:hint="eastAsia"/>
                <w:bCs/>
                <w:color w:val="auto"/>
                <w:sz w:val="24"/>
                <w:highlight w:val="none"/>
                <w:lang w:val="en-US" w:eastAsia="zh-CN"/>
              </w:rPr>
              <w:t>环境影响</w:t>
            </w:r>
            <w:r>
              <w:rPr>
                <w:bCs/>
                <w:color w:val="auto"/>
                <w:sz w:val="24"/>
                <w:highlight w:val="none"/>
              </w:rPr>
              <w:t>报告表提出的相应防治措施后，</w:t>
            </w:r>
            <w:r>
              <w:rPr>
                <w:rFonts w:hint="eastAsia"/>
                <w:bCs/>
                <w:color w:val="auto"/>
                <w:sz w:val="24"/>
                <w:highlight w:val="none"/>
                <w:lang w:val="en-US" w:eastAsia="zh-CN"/>
              </w:rPr>
              <w:t>项目建成后</w:t>
            </w:r>
            <w:r>
              <w:rPr>
                <w:bCs/>
                <w:color w:val="auto"/>
                <w:sz w:val="24"/>
                <w:highlight w:val="none"/>
              </w:rPr>
              <w:t>对周围</w:t>
            </w:r>
            <w:r>
              <w:rPr>
                <w:rFonts w:hint="eastAsia"/>
                <w:bCs/>
                <w:color w:val="auto"/>
                <w:sz w:val="24"/>
                <w:highlight w:val="none"/>
                <w:lang w:val="en-US" w:eastAsia="zh-CN"/>
              </w:rPr>
              <w:t>大气</w:t>
            </w:r>
            <w:r>
              <w:rPr>
                <w:bCs/>
                <w:color w:val="auto"/>
                <w:sz w:val="24"/>
                <w:highlight w:val="none"/>
              </w:rPr>
              <w:t>环境</w:t>
            </w:r>
            <w:r>
              <w:rPr>
                <w:rFonts w:hint="eastAsia"/>
                <w:bCs/>
                <w:color w:val="auto"/>
                <w:sz w:val="24"/>
                <w:highlight w:val="none"/>
                <w:lang w:val="en-US" w:eastAsia="zh-CN"/>
              </w:rPr>
              <w:t>无</w:t>
            </w:r>
            <w:r>
              <w:rPr>
                <w:bCs/>
                <w:color w:val="auto"/>
                <w:sz w:val="24"/>
                <w:highlight w:val="none"/>
              </w:rPr>
              <w:t>影响。</w:t>
            </w:r>
            <w:r>
              <w:rPr>
                <w:rFonts w:hint="eastAsia"/>
                <w:bCs/>
                <w:color w:val="auto"/>
                <w:sz w:val="24"/>
                <w:highlight w:val="none"/>
                <w:lang w:val="en-US" w:eastAsia="zh-CN"/>
              </w:rPr>
              <w:t>因此，</w:t>
            </w:r>
            <w:r>
              <w:rPr>
                <w:bCs/>
                <w:color w:val="auto"/>
                <w:sz w:val="24"/>
                <w:highlight w:val="none"/>
              </w:rPr>
              <w:t>项目符合</w:t>
            </w:r>
            <w:r>
              <w:rPr>
                <w:rFonts w:hint="eastAsia" w:ascii="宋体" w:hAnsi="宋体" w:eastAsia="宋体" w:cs="宋体"/>
                <w:color w:val="auto"/>
                <w:sz w:val="24"/>
                <w:szCs w:val="24"/>
                <w:highlight w:val="none"/>
                <w:lang w:val="en-US" w:eastAsia="zh-CN"/>
              </w:rPr>
              <w:t>固原市</w:t>
            </w:r>
            <w:r>
              <w:rPr>
                <w:rFonts w:hint="eastAsia"/>
                <w:bCs/>
                <w:color w:val="auto"/>
                <w:sz w:val="24"/>
                <w:highlight w:val="none"/>
                <w:lang w:val="en-US" w:eastAsia="zh-CN"/>
              </w:rPr>
              <w:t>大气</w:t>
            </w:r>
            <w:r>
              <w:rPr>
                <w:bCs/>
                <w:color w:val="auto"/>
                <w:sz w:val="24"/>
                <w:highlight w:val="none"/>
              </w:rPr>
              <w:t>环境质量底线</w:t>
            </w:r>
            <w:r>
              <w:rPr>
                <w:rFonts w:ascii="宋体" w:hAnsi="宋体" w:eastAsia="宋体" w:cs="宋体"/>
                <w:color w:val="auto"/>
                <w:sz w:val="24"/>
                <w:szCs w:val="24"/>
                <w:highlight w:val="none"/>
              </w:rPr>
              <w:t>要求</w:t>
            </w:r>
            <w:r>
              <w:rPr>
                <w:rFonts w:hint="eastAsia" w:eastAsia="宋体"/>
                <w:bCs/>
                <w:color w:val="auto"/>
                <w:sz w:val="24"/>
                <w:highlight w:val="none"/>
                <w:lang w:eastAsia="zh-CN"/>
              </w:rPr>
              <w:t>。</w:t>
            </w:r>
          </w:p>
          <w:p w14:paraId="644B4EA3">
            <w:pPr>
              <w:autoSpaceDE w:val="0"/>
              <w:autoSpaceDN w:val="0"/>
              <w:spacing w:line="360" w:lineRule="auto"/>
              <w:ind w:firstLine="480" w:firstLineChars="200"/>
              <w:jc w:val="left"/>
              <w:rPr>
                <w:rFonts w:hint="default"/>
                <w:bCs/>
                <w:color w:val="auto"/>
                <w:sz w:val="24"/>
                <w:highlight w:val="none"/>
                <w:lang w:val="en-US" w:eastAsia="zh-CN"/>
              </w:rPr>
            </w:pPr>
            <w:r>
              <w:rPr>
                <w:rFonts w:hint="eastAsia"/>
                <w:bCs/>
                <w:color w:val="auto"/>
                <w:sz w:val="24"/>
                <w:highlight w:val="none"/>
                <w:lang w:val="en-US" w:eastAsia="zh-CN"/>
              </w:rPr>
              <w:t>②水环境</w:t>
            </w:r>
          </w:p>
          <w:p w14:paraId="1E1D4A39">
            <w:pPr>
              <w:autoSpaceDE w:val="0"/>
              <w:autoSpaceDN w:val="0"/>
              <w:spacing w:line="360" w:lineRule="auto"/>
              <w:rPr>
                <w:rFonts w:hint="default" w:eastAsia="宋体"/>
                <w:bCs/>
                <w:color w:val="auto"/>
                <w:sz w:val="24"/>
                <w:highlight w:val="none"/>
                <w:lang w:val="en-US" w:eastAsia="zh-CN"/>
              </w:rPr>
            </w:pPr>
            <w:r>
              <w:rPr>
                <w:rFonts w:hint="eastAsia"/>
                <w:bCs/>
                <w:color w:val="auto"/>
                <w:sz w:val="24"/>
                <w:highlight w:val="none"/>
                <w:lang w:val="en-US" w:eastAsia="zh-CN"/>
              </w:rPr>
              <w:t xml:space="preserve">    </w:t>
            </w:r>
            <w:r>
              <w:rPr>
                <w:color w:val="auto"/>
                <w:kern w:val="0"/>
                <w:sz w:val="24"/>
                <w:szCs w:val="24"/>
                <w:highlight w:val="none"/>
              </w:rPr>
              <w:t>本项目</w:t>
            </w:r>
            <w:r>
              <w:rPr>
                <w:rFonts w:hint="eastAsia"/>
                <w:color w:val="auto"/>
                <w:kern w:val="0"/>
                <w:sz w:val="24"/>
                <w:szCs w:val="24"/>
                <w:highlight w:val="none"/>
                <w:lang w:val="en-US" w:eastAsia="zh-CN"/>
              </w:rPr>
              <w:t>变电站周围无稳定地表径流，</w:t>
            </w:r>
            <w:r>
              <w:rPr>
                <w:color w:val="auto"/>
                <w:kern w:val="0"/>
                <w:sz w:val="24"/>
                <w:szCs w:val="24"/>
                <w:highlight w:val="none"/>
              </w:rPr>
              <w:t>输电线路</w:t>
            </w:r>
            <w:r>
              <w:rPr>
                <w:rFonts w:hint="eastAsia" w:eastAsia="宋体" w:cs="Times New Roman"/>
                <w:color w:val="auto"/>
                <w:spacing w:val="0"/>
                <w:w w:val="100"/>
                <w:position w:val="0"/>
                <w:sz w:val="24"/>
                <w:szCs w:val="24"/>
                <w:highlight w:val="none"/>
                <w:lang w:val="en-US" w:eastAsia="zh-CN"/>
              </w:rPr>
              <w:t>一档跨越筛子河及其他冲沟等</w:t>
            </w:r>
            <w:r>
              <w:rPr>
                <w:color w:val="auto"/>
                <w:kern w:val="0"/>
                <w:sz w:val="24"/>
                <w:szCs w:val="24"/>
                <w:highlight w:val="none"/>
              </w:rPr>
              <w:t>。</w:t>
            </w:r>
            <w:r>
              <w:rPr>
                <w:rFonts w:hint="eastAsia"/>
                <w:color w:val="auto"/>
                <w:kern w:val="0"/>
                <w:sz w:val="24"/>
                <w:szCs w:val="24"/>
                <w:highlight w:val="none"/>
                <w:lang w:val="en-US" w:eastAsia="zh-CN"/>
              </w:rPr>
              <w:t>筛子河为渝河右岸支流，是渝河主要支流之一。</w:t>
            </w:r>
            <w:r>
              <w:rPr>
                <w:rFonts w:hint="eastAsia"/>
                <w:bCs/>
                <w:color w:val="auto"/>
                <w:sz w:val="24"/>
                <w:highlight w:val="none"/>
              </w:rPr>
              <w:t>根据《202</w:t>
            </w:r>
            <w:r>
              <w:rPr>
                <w:rFonts w:hint="eastAsia"/>
                <w:bCs/>
                <w:color w:val="auto"/>
                <w:sz w:val="24"/>
                <w:highlight w:val="none"/>
                <w:lang w:val="en-US" w:eastAsia="zh-CN"/>
              </w:rPr>
              <w:t>4</w:t>
            </w:r>
            <w:r>
              <w:rPr>
                <w:rFonts w:hint="eastAsia"/>
                <w:bCs/>
                <w:color w:val="auto"/>
                <w:sz w:val="24"/>
                <w:highlight w:val="none"/>
              </w:rPr>
              <w:t>年宁夏生态环境质量状况》</w:t>
            </w:r>
            <w:r>
              <w:rPr>
                <w:rFonts w:hint="eastAsia"/>
                <w:bCs/>
                <w:color w:val="auto"/>
                <w:sz w:val="24"/>
                <w:highlight w:val="none"/>
                <w:lang w:val="en-US" w:eastAsia="zh-CN"/>
              </w:rPr>
              <w:t>中渝河-联财断面水质监测数据和结论，渝河-联财断面2024年各项水质监测因子均满足《地表水环境质量标准》（GB3838-2002）</w:t>
            </w:r>
            <w:r>
              <w:rPr>
                <w:rFonts w:hint="eastAsia" w:ascii="宋体" w:hAnsi="宋体" w:eastAsia="宋体" w:cs="宋体"/>
                <w:bCs/>
                <w:color w:val="auto"/>
                <w:sz w:val="24"/>
                <w:highlight w:val="none"/>
                <w:lang w:val="en-US" w:eastAsia="zh-CN"/>
              </w:rPr>
              <w:t>Ⅲ</w:t>
            </w:r>
            <w:r>
              <w:rPr>
                <w:rFonts w:hint="eastAsia"/>
                <w:bCs/>
                <w:color w:val="auto"/>
                <w:sz w:val="24"/>
                <w:highlight w:val="none"/>
                <w:lang w:val="en-US" w:eastAsia="zh-CN"/>
              </w:rPr>
              <w:t>类标准要求。</w:t>
            </w:r>
          </w:p>
          <w:p w14:paraId="2FCDFF1B">
            <w:pPr>
              <w:autoSpaceDE w:val="0"/>
              <w:autoSpaceDN w:val="0"/>
              <w:spacing w:line="360" w:lineRule="auto"/>
              <w:ind w:firstLine="480" w:firstLineChars="200"/>
              <w:jc w:val="left"/>
              <w:rPr>
                <w:bCs/>
                <w:color w:val="auto"/>
                <w:sz w:val="24"/>
                <w:highlight w:val="none"/>
              </w:rPr>
            </w:pPr>
            <w:r>
              <w:rPr>
                <w:bCs/>
                <w:color w:val="auto"/>
                <w:sz w:val="24"/>
                <w:highlight w:val="none"/>
              </w:rPr>
              <w:t>本项目变电站为</w:t>
            </w:r>
            <w:r>
              <w:rPr>
                <w:rFonts w:hint="eastAsia"/>
                <w:bCs/>
                <w:color w:val="auto"/>
                <w:sz w:val="24"/>
                <w:highlight w:val="none"/>
                <w:lang w:val="en-US" w:eastAsia="zh-CN"/>
              </w:rPr>
              <w:t>无人值班有门卫值守</w:t>
            </w:r>
            <w:r>
              <w:rPr>
                <w:bCs/>
                <w:color w:val="auto"/>
                <w:sz w:val="24"/>
                <w:highlight w:val="none"/>
              </w:rPr>
              <w:t>变电站，</w:t>
            </w:r>
            <w:r>
              <w:rPr>
                <w:rFonts w:hint="eastAsia"/>
                <w:bCs/>
                <w:color w:val="auto"/>
                <w:sz w:val="24"/>
                <w:highlight w:val="none"/>
              </w:rPr>
              <w:t>运行期</w:t>
            </w:r>
            <w:r>
              <w:rPr>
                <w:rFonts w:hint="default" w:ascii="Times New Roman" w:hAnsi="Times New Roman" w:cs="Times New Roman"/>
                <w:bCs/>
                <w:color w:val="auto"/>
                <w:sz w:val="24"/>
                <w:highlight w:val="none"/>
              </w:rPr>
              <w:t>有少量生活废水产生</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输电线路</w:t>
            </w:r>
            <w:r>
              <w:rPr>
                <w:bCs/>
                <w:color w:val="auto"/>
                <w:sz w:val="24"/>
                <w:highlight w:val="none"/>
              </w:rPr>
              <w:t>运行期无废水产生，在落实项目</w:t>
            </w:r>
            <w:r>
              <w:rPr>
                <w:rFonts w:hint="eastAsia"/>
                <w:bCs/>
                <w:color w:val="auto"/>
                <w:sz w:val="24"/>
                <w:highlight w:val="none"/>
                <w:lang w:val="en-US" w:eastAsia="zh-CN"/>
              </w:rPr>
              <w:t>环境影响</w:t>
            </w:r>
            <w:r>
              <w:rPr>
                <w:bCs/>
                <w:color w:val="auto"/>
                <w:sz w:val="24"/>
                <w:highlight w:val="none"/>
              </w:rPr>
              <w:t>报告表提出的相应防治措施后，</w:t>
            </w:r>
            <w:r>
              <w:rPr>
                <w:rFonts w:hint="eastAsia"/>
                <w:bCs/>
                <w:color w:val="auto"/>
                <w:sz w:val="24"/>
                <w:highlight w:val="none"/>
                <w:lang w:val="en-US" w:eastAsia="zh-CN"/>
              </w:rPr>
              <w:t>项目建成后</w:t>
            </w:r>
            <w:r>
              <w:rPr>
                <w:bCs/>
                <w:color w:val="auto"/>
                <w:sz w:val="24"/>
                <w:highlight w:val="none"/>
              </w:rPr>
              <w:t>对周围</w:t>
            </w:r>
            <w:r>
              <w:rPr>
                <w:rFonts w:hint="eastAsia"/>
                <w:bCs/>
                <w:color w:val="auto"/>
                <w:sz w:val="24"/>
                <w:highlight w:val="none"/>
                <w:lang w:val="en-US" w:eastAsia="zh-CN"/>
              </w:rPr>
              <w:t>水</w:t>
            </w:r>
            <w:r>
              <w:rPr>
                <w:bCs/>
                <w:color w:val="auto"/>
                <w:sz w:val="24"/>
                <w:highlight w:val="none"/>
              </w:rPr>
              <w:t>环境影响</w:t>
            </w:r>
            <w:r>
              <w:rPr>
                <w:rFonts w:hint="eastAsia"/>
                <w:bCs/>
                <w:color w:val="auto"/>
                <w:sz w:val="24"/>
                <w:highlight w:val="none"/>
                <w:lang w:val="en-US" w:eastAsia="zh-CN"/>
              </w:rPr>
              <w:t>较小</w:t>
            </w:r>
            <w:r>
              <w:rPr>
                <w:bCs/>
                <w:color w:val="auto"/>
                <w:sz w:val="24"/>
                <w:highlight w:val="none"/>
              </w:rPr>
              <w:t>。</w:t>
            </w:r>
            <w:r>
              <w:rPr>
                <w:rFonts w:hint="eastAsia"/>
                <w:bCs/>
                <w:color w:val="auto"/>
                <w:sz w:val="24"/>
                <w:highlight w:val="none"/>
                <w:lang w:val="en-US" w:eastAsia="zh-CN"/>
              </w:rPr>
              <w:t>因此，</w:t>
            </w:r>
            <w:r>
              <w:rPr>
                <w:bCs/>
                <w:color w:val="auto"/>
                <w:sz w:val="24"/>
                <w:highlight w:val="none"/>
              </w:rPr>
              <w:t>项目符合</w:t>
            </w:r>
            <w:r>
              <w:rPr>
                <w:rFonts w:hint="eastAsia" w:ascii="宋体" w:hAnsi="宋体" w:eastAsia="宋体" w:cs="宋体"/>
                <w:color w:val="auto"/>
                <w:sz w:val="24"/>
                <w:szCs w:val="24"/>
                <w:highlight w:val="none"/>
                <w:lang w:val="en-US" w:eastAsia="zh-CN"/>
              </w:rPr>
              <w:t>固原市</w:t>
            </w:r>
            <w:r>
              <w:rPr>
                <w:rFonts w:hint="eastAsia"/>
                <w:bCs/>
                <w:color w:val="auto"/>
                <w:sz w:val="24"/>
                <w:highlight w:val="none"/>
                <w:lang w:val="en-US" w:eastAsia="zh-CN"/>
              </w:rPr>
              <w:t>水</w:t>
            </w:r>
            <w:r>
              <w:rPr>
                <w:bCs/>
                <w:color w:val="auto"/>
                <w:sz w:val="24"/>
                <w:highlight w:val="none"/>
              </w:rPr>
              <w:t>环境质量底线</w:t>
            </w:r>
            <w:r>
              <w:rPr>
                <w:rFonts w:ascii="宋体" w:hAnsi="宋体" w:eastAsia="宋体" w:cs="宋体"/>
                <w:color w:val="auto"/>
                <w:sz w:val="24"/>
                <w:szCs w:val="24"/>
                <w:highlight w:val="none"/>
              </w:rPr>
              <w:t>要求</w:t>
            </w:r>
            <w:r>
              <w:rPr>
                <w:rFonts w:hint="eastAsia" w:eastAsia="宋体"/>
                <w:bCs/>
                <w:color w:val="auto"/>
                <w:sz w:val="24"/>
                <w:highlight w:val="none"/>
                <w:lang w:eastAsia="zh-CN"/>
              </w:rPr>
              <w:t>。</w:t>
            </w:r>
          </w:p>
          <w:p w14:paraId="0C2D3B6C">
            <w:pPr>
              <w:autoSpaceDE w:val="0"/>
              <w:autoSpaceDN w:val="0"/>
              <w:spacing w:line="360" w:lineRule="auto"/>
              <w:ind w:firstLine="480" w:firstLineChars="200"/>
              <w:rPr>
                <w:rFonts w:hint="eastAsia" w:eastAsia="宋体"/>
                <w:bCs/>
                <w:color w:val="auto"/>
                <w:sz w:val="24"/>
                <w:highlight w:val="none"/>
                <w:lang w:val="en-US" w:eastAsia="zh-CN"/>
              </w:rPr>
            </w:pPr>
            <w:r>
              <w:rPr>
                <w:rFonts w:hint="eastAsia"/>
                <w:bCs/>
                <w:color w:val="auto"/>
                <w:sz w:val="24"/>
                <w:highlight w:val="none"/>
                <w:lang w:val="en-US" w:eastAsia="zh-CN"/>
              </w:rPr>
              <w:t>③土壤环境风险防控底线及分区管控</w:t>
            </w:r>
          </w:p>
          <w:p w14:paraId="62D85C27">
            <w:pPr>
              <w:autoSpaceDE w:val="0"/>
              <w:autoSpaceDN w:val="0"/>
              <w:spacing w:line="360" w:lineRule="auto"/>
              <w:ind w:firstLine="480" w:firstLineChars="200"/>
              <w:rPr>
                <w:rFonts w:hint="eastAsia"/>
                <w:bCs/>
                <w:color w:val="auto"/>
                <w:sz w:val="24"/>
                <w:highlight w:val="none"/>
              </w:rPr>
            </w:pPr>
            <w:r>
              <w:rPr>
                <w:rFonts w:hint="eastAsia"/>
                <w:bCs/>
                <w:color w:val="auto"/>
                <w:sz w:val="24"/>
                <w:highlight w:val="none"/>
              </w:rPr>
              <w:t>根据《</w:t>
            </w:r>
            <w:r>
              <w:rPr>
                <w:bCs/>
                <w:color w:val="auto"/>
                <w:sz w:val="24"/>
                <w:highlight w:val="none"/>
                <w:lang w:val="en-US" w:eastAsia="zh-CN"/>
              </w:rPr>
              <w:t>固原市生态环境分区管控方案文本</w:t>
            </w:r>
            <w:r>
              <w:rPr>
                <w:rFonts w:hint="eastAsia"/>
                <w:bCs/>
                <w:color w:val="auto"/>
                <w:sz w:val="24"/>
                <w:highlight w:val="none"/>
              </w:rPr>
              <w:t>》，</w:t>
            </w:r>
            <w:r>
              <w:rPr>
                <w:rFonts w:hint="eastAsia"/>
                <w:bCs/>
                <w:color w:val="auto"/>
                <w:sz w:val="24"/>
                <w:highlight w:val="none"/>
                <w:lang w:val="en-US" w:eastAsia="zh-CN"/>
              </w:rPr>
              <w:t>固原市</w:t>
            </w:r>
            <w:r>
              <w:rPr>
                <w:rFonts w:hint="eastAsia"/>
                <w:bCs/>
                <w:color w:val="auto"/>
                <w:sz w:val="24"/>
                <w:highlight w:val="none"/>
              </w:rPr>
              <w:t>土壤污染风险管控分区划分为农用地优先保护区、一般管控区。本项目位于土壤污染风险分区管控中的</w:t>
            </w:r>
            <w:r>
              <w:rPr>
                <w:rFonts w:hint="eastAsia"/>
                <w:bCs/>
                <w:color w:val="auto"/>
                <w:sz w:val="24"/>
                <w:highlight w:val="none"/>
                <w:lang w:val="en-US" w:eastAsia="zh-CN"/>
              </w:rPr>
              <w:t>农用地优先保护区和</w:t>
            </w:r>
            <w:r>
              <w:rPr>
                <w:rFonts w:hint="eastAsia"/>
                <w:bCs/>
                <w:color w:val="auto"/>
                <w:sz w:val="24"/>
                <w:highlight w:val="none"/>
              </w:rPr>
              <w:t>一般管控区。</w:t>
            </w:r>
          </w:p>
          <w:p w14:paraId="00033DDB">
            <w:pPr>
              <w:autoSpaceDE w:val="0"/>
              <w:autoSpaceDN w:val="0"/>
              <w:spacing w:line="360" w:lineRule="auto"/>
              <w:ind w:firstLine="480" w:firstLineChars="200"/>
              <w:rPr>
                <w:rFonts w:hint="eastAsia" w:eastAsia="宋体"/>
                <w:bCs/>
                <w:color w:val="auto"/>
                <w:sz w:val="24"/>
                <w:highlight w:val="none"/>
                <w:lang w:eastAsia="zh-CN"/>
              </w:rPr>
            </w:pPr>
            <w:r>
              <w:rPr>
                <w:rFonts w:hint="eastAsia"/>
                <w:bCs/>
                <w:color w:val="auto"/>
                <w:sz w:val="24"/>
                <w:highlight w:val="none"/>
                <w:lang w:val="en-US" w:eastAsia="zh-CN"/>
              </w:rPr>
              <w:t>本项目为输变电项目，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输电线路</w:t>
            </w:r>
            <w:r>
              <w:rPr>
                <w:rFonts w:hint="eastAsia" w:cs="Times New Roman"/>
                <w:b w:val="0"/>
                <w:bCs/>
                <w:color w:val="000000" w:themeColor="text1"/>
                <w:sz w:val="24"/>
                <w:szCs w:val="24"/>
                <w:highlight w:val="none"/>
                <w:lang w:val="en-US" w:eastAsia="zh-CN"/>
                <w14:textFill>
                  <w14:solidFill>
                    <w14:schemeClr w14:val="tx1"/>
                  </w14:solidFill>
                </w14:textFill>
              </w:rPr>
              <w:t>沿线分布有大片永久基本农田，</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部分</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输电线路无法避让需</w:t>
            </w:r>
            <w:r>
              <w:rPr>
                <w:rFonts w:hint="default" w:ascii="Times New Roman" w:hAnsi="Times New Roman" w:eastAsia="宋体" w:cs="Times New Roman"/>
                <w:b w:val="0"/>
                <w:bCs/>
                <w:color w:val="auto"/>
                <w:sz w:val="24"/>
                <w:szCs w:val="24"/>
                <w:highlight w:val="none"/>
                <w:lang w:val="en-US" w:eastAsia="zh-CN"/>
              </w:rPr>
              <w:t>占用</w:t>
            </w:r>
            <w:r>
              <w:rPr>
                <w:rFonts w:hint="eastAsia" w:cs="Times New Roman"/>
                <w:b w:val="0"/>
                <w:bCs/>
                <w:color w:val="auto"/>
                <w:sz w:val="24"/>
                <w:szCs w:val="24"/>
                <w:highlight w:val="none"/>
                <w:lang w:val="en-US" w:eastAsia="zh-CN"/>
              </w:rPr>
              <w:t>永久基本农田</w:t>
            </w:r>
            <w:r>
              <w:rPr>
                <w:rFonts w:hint="default" w:ascii="Times New Roman" w:hAnsi="Times New Roman" w:cs="Times New Roman"/>
                <w:bCs/>
                <w:color w:val="auto"/>
                <w:sz w:val="24"/>
                <w:highlight w:val="none"/>
                <w:lang w:val="en-US" w:eastAsia="zh-CN"/>
              </w:rPr>
              <w:t>。</w:t>
            </w:r>
            <w:r>
              <w:rPr>
                <w:rFonts w:hint="eastAsia"/>
                <w:bCs/>
                <w:color w:val="auto"/>
                <w:sz w:val="24"/>
                <w:highlight w:val="none"/>
                <w:lang w:val="en-US" w:eastAsia="zh-CN"/>
              </w:rPr>
              <w:t>根据《永久基本农田保护红线管理办法》中“第二十一条”规定：依法可以按照原地类管理的架空电力传输线路、通信设施涉及的点状杆、塔确实难以避让永久基本农田的，应当在不妨碍机械化耕作的前提下，尽可能沿田间道路、沟渠、田坎铺设。铺设方案应当对永久基本农田的不可避让性以及对耕作的影响进行论证，报县级人民政府自然资源主管部门备案并加强监管。本项目设计过程中对线路塔基占用旱地（尤其是永久基本农田）已尽可能将杆塔设置在田间道路、沟渠、田坎等地方；且目前正在开展本项目占用永久基本农田的不可避让论证相关手续，符合永久基本农田保护红线管理办法。运行期仅有变电站会产生少量生活污水、生活垃圾以及废变压器油、废旧蓄电池等危险废物。生活污水经化粪池处理后定期清掏，不外排；生活垃圾定期运至环卫部门指定的地点处置，废变压器油油交由有资质的单位处置，废旧蓄电池交由有资质的单位置换后回收处置，不会污染站址周围的土壤环境，对周围土壤环境影响较小。因此，本项目的建设符合土壤环境风险防控底线要求。</w:t>
            </w:r>
          </w:p>
          <w:p w14:paraId="04DB7AF3">
            <w:pPr>
              <w:autoSpaceDE w:val="0"/>
              <w:autoSpaceDN w:val="0"/>
              <w:spacing w:line="360" w:lineRule="auto"/>
              <w:ind w:firstLine="480" w:firstLineChars="200"/>
              <w:rPr>
                <w:bCs/>
                <w:color w:val="auto"/>
                <w:sz w:val="24"/>
                <w:highlight w:val="none"/>
              </w:rPr>
            </w:pPr>
            <w:r>
              <w:rPr>
                <w:rFonts w:hint="eastAsia"/>
                <w:bCs/>
                <w:color w:val="auto"/>
                <w:sz w:val="24"/>
                <w:highlight w:val="none"/>
                <w:lang w:val="en-US" w:eastAsia="zh-CN"/>
              </w:rPr>
              <w:t>综上</w:t>
            </w:r>
            <w:r>
              <w:rPr>
                <w:bCs/>
                <w:color w:val="auto"/>
                <w:sz w:val="24"/>
                <w:highlight w:val="none"/>
              </w:rPr>
              <w:t>，本项目符合环境质量底线要求。</w:t>
            </w:r>
          </w:p>
          <w:p w14:paraId="73087A77">
            <w:pPr>
              <w:autoSpaceDE w:val="0"/>
              <w:autoSpaceDN w:val="0"/>
              <w:spacing w:line="360" w:lineRule="auto"/>
              <w:ind w:firstLine="480" w:firstLineChars="200"/>
              <w:rPr>
                <w:bCs/>
                <w:color w:val="auto"/>
                <w:sz w:val="24"/>
                <w:highlight w:val="none"/>
              </w:rPr>
            </w:pPr>
            <w:r>
              <w:rPr>
                <w:bCs/>
                <w:color w:val="auto"/>
                <w:sz w:val="24"/>
                <w:highlight w:val="none"/>
              </w:rPr>
              <w:t>（3）资源利用上线</w:t>
            </w:r>
          </w:p>
          <w:p w14:paraId="6F586937">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土地资源：</w:t>
            </w:r>
            <w:r>
              <w:rPr>
                <w:rFonts w:hint="default" w:ascii="Times New Roman" w:hAnsi="Times New Roman" w:eastAsia="宋体" w:cs="Times New Roman"/>
                <w:color w:val="auto"/>
                <w:spacing w:val="0"/>
                <w:w w:val="100"/>
                <w:position w:val="0"/>
                <w:sz w:val="24"/>
                <w:szCs w:val="24"/>
                <w:highlight w:val="none"/>
              </w:rPr>
              <w:t>本项目占地类型为</w:t>
            </w:r>
            <w:r>
              <w:rPr>
                <w:rFonts w:hint="eastAsia"/>
                <w:bCs/>
                <w:color w:val="auto"/>
                <w:sz w:val="24"/>
                <w:highlight w:val="none"/>
                <w:lang w:val="en-US" w:eastAsia="zh-CN"/>
              </w:rPr>
              <w:t>旱地（含基本农田）</w:t>
            </w:r>
            <w:r>
              <w:rPr>
                <w:rFonts w:hint="eastAsia"/>
                <w:bCs/>
                <w:color w:val="auto"/>
                <w:sz w:val="24"/>
                <w:highlight w:val="none"/>
              </w:rPr>
              <w:t>、乔木林地</w:t>
            </w:r>
            <w:r>
              <w:rPr>
                <w:rFonts w:hint="eastAsia"/>
                <w:bCs/>
                <w:color w:val="auto"/>
                <w:sz w:val="24"/>
                <w:highlight w:val="none"/>
                <w:lang w:eastAsia="zh-CN"/>
              </w:rPr>
              <w:t>、</w:t>
            </w:r>
            <w:r>
              <w:rPr>
                <w:rFonts w:hint="eastAsia"/>
                <w:bCs/>
                <w:color w:val="auto"/>
                <w:sz w:val="24"/>
                <w:highlight w:val="none"/>
                <w:lang w:val="en-US" w:eastAsia="zh-CN"/>
              </w:rPr>
              <w:t>灌木林地、其他林地、天然牧草地、其他草地、机关团体新闻出版用地、公路用地、农村道路、后备耕地</w:t>
            </w:r>
            <w:r>
              <w:rPr>
                <w:rFonts w:hint="default" w:ascii="Times New Roman" w:hAnsi="Times New Roman" w:eastAsia="宋体" w:cs="Times New Roman"/>
                <w:color w:val="auto"/>
                <w:spacing w:val="0"/>
                <w:w w:val="100"/>
                <w:position w:val="0"/>
                <w:sz w:val="24"/>
                <w:szCs w:val="24"/>
                <w:highlight w:val="none"/>
              </w:rPr>
              <w:t>。</w:t>
            </w:r>
            <w:r>
              <w:rPr>
                <w:rFonts w:hint="eastAsia" w:ascii="Times New Roman" w:hAnsi="Times New Roman" w:cs="Times New Roman" w:eastAsiaTheme="minorEastAsia"/>
                <w:color w:val="auto"/>
                <w:sz w:val="24"/>
                <w:highlight w:val="none"/>
                <w:lang w:val="en-US" w:eastAsia="zh-CN"/>
              </w:rPr>
              <w:t>项目</w:t>
            </w:r>
            <w:r>
              <w:rPr>
                <w:rFonts w:hint="eastAsia" w:cs="Times New Roman" w:eastAsiaTheme="minorEastAsia"/>
                <w:color w:val="auto"/>
                <w:sz w:val="24"/>
                <w:highlight w:val="none"/>
                <w:lang w:val="en-US" w:eastAsia="zh-CN"/>
              </w:rPr>
              <w:t>永久</w:t>
            </w:r>
            <w:r>
              <w:rPr>
                <w:rFonts w:hint="default" w:ascii="Times New Roman" w:hAnsi="Times New Roman" w:cs="Times New Roman" w:eastAsiaTheme="minorEastAsia"/>
                <w:color w:val="auto"/>
                <w:sz w:val="24"/>
                <w:highlight w:val="none"/>
              </w:rPr>
              <w:t>占地面积</w:t>
            </w:r>
            <w:r>
              <w:rPr>
                <w:rFonts w:hint="eastAsia" w:cs="Times New Roman" w:eastAsiaTheme="minorEastAsia"/>
                <w:color w:val="auto"/>
                <w:sz w:val="24"/>
                <w:highlight w:val="none"/>
                <w:lang w:val="en-US" w:eastAsia="zh-CN"/>
              </w:rPr>
              <w:t>0.8978</w:t>
            </w:r>
            <w:r>
              <w:rPr>
                <w:rFonts w:hint="default" w:ascii="Times New Roman" w:hAnsi="Times New Roman" w:cs="Times New Roman" w:eastAsiaTheme="minorEastAsia"/>
                <w:color w:val="auto"/>
                <w:sz w:val="24"/>
                <w:highlight w:val="none"/>
              </w:rPr>
              <w:t>hm</w:t>
            </w:r>
            <w:r>
              <w:rPr>
                <w:rFonts w:hint="default" w:ascii="Times New Roman" w:hAnsi="Times New Roman" w:cs="Times New Roman" w:eastAsiaTheme="minorEastAsia"/>
                <w:color w:val="auto"/>
                <w:sz w:val="24"/>
                <w:highlight w:val="none"/>
                <w:vertAlign w:val="superscript"/>
              </w:rPr>
              <w:t>2</w:t>
            </w:r>
            <w:r>
              <w:rPr>
                <w:rFonts w:hint="default" w:ascii="Times New Roman" w:hAnsi="Times New Roman" w:cs="Times New Roman" w:eastAsiaTheme="minorEastAsia"/>
                <w:color w:val="auto"/>
                <w:sz w:val="24"/>
                <w:highlight w:val="none"/>
              </w:rPr>
              <w:t>，其中</w:t>
            </w:r>
            <w:r>
              <w:rPr>
                <w:rFonts w:hint="eastAsia" w:cs="Times New Roman" w:eastAsiaTheme="minorEastAsia"/>
                <w:color w:val="auto"/>
                <w:sz w:val="24"/>
                <w:highlight w:val="none"/>
                <w:lang w:val="en-US" w:eastAsia="zh-CN"/>
              </w:rPr>
              <w:t>变电站</w:t>
            </w:r>
            <w:r>
              <w:rPr>
                <w:color w:val="auto"/>
                <w:sz w:val="24"/>
                <w:highlight w:val="none"/>
              </w:rPr>
              <w:t>区域永久占地</w:t>
            </w:r>
            <w:r>
              <w:rPr>
                <w:rFonts w:hint="eastAsia"/>
                <w:color w:val="auto"/>
                <w:sz w:val="24"/>
                <w:highlight w:val="none"/>
              </w:rPr>
              <w:t>0.</w:t>
            </w:r>
            <w:r>
              <w:rPr>
                <w:rFonts w:hint="eastAsia"/>
                <w:color w:val="auto"/>
                <w:sz w:val="24"/>
                <w:highlight w:val="none"/>
                <w:lang w:val="en-US" w:eastAsia="zh-CN"/>
              </w:rPr>
              <w:t>7035</w:t>
            </w:r>
            <w:r>
              <w:rPr>
                <w:color w:val="auto"/>
                <w:sz w:val="24"/>
                <w:highlight w:val="none"/>
              </w:rPr>
              <w:t>hm</w:t>
            </w:r>
            <w:r>
              <w:rPr>
                <w:color w:val="auto"/>
                <w:sz w:val="24"/>
                <w:highlight w:val="none"/>
                <w:vertAlign w:val="superscript"/>
              </w:rPr>
              <w:t>2</w:t>
            </w:r>
            <w:r>
              <w:rPr>
                <w:color w:val="auto"/>
                <w:sz w:val="24"/>
                <w:highlight w:val="none"/>
              </w:rPr>
              <w:t>，</w:t>
            </w:r>
            <w:r>
              <w:rPr>
                <w:rFonts w:hint="eastAsia"/>
                <w:color w:val="auto"/>
                <w:sz w:val="24"/>
                <w:highlight w:val="none"/>
                <w:lang w:val="en-US" w:eastAsia="zh-CN"/>
              </w:rPr>
              <w:t>已取得用地预审与选址意见书；</w:t>
            </w:r>
            <w:r>
              <w:rPr>
                <w:rFonts w:hint="eastAsia"/>
                <w:snapToGrid w:val="0"/>
                <w:color w:val="auto"/>
                <w:sz w:val="24"/>
                <w:highlight w:val="none"/>
              </w:rPr>
              <w:t>塔基</w:t>
            </w:r>
            <w:r>
              <w:rPr>
                <w:snapToGrid w:val="0"/>
                <w:color w:val="auto"/>
                <w:sz w:val="24"/>
                <w:highlight w:val="none"/>
              </w:rPr>
              <w:t>永久占地仅为</w:t>
            </w:r>
            <w:r>
              <w:rPr>
                <w:rFonts w:hint="eastAsia"/>
                <w:snapToGrid w:val="0"/>
                <w:color w:val="auto"/>
                <w:sz w:val="24"/>
                <w:highlight w:val="none"/>
                <w:lang w:val="en-US" w:eastAsia="zh-CN"/>
              </w:rPr>
              <w:t>0.1943h</w:t>
            </w:r>
            <w:r>
              <w:rPr>
                <w:snapToGrid w:val="0"/>
                <w:color w:val="auto"/>
                <w:sz w:val="24"/>
                <w:highlight w:val="none"/>
              </w:rPr>
              <w:t>m</w:t>
            </w:r>
            <w:r>
              <w:rPr>
                <w:snapToGrid w:val="0"/>
                <w:color w:val="auto"/>
                <w:sz w:val="24"/>
                <w:highlight w:val="none"/>
                <w:vertAlign w:val="superscript"/>
              </w:rPr>
              <w:t>2</w:t>
            </w:r>
            <w:r>
              <w:rPr>
                <w:snapToGrid w:val="0"/>
                <w:color w:val="auto"/>
                <w:sz w:val="24"/>
                <w:highlight w:val="none"/>
              </w:rPr>
              <w:t>，</w:t>
            </w:r>
            <w:r>
              <w:rPr>
                <w:rFonts w:hint="default" w:ascii="Times New Roman" w:hAnsi="Times New Roman" w:cs="Times New Roman" w:eastAsiaTheme="minorEastAsia"/>
                <w:color w:val="auto"/>
                <w:sz w:val="24"/>
                <w:highlight w:val="none"/>
                <w:lang w:val="en-US" w:eastAsia="zh-CN"/>
              </w:rPr>
              <w:t>输电线路塔基不办理征地手续，只针对塔基占用的土地进行赔偿</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不会改变土地性质</w:t>
            </w:r>
            <w:r>
              <w:rPr>
                <w:rFonts w:hint="eastAsia" w:ascii="Times New Roman" w:hAnsi="Times New Roman"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永久占地面积相对于整个区域，占地面积较小</w:t>
            </w:r>
            <w:r>
              <w:rPr>
                <w:rFonts w:hint="eastAsia" w:ascii="Times New Roman" w:hAnsi="Times New Roman" w:cs="Times New Roman" w:eastAsiaTheme="minorEastAsia"/>
                <w:color w:val="auto"/>
                <w:sz w:val="24"/>
                <w:highlight w:val="none"/>
                <w:lang w:eastAsia="zh-CN"/>
              </w:rPr>
              <w:t>。</w:t>
            </w:r>
            <w:r>
              <w:rPr>
                <w:rFonts w:hint="eastAsia"/>
                <w:snapToGrid w:val="0"/>
                <w:color w:val="auto"/>
                <w:sz w:val="24"/>
                <w:highlight w:val="none"/>
                <w:lang w:val="en-US" w:eastAsia="zh-CN"/>
              </w:rPr>
              <w:t>项目</w:t>
            </w:r>
            <w:r>
              <w:rPr>
                <w:rFonts w:hint="default" w:ascii="Times New Roman" w:hAnsi="Times New Roman" w:cs="Times New Roman" w:eastAsiaTheme="minorEastAsia"/>
                <w:color w:val="auto"/>
                <w:sz w:val="24"/>
                <w:highlight w:val="none"/>
              </w:rPr>
              <w:t>临时占地</w:t>
            </w:r>
            <w:r>
              <w:rPr>
                <w:rFonts w:hint="eastAsia" w:cs="Times New Roman" w:eastAsiaTheme="minorEastAsia"/>
                <w:color w:val="auto"/>
                <w:sz w:val="24"/>
                <w:highlight w:val="none"/>
                <w:lang w:val="en-US" w:eastAsia="zh-CN"/>
              </w:rPr>
              <w:t>面积6.662</w:t>
            </w:r>
            <w:r>
              <w:rPr>
                <w:rFonts w:hint="default" w:ascii="Times New Roman" w:hAnsi="Times New Roman" w:cs="Times New Roman" w:eastAsiaTheme="minorEastAsia"/>
                <w:color w:val="auto"/>
                <w:sz w:val="24"/>
                <w:highlight w:val="none"/>
              </w:rPr>
              <w:t>hm</w:t>
            </w:r>
            <w:r>
              <w:rPr>
                <w:rFonts w:hint="default" w:ascii="Times New Roman" w:hAnsi="Times New Roman" w:cs="Times New Roman" w:eastAsiaTheme="minorEastAsia"/>
                <w:color w:val="auto"/>
                <w:sz w:val="24"/>
                <w:highlight w:val="none"/>
                <w:vertAlign w:val="superscript"/>
              </w:rPr>
              <w:t>2</w:t>
            </w:r>
            <w:r>
              <w:rPr>
                <w:rFonts w:hint="eastAsia" w:cs="Times New Roman" w:eastAsiaTheme="minorEastAsia"/>
                <w:color w:val="auto"/>
                <w:sz w:val="24"/>
                <w:highlight w:val="none"/>
                <w:lang w:eastAsia="zh-CN"/>
              </w:rPr>
              <w:t>，</w:t>
            </w:r>
            <w:r>
              <w:rPr>
                <w:rFonts w:hint="default" w:ascii="Times New Roman" w:hAnsi="Times New Roman" w:cs="Times New Roman"/>
                <w:bCs/>
                <w:color w:val="auto"/>
                <w:sz w:val="24"/>
                <w:highlight w:val="none"/>
              </w:rPr>
              <w:t>项目占地以临时占地为主，施工结束后，临时占地将恢复其原有土地功能。因此，本项目的建设对区域土地资源总量影响甚微。</w:t>
            </w:r>
          </w:p>
          <w:p w14:paraId="0F3861D1">
            <w:pPr>
              <w:autoSpaceDE w:val="0"/>
              <w:autoSpaceDN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水资源：</w:t>
            </w:r>
            <w:r>
              <w:rPr>
                <w:rFonts w:hint="eastAsia" w:ascii="Times New Roman" w:hAnsi="Times New Roman" w:cs="Times New Roman"/>
                <w:bCs/>
                <w:color w:val="auto"/>
                <w:sz w:val="24"/>
                <w:highlight w:val="none"/>
                <w:lang w:val="en-US" w:eastAsia="zh-CN"/>
              </w:rPr>
              <w:t>本</w:t>
            </w:r>
            <w:r>
              <w:rPr>
                <w:rFonts w:hint="default" w:ascii="Times New Roman" w:hAnsi="Times New Roman" w:cs="Times New Roman"/>
                <w:bCs/>
                <w:color w:val="auto"/>
                <w:sz w:val="24"/>
                <w:highlight w:val="none"/>
              </w:rPr>
              <w:t>项目变电站有门卫</w:t>
            </w:r>
            <w:r>
              <w:rPr>
                <w:rFonts w:hint="eastAsia" w:cs="Times New Roman"/>
                <w:bCs/>
                <w:color w:val="auto"/>
                <w:sz w:val="24"/>
                <w:highlight w:val="none"/>
                <w:lang w:val="en-US" w:eastAsia="zh-CN"/>
              </w:rPr>
              <w:t>值守</w:t>
            </w:r>
            <w:r>
              <w:rPr>
                <w:rFonts w:hint="default" w:ascii="Times New Roman" w:hAnsi="Times New Roman" w:cs="Times New Roman"/>
                <w:bCs/>
                <w:color w:val="auto"/>
                <w:sz w:val="24"/>
                <w:highlight w:val="none"/>
              </w:rPr>
              <w:t>，运行期会有少量水资源的消耗，但对区域水资源造成影响甚微。</w:t>
            </w:r>
          </w:p>
          <w:p w14:paraId="2C5CDF3D">
            <w:pPr>
              <w:autoSpaceDE w:val="0"/>
              <w:autoSpaceDN w:val="0"/>
              <w:spacing w:line="360" w:lineRule="auto"/>
              <w:ind w:firstLine="480" w:firstLineChars="200"/>
              <w:rPr>
                <w:color w:val="auto"/>
                <w:sz w:val="24"/>
                <w:highlight w:val="none"/>
              </w:rPr>
            </w:pPr>
            <w:r>
              <w:rPr>
                <w:color w:val="auto"/>
                <w:sz w:val="24"/>
                <w:highlight w:val="none"/>
              </w:rPr>
              <w:t>因此，本项目符合资源利用上线要求。</w:t>
            </w:r>
          </w:p>
          <w:p w14:paraId="01ECE9ED">
            <w:pPr>
              <w:autoSpaceDE w:val="0"/>
              <w:autoSpaceDN w:val="0"/>
              <w:spacing w:line="360" w:lineRule="auto"/>
              <w:ind w:firstLine="480" w:firstLineChars="200"/>
              <w:rPr>
                <w:color w:val="auto"/>
                <w:sz w:val="24"/>
                <w:highlight w:val="none"/>
              </w:rPr>
            </w:pPr>
            <w:r>
              <w:rPr>
                <w:color w:val="auto"/>
                <w:sz w:val="24"/>
                <w:highlight w:val="none"/>
              </w:rPr>
              <w:t>（4）生态环境准入清单</w:t>
            </w:r>
          </w:p>
          <w:p w14:paraId="184C4687">
            <w:pPr>
              <w:autoSpaceDE w:val="0"/>
              <w:autoSpaceDN w:val="0"/>
              <w:adjustRightInd w:val="0"/>
              <w:snapToGrid w:val="0"/>
              <w:spacing w:line="360" w:lineRule="auto"/>
              <w:ind w:firstLine="480" w:firstLineChars="200"/>
              <w:rPr>
                <w:color w:val="auto"/>
                <w:kern w:val="0"/>
                <w:sz w:val="24"/>
                <w:highlight w:val="none"/>
              </w:rPr>
            </w:pPr>
            <w:r>
              <w:rPr>
                <w:rFonts w:hint="eastAsia" w:ascii="Times New Roman" w:hAnsi="Times New Roman" w:cs="Times New Roman"/>
                <w:color w:val="auto"/>
                <w:kern w:val="0"/>
                <w:sz w:val="24"/>
                <w:highlight w:val="none"/>
                <w:lang w:val="en-US" w:eastAsia="zh-CN"/>
              </w:rPr>
              <w:t>根据固原市人民政府关于印发《固原市生态环境分区管控实施方案》的通知（固政发〔2024〕28号），</w:t>
            </w:r>
            <w:r>
              <w:rPr>
                <w:rFonts w:hint="default" w:ascii="Times New Roman" w:hAnsi="Times New Roman" w:cs="Times New Roman"/>
                <w:color w:val="auto"/>
                <w:kern w:val="0"/>
                <w:sz w:val="24"/>
                <w:highlight w:val="none"/>
                <w:lang w:val="en-US" w:eastAsia="zh-CN"/>
              </w:rPr>
              <w:t>本项目位于</w:t>
            </w:r>
            <w:r>
              <w:rPr>
                <w:rFonts w:hint="eastAsia" w:ascii="Times New Roman" w:hAnsi="Times New Roman" w:cs="Times New Roman"/>
                <w:color w:val="auto"/>
                <w:kern w:val="0"/>
                <w:sz w:val="24"/>
                <w:highlight w:val="none"/>
                <w:lang w:val="en-US" w:eastAsia="zh-CN"/>
              </w:rPr>
              <w:t>隆德县一般管控单元1，</w:t>
            </w:r>
            <w:r>
              <w:rPr>
                <w:color w:val="auto"/>
                <w:kern w:val="0"/>
                <w:sz w:val="24"/>
                <w:highlight w:val="none"/>
              </w:rPr>
              <w:t>相应的管控要求及符合性分析见表1-</w:t>
            </w:r>
            <w:r>
              <w:rPr>
                <w:rFonts w:hint="eastAsia"/>
                <w:color w:val="auto"/>
                <w:kern w:val="0"/>
                <w:sz w:val="24"/>
                <w:highlight w:val="none"/>
                <w:lang w:val="en-US" w:eastAsia="zh-CN"/>
              </w:rPr>
              <w:t>1</w:t>
            </w:r>
            <w:r>
              <w:rPr>
                <w:color w:val="auto"/>
                <w:kern w:val="0"/>
                <w:sz w:val="24"/>
                <w:highlight w:val="none"/>
              </w:rPr>
              <w:t>。</w:t>
            </w:r>
          </w:p>
          <w:p w14:paraId="64EFEF8D">
            <w:pPr>
              <w:autoSpaceDE w:val="0"/>
              <w:autoSpaceDN w:val="0"/>
              <w:spacing w:line="360" w:lineRule="auto"/>
              <w:jc w:val="center"/>
              <w:rPr>
                <w:rFonts w:hint="default" w:eastAsia="黑体"/>
                <w:b/>
                <w:bCs/>
                <w:color w:val="auto"/>
                <w:kern w:val="0"/>
                <w:sz w:val="24"/>
                <w:highlight w:val="none"/>
                <w:lang w:val="en-US" w:eastAsia="zh-CN"/>
              </w:rPr>
            </w:pPr>
            <w:r>
              <w:rPr>
                <w:rFonts w:hint="eastAsia" w:ascii="Times New Roman" w:hAnsi="Times New Roman" w:eastAsia="黑体" w:cs="Times New Roman"/>
                <w:b/>
                <w:bCs/>
                <w:color w:val="auto"/>
                <w:sz w:val="24"/>
                <w:highlight w:val="none"/>
                <w:lang w:val="en-US" w:eastAsia="zh-CN"/>
              </w:rPr>
              <w:t>表1-1  项目与固原市环境管控单元生态环境准入清单符合性分析</w:t>
            </w:r>
          </w:p>
          <w:tbl>
            <w:tblPr>
              <w:tblStyle w:val="28"/>
              <w:tblW w:w="83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125"/>
              <w:gridCol w:w="795"/>
              <w:gridCol w:w="795"/>
              <w:gridCol w:w="1469"/>
              <w:gridCol w:w="2402"/>
              <w:gridCol w:w="781"/>
            </w:tblGrid>
            <w:tr w14:paraId="0FD64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527FBC8E">
                  <w:pPr>
                    <w:jc w:val="center"/>
                    <w:rPr>
                      <w:rFonts w:hint="eastAsia" w:eastAsia="宋体"/>
                      <w:b/>
                      <w:bCs w:val="0"/>
                      <w:color w:val="auto"/>
                      <w:sz w:val="21"/>
                      <w:szCs w:val="21"/>
                      <w:highlight w:val="none"/>
                      <w:lang w:eastAsia="zh-CN"/>
                    </w:rPr>
                  </w:pPr>
                  <w:r>
                    <w:rPr>
                      <w:rFonts w:hint="eastAsia"/>
                      <w:b/>
                      <w:bCs w:val="0"/>
                      <w:color w:val="auto"/>
                      <w:sz w:val="21"/>
                      <w:szCs w:val="21"/>
                      <w:highlight w:val="none"/>
                      <w:lang w:eastAsia="zh-CN"/>
                    </w:rPr>
                    <w:t>环境管控单元名称</w:t>
                  </w:r>
                </w:p>
              </w:tc>
              <w:tc>
                <w:tcPr>
                  <w:tcW w:w="1125" w:type="dxa"/>
                  <w:noWrap w:val="0"/>
                  <w:vAlign w:val="center"/>
                </w:tcPr>
                <w:p w14:paraId="5ABC9F21">
                  <w:pPr>
                    <w:jc w:val="center"/>
                    <w:rPr>
                      <w:rFonts w:hint="default"/>
                      <w:b/>
                      <w:bCs w:val="0"/>
                      <w:color w:val="auto"/>
                      <w:sz w:val="21"/>
                      <w:szCs w:val="21"/>
                      <w:highlight w:val="none"/>
                      <w:lang w:val="en-US" w:eastAsia="zh-CN"/>
                    </w:rPr>
                  </w:pPr>
                  <w:r>
                    <w:rPr>
                      <w:rFonts w:hint="eastAsia"/>
                      <w:b/>
                      <w:bCs w:val="0"/>
                      <w:color w:val="auto"/>
                      <w:sz w:val="21"/>
                      <w:szCs w:val="21"/>
                      <w:highlight w:val="none"/>
                      <w:lang w:val="en-US" w:eastAsia="zh-CN"/>
                    </w:rPr>
                    <w:t>行政区划</w:t>
                  </w:r>
                </w:p>
              </w:tc>
              <w:tc>
                <w:tcPr>
                  <w:tcW w:w="795" w:type="dxa"/>
                  <w:noWrap w:val="0"/>
                  <w:vAlign w:val="center"/>
                </w:tcPr>
                <w:p w14:paraId="40250712">
                  <w:pPr>
                    <w:jc w:val="center"/>
                    <w:rPr>
                      <w:rFonts w:hint="default"/>
                      <w:b/>
                      <w:bCs w:val="0"/>
                      <w:color w:val="auto"/>
                      <w:sz w:val="21"/>
                      <w:szCs w:val="21"/>
                      <w:highlight w:val="none"/>
                      <w:lang w:val="en-US" w:eastAsia="zh-CN"/>
                    </w:rPr>
                  </w:pPr>
                  <w:r>
                    <w:rPr>
                      <w:rFonts w:hint="eastAsia"/>
                      <w:b/>
                      <w:bCs w:val="0"/>
                      <w:color w:val="auto"/>
                      <w:sz w:val="21"/>
                      <w:szCs w:val="21"/>
                      <w:highlight w:val="none"/>
                      <w:lang w:val="en-US" w:eastAsia="zh-CN"/>
                    </w:rPr>
                    <w:t>要素属性</w:t>
                  </w:r>
                </w:p>
              </w:tc>
              <w:tc>
                <w:tcPr>
                  <w:tcW w:w="795" w:type="dxa"/>
                  <w:noWrap w:val="0"/>
                  <w:vAlign w:val="center"/>
                </w:tcPr>
                <w:p w14:paraId="7C8F21A8">
                  <w:pPr>
                    <w:jc w:val="center"/>
                    <w:rPr>
                      <w:rFonts w:hint="default"/>
                      <w:b/>
                      <w:bCs w:val="0"/>
                      <w:color w:val="auto"/>
                      <w:sz w:val="21"/>
                      <w:szCs w:val="21"/>
                      <w:highlight w:val="none"/>
                      <w:lang w:val="en-US" w:eastAsia="zh-CN"/>
                    </w:rPr>
                  </w:pPr>
                  <w:r>
                    <w:rPr>
                      <w:rFonts w:hint="eastAsia"/>
                      <w:b/>
                      <w:bCs w:val="0"/>
                      <w:color w:val="auto"/>
                      <w:sz w:val="21"/>
                      <w:szCs w:val="21"/>
                      <w:highlight w:val="none"/>
                      <w:lang w:val="en-US" w:eastAsia="zh-CN"/>
                    </w:rPr>
                    <w:t>管控单元</w:t>
                  </w:r>
                </w:p>
              </w:tc>
              <w:tc>
                <w:tcPr>
                  <w:tcW w:w="1469" w:type="dxa"/>
                  <w:noWrap w:val="0"/>
                  <w:vAlign w:val="center"/>
                </w:tcPr>
                <w:p w14:paraId="47EF85FE">
                  <w:pPr>
                    <w:jc w:val="center"/>
                    <w:rPr>
                      <w:rFonts w:hint="eastAsia"/>
                      <w:b/>
                      <w:bCs w:val="0"/>
                      <w:color w:val="auto"/>
                      <w:sz w:val="21"/>
                      <w:szCs w:val="21"/>
                      <w:highlight w:val="none"/>
                      <w:lang w:eastAsia="zh-CN"/>
                    </w:rPr>
                  </w:pPr>
                  <w:r>
                    <w:rPr>
                      <w:rFonts w:hint="eastAsia"/>
                      <w:b/>
                      <w:bCs w:val="0"/>
                      <w:color w:val="auto"/>
                      <w:sz w:val="21"/>
                      <w:szCs w:val="21"/>
                      <w:highlight w:val="none"/>
                      <w:lang w:eastAsia="zh-CN"/>
                    </w:rPr>
                    <w:t>空间布局约束</w:t>
                  </w:r>
                </w:p>
              </w:tc>
              <w:tc>
                <w:tcPr>
                  <w:tcW w:w="2402" w:type="dxa"/>
                  <w:noWrap w:val="0"/>
                  <w:vAlign w:val="center"/>
                </w:tcPr>
                <w:p w14:paraId="3026BC4F">
                  <w:pPr>
                    <w:jc w:val="center"/>
                    <w:rPr>
                      <w:rFonts w:hint="eastAsia" w:eastAsia="宋体"/>
                      <w:b/>
                      <w:bCs w:val="0"/>
                      <w:color w:val="auto"/>
                      <w:sz w:val="21"/>
                      <w:szCs w:val="21"/>
                      <w:highlight w:val="none"/>
                      <w:lang w:eastAsia="zh-CN"/>
                    </w:rPr>
                  </w:pPr>
                  <w:r>
                    <w:rPr>
                      <w:rFonts w:hint="eastAsia"/>
                      <w:b/>
                      <w:bCs w:val="0"/>
                      <w:color w:val="auto"/>
                      <w:sz w:val="21"/>
                      <w:szCs w:val="21"/>
                      <w:highlight w:val="none"/>
                      <w:lang w:eastAsia="zh-CN"/>
                    </w:rPr>
                    <w:t>本项目情况</w:t>
                  </w:r>
                </w:p>
              </w:tc>
              <w:tc>
                <w:tcPr>
                  <w:tcW w:w="781" w:type="dxa"/>
                  <w:noWrap w:val="0"/>
                  <w:vAlign w:val="center"/>
                </w:tcPr>
                <w:p w14:paraId="118A271C">
                  <w:pPr>
                    <w:jc w:val="center"/>
                    <w:rPr>
                      <w:rFonts w:hint="default" w:eastAsia="宋体"/>
                      <w:b/>
                      <w:bCs w:val="0"/>
                      <w:color w:val="auto"/>
                      <w:sz w:val="21"/>
                      <w:szCs w:val="21"/>
                      <w:highlight w:val="none"/>
                      <w:lang w:val="en-US" w:eastAsia="zh-CN"/>
                    </w:rPr>
                  </w:pPr>
                  <w:r>
                    <w:rPr>
                      <w:rFonts w:hint="eastAsia"/>
                      <w:b/>
                      <w:bCs w:val="0"/>
                      <w:color w:val="auto"/>
                      <w:sz w:val="21"/>
                      <w:szCs w:val="21"/>
                      <w:highlight w:val="none"/>
                      <w:lang w:eastAsia="zh-CN"/>
                    </w:rPr>
                    <w:t>符合</w:t>
                  </w:r>
                  <w:r>
                    <w:rPr>
                      <w:rFonts w:hint="eastAsia"/>
                      <w:b/>
                      <w:bCs w:val="0"/>
                      <w:color w:val="auto"/>
                      <w:sz w:val="21"/>
                      <w:szCs w:val="21"/>
                      <w:highlight w:val="none"/>
                      <w:lang w:val="en-US" w:eastAsia="zh-CN"/>
                    </w:rPr>
                    <w:t>情况</w:t>
                  </w:r>
                </w:p>
              </w:tc>
            </w:tr>
            <w:tr w14:paraId="20A46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2" w:type="dxa"/>
                  <w:noWrap w:val="0"/>
                  <w:vAlign w:val="center"/>
                </w:tcPr>
                <w:p w14:paraId="1962237F">
                  <w:pPr>
                    <w:pStyle w:val="26"/>
                    <w:snapToGrid w:val="0"/>
                    <w:spacing w:before="0" w:beforeAutospacing="0" w:after="0" w:afterAutospacing="0"/>
                    <w:jc w:val="center"/>
                    <w:outlineLvl w:val="0"/>
                    <w:rPr>
                      <w:rFonts w:hint="eastAsia" w:ascii="Times New Roman" w:hAnsi="Times New Roman" w:cs="Times New Roman"/>
                      <w:b w:val="0"/>
                      <w:bCs w:val="0"/>
                      <w:snapToGrid w:val="0"/>
                      <w:color w:val="auto"/>
                      <w:kern w:val="0"/>
                      <w:sz w:val="21"/>
                      <w:szCs w:val="21"/>
                      <w:highlight w:val="none"/>
                      <w:lang w:val="zh-CN" w:eastAsia="zh-CN" w:bidi="ar-SA"/>
                    </w:rPr>
                  </w:pPr>
                  <w:bookmarkStart w:id="6" w:name="_Toc16627"/>
                  <w:bookmarkStart w:id="7" w:name="_Toc20933"/>
                  <w:r>
                    <w:rPr>
                      <w:rFonts w:hint="eastAsia" w:ascii="Times New Roman" w:hAnsi="Times New Roman" w:cs="Times New Roman"/>
                      <w:b w:val="0"/>
                      <w:bCs w:val="0"/>
                      <w:snapToGrid w:val="0"/>
                      <w:color w:val="auto"/>
                      <w:kern w:val="0"/>
                      <w:sz w:val="21"/>
                      <w:szCs w:val="21"/>
                      <w:highlight w:val="none"/>
                      <w:lang w:val="zh-CN" w:eastAsia="zh-CN" w:bidi="ar-SA"/>
                    </w:rPr>
                    <w:t>ZH64042330001</w:t>
                  </w:r>
                  <w:bookmarkEnd w:id="6"/>
                  <w:bookmarkEnd w:id="7"/>
                </w:p>
                <w:p w14:paraId="3ACD4A39">
                  <w:pPr>
                    <w:pStyle w:val="26"/>
                    <w:snapToGrid w:val="0"/>
                    <w:spacing w:before="0" w:beforeAutospacing="0" w:after="0" w:afterAutospacing="0"/>
                    <w:jc w:val="center"/>
                    <w:outlineLvl w:val="0"/>
                    <w:rPr>
                      <w:rFonts w:hint="eastAsia" w:ascii="Times New Roman" w:hAnsi="Times New Roman" w:cs="Times New Roman"/>
                      <w:b w:val="0"/>
                      <w:bCs w:val="0"/>
                      <w:snapToGrid w:val="0"/>
                      <w:color w:val="auto"/>
                      <w:kern w:val="0"/>
                      <w:sz w:val="21"/>
                      <w:szCs w:val="21"/>
                      <w:highlight w:val="none"/>
                      <w:lang w:val="zh-CN" w:eastAsia="zh-CN" w:bidi="ar-SA"/>
                    </w:rPr>
                  </w:pPr>
                  <w:bookmarkStart w:id="8" w:name="_Toc27561"/>
                  <w:bookmarkStart w:id="9" w:name="_Toc30270"/>
                  <w:r>
                    <w:rPr>
                      <w:rFonts w:hint="eastAsia" w:ascii="Times New Roman" w:hAnsi="Times New Roman" w:cs="Times New Roman"/>
                      <w:b w:val="0"/>
                      <w:bCs w:val="0"/>
                      <w:snapToGrid w:val="0"/>
                      <w:color w:val="auto"/>
                      <w:kern w:val="0"/>
                      <w:sz w:val="21"/>
                      <w:szCs w:val="21"/>
                      <w:highlight w:val="none"/>
                      <w:lang w:val="en-US" w:eastAsia="zh-CN" w:bidi="ar-SA"/>
                    </w:rPr>
                    <w:t>隆德县</w:t>
                  </w:r>
                  <w:r>
                    <w:rPr>
                      <w:rFonts w:hint="eastAsia" w:ascii="Times New Roman" w:hAnsi="Times New Roman" w:cs="Times New Roman"/>
                      <w:b w:val="0"/>
                      <w:bCs w:val="0"/>
                      <w:snapToGrid w:val="0"/>
                      <w:color w:val="auto"/>
                      <w:kern w:val="0"/>
                      <w:sz w:val="21"/>
                      <w:szCs w:val="21"/>
                      <w:highlight w:val="none"/>
                      <w:lang w:val="zh-CN" w:eastAsia="zh-CN" w:bidi="ar-SA"/>
                    </w:rPr>
                    <w:t>一般管控单元1</w:t>
                  </w:r>
                  <w:bookmarkEnd w:id="8"/>
                  <w:bookmarkEnd w:id="9"/>
                </w:p>
              </w:tc>
              <w:tc>
                <w:tcPr>
                  <w:tcW w:w="1125" w:type="dxa"/>
                  <w:noWrap w:val="0"/>
                  <w:vAlign w:val="center"/>
                </w:tcPr>
                <w:p w14:paraId="3D67E2F5">
                  <w:pPr>
                    <w:pStyle w:val="26"/>
                    <w:snapToGrid w:val="0"/>
                    <w:spacing w:before="0" w:beforeAutospacing="0" w:after="0" w:afterAutospacing="0"/>
                    <w:jc w:val="center"/>
                    <w:outlineLvl w:val="0"/>
                    <w:rPr>
                      <w:rFonts w:hint="default" w:ascii="Times New Roman" w:hAnsi="Times New Roman" w:cs="Times New Roman"/>
                      <w:b w:val="0"/>
                      <w:bCs w:val="0"/>
                      <w:snapToGrid w:val="0"/>
                      <w:color w:val="auto"/>
                      <w:kern w:val="0"/>
                      <w:sz w:val="21"/>
                      <w:szCs w:val="21"/>
                      <w:highlight w:val="none"/>
                      <w:lang w:val="en-US" w:eastAsia="zh-CN" w:bidi="ar-SA"/>
                    </w:rPr>
                  </w:pPr>
                  <w:bookmarkStart w:id="10" w:name="_Toc755"/>
                  <w:bookmarkStart w:id="11" w:name="_Toc23032"/>
                  <w:r>
                    <w:rPr>
                      <w:rFonts w:hint="eastAsia" w:ascii="Times New Roman" w:hAnsi="Times New Roman" w:cs="Times New Roman"/>
                      <w:b w:val="0"/>
                      <w:bCs w:val="0"/>
                      <w:snapToGrid w:val="0"/>
                      <w:color w:val="auto"/>
                      <w:kern w:val="0"/>
                      <w:sz w:val="21"/>
                      <w:szCs w:val="21"/>
                      <w:highlight w:val="none"/>
                      <w:lang w:val="en-US" w:eastAsia="zh-CN" w:bidi="ar-SA"/>
                    </w:rPr>
                    <w:t>宁夏回族自治区固原市隆德县</w:t>
                  </w:r>
                  <w:bookmarkEnd w:id="10"/>
                  <w:bookmarkEnd w:id="11"/>
                  <w:r>
                    <w:rPr>
                      <w:rFonts w:hint="eastAsia" w:ascii="Times New Roman" w:hAnsi="Times New Roman" w:cs="Times New Roman"/>
                      <w:b w:val="0"/>
                      <w:bCs w:val="0"/>
                      <w:snapToGrid w:val="0"/>
                      <w:color w:val="auto"/>
                      <w:kern w:val="0"/>
                      <w:sz w:val="21"/>
                      <w:szCs w:val="21"/>
                      <w:highlight w:val="none"/>
                      <w:lang w:val="en-US" w:eastAsia="zh-CN" w:bidi="ar-SA"/>
                    </w:rPr>
                    <w:t>******</w:t>
                  </w:r>
                </w:p>
              </w:tc>
              <w:tc>
                <w:tcPr>
                  <w:tcW w:w="795" w:type="dxa"/>
                  <w:noWrap w:val="0"/>
                  <w:vAlign w:val="center"/>
                </w:tcPr>
                <w:p w14:paraId="59FA0326">
                  <w:pPr>
                    <w:pStyle w:val="26"/>
                    <w:snapToGrid w:val="0"/>
                    <w:spacing w:before="0" w:beforeAutospacing="0" w:after="0" w:afterAutospacing="0"/>
                    <w:jc w:val="center"/>
                    <w:outlineLvl w:val="0"/>
                    <w:rPr>
                      <w:rFonts w:hint="eastAsia" w:ascii="Times New Roman" w:hAnsi="Times New Roman" w:cs="Times New Roman"/>
                      <w:b w:val="0"/>
                      <w:bCs w:val="0"/>
                      <w:snapToGrid w:val="0"/>
                      <w:color w:val="auto"/>
                      <w:kern w:val="0"/>
                      <w:sz w:val="21"/>
                      <w:szCs w:val="21"/>
                      <w:highlight w:val="none"/>
                      <w:lang w:val="zh-CN" w:eastAsia="zh-CN" w:bidi="ar-SA"/>
                    </w:rPr>
                  </w:pPr>
                  <w:bookmarkStart w:id="12" w:name="_Toc515"/>
                  <w:bookmarkStart w:id="13" w:name="_Toc14724"/>
                  <w:r>
                    <w:rPr>
                      <w:rFonts w:hint="eastAsia" w:ascii="Times New Roman" w:hAnsi="Times New Roman" w:cs="Times New Roman"/>
                      <w:b w:val="0"/>
                      <w:bCs w:val="0"/>
                      <w:snapToGrid w:val="0"/>
                      <w:color w:val="auto"/>
                      <w:kern w:val="0"/>
                      <w:sz w:val="21"/>
                      <w:szCs w:val="21"/>
                      <w:highlight w:val="none"/>
                      <w:lang w:val="zh-CN" w:eastAsia="zh-CN" w:bidi="ar-SA"/>
                    </w:rPr>
                    <w:t>一般管控区</w:t>
                  </w:r>
                  <w:bookmarkEnd w:id="12"/>
                  <w:bookmarkEnd w:id="13"/>
                </w:p>
              </w:tc>
              <w:tc>
                <w:tcPr>
                  <w:tcW w:w="795" w:type="dxa"/>
                  <w:noWrap w:val="0"/>
                  <w:vAlign w:val="center"/>
                </w:tcPr>
                <w:p w14:paraId="5D07A9CA">
                  <w:pPr>
                    <w:pStyle w:val="26"/>
                    <w:snapToGrid w:val="0"/>
                    <w:spacing w:before="0" w:beforeAutospacing="0" w:after="0" w:afterAutospacing="0"/>
                    <w:jc w:val="center"/>
                    <w:outlineLvl w:val="0"/>
                    <w:rPr>
                      <w:rFonts w:hint="default" w:ascii="Times New Roman" w:hAnsi="Times New Roman" w:cs="Times New Roman"/>
                      <w:b w:val="0"/>
                      <w:bCs w:val="0"/>
                      <w:snapToGrid w:val="0"/>
                      <w:color w:val="auto"/>
                      <w:kern w:val="0"/>
                      <w:sz w:val="21"/>
                      <w:szCs w:val="21"/>
                      <w:highlight w:val="none"/>
                      <w:lang w:val="en-US" w:eastAsia="zh-CN" w:bidi="ar-SA"/>
                    </w:rPr>
                  </w:pPr>
                  <w:bookmarkStart w:id="14" w:name="_Toc6263"/>
                  <w:bookmarkStart w:id="15" w:name="_Toc31784"/>
                  <w:r>
                    <w:rPr>
                      <w:rFonts w:hint="eastAsia" w:ascii="Times New Roman" w:hAnsi="Times New Roman" w:cs="Times New Roman"/>
                      <w:b w:val="0"/>
                      <w:bCs w:val="0"/>
                      <w:snapToGrid w:val="0"/>
                      <w:color w:val="auto"/>
                      <w:kern w:val="0"/>
                      <w:sz w:val="21"/>
                      <w:szCs w:val="21"/>
                      <w:highlight w:val="none"/>
                      <w:lang w:val="en-US" w:eastAsia="zh-CN" w:bidi="ar-SA"/>
                    </w:rPr>
                    <w:t>一般管控单元</w:t>
                  </w:r>
                  <w:bookmarkEnd w:id="14"/>
                  <w:bookmarkEnd w:id="15"/>
                </w:p>
              </w:tc>
              <w:tc>
                <w:tcPr>
                  <w:tcW w:w="1469" w:type="dxa"/>
                  <w:noWrap w:val="0"/>
                  <w:vAlign w:val="center"/>
                </w:tcPr>
                <w:p w14:paraId="7DFF9F04">
                  <w:pPr>
                    <w:numPr>
                      <w:ilvl w:val="0"/>
                      <w:numId w:val="3"/>
                    </w:numPr>
                    <w:jc w:val="left"/>
                    <w:rPr>
                      <w:rFonts w:hint="eastAsia"/>
                      <w:bCs/>
                      <w:color w:val="auto"/>
                      <w:sz w:val="21"/>
                      <w:szCs w:val="21"/>
                      <w:highlight w:val="none"/>
                      <w:lang w:eastAsia="zh-CN"/>
                    </w:rPr>
                  </w:pPr>
                  <w:r>
                    <w:rPr>
                      <w:rFonts w:hint="eastAsia"/>
                      <w:bCs/>
                      <w:color w:val="auto"/>
                      <w:sz w:val="21"/>
                      <w:szCs w:val="21"/>
                      <w:highlight w:val="none"/>
                      <w:lang w:eastAsia="zh-CN"/>
                    </w:rPr>
                    <w:t>禁止在二十五度以上陡坡地开垦种植农作物。</w:t>
                  </w:r>
                </w:p>
                <w:p w14:paraId="12B67F4C">
                  <w:pPr>
                    <w:numPr>
                      <w:ilvl w:val="0"/>
                      <w:numId w:val="3"/>
                    </w:numPr>
                    <w:ind w:left="0" w:leftChars="0" w:firstLine="0" w:firstLineChars="0"/>
                    <w:jc w:val="left"/>
                    <w:rPr>
                      <w:rFonts w:hint="eastAsia"/>
                      <w:bCs/>
                      <w:color w:val="auto"/>
                      <w:sz w:val="21"/>
                      <w:szCs w:val="21"/>
                      <w:highlight w:val="none"/>
                      <w:lang w:eastAsia="zh-CN"/>
                    </w:rPr>
                  </w:pPr>
                  <w:r>
                    <w:rPr>
                      <w:rFonts w:hint="eastAsia"/>
                      <w:bCs/>
                      <w:color w:val="auto"/>
                      <w:sz w:val="21"/>
                      <w:szCs w:val="21"/>
                      <w:highlight w:val="none"/>
                      <w:lang w:eastAsia="zh-CN"/>
                    </w:rPr>
                    <w:t>严格限制占用林地、草地及清水河等河流沿线湿地进行开发建设活动。</w:t>
                  </w:r>
                </w:p>
                <w:p w14:paraId="0DA6594C">
                  <w:pPr>
                    <w:numPr>
                      <w:ilvl w:val="0"/>
                      <w:numId w:val="3"/>
                    </w:numPr>
                    <w:ind w:left="0" w:leftChars="0" w:firstLine="0" w:firstLineChars="0"/>
                    <w:jc w:val="left"/>
                    <w:rPr>
                      <w:rFonts w:hint="default"/>
                      <w:bCs/>
                      <w:color w:val="auto"/>
                      <w:sz w:val="21"/>
                      <w:szCs w:val="21"/>
                      <w:highlight w:val="none"/>
                      <w:lang w:val="en-US" w:eastAsia="zh-CN"/>
                    </w:rPr>
                  </w:pPr>
                  <w:r>
                    <w:rPr>
                      <w:rFonts w:hint="eastAsia"/>
                      <w:bCs/>
                      <w:color w:val="auto"/>
                      <w:sz w:val="21"/>
                      <w:szCs w:val="21"/>
                      <w:highlight w:val="none"/>
                      <w:lang w:eastAsia="zh-CN"/>
                    </w:rPr>
                    <w:t>在满足产业准入、总量控制、排放标准等国家和地方相关管理制度要求的前提下，集约发展。</w:t>
                  </w:r>
                </w:p>
              </w:tc>
              <w:tc>
                <w:tcPr>
                  <w:tcW w:w="2402" w:type="dxa"/>
                  <w:noWrap w:val="0"/>
                  <w:vAlign w:val="center"/>
                </w:tcPr>
                <w:p w14:paraId="1DC0FF90">
                  <w:pPr>
                    <w:numPr>
                      <w:ilvl w:val="0"/>
                      <w:numId w:val="4"/>
                    </w:numPr>
                    <w:jc w:val="left"/>
                    <w:rPr>
                      <w:rFonts w:hint="eastAsia"/>
                      <w:bCs/>
                      <w:color w:val="auto"/>
                      <w:sz w:val="21"/>
                      <w:szCs w:val="21"/>
                      <w:highlight w:val="none"/>
                      <w:lang w:val="en-US" w:eastAsia="zh-CN"/>
                    </w:rPr>
                  </w:pPr>
                  <w:r>
                    <w:rPr>
                      <w:rFonts w:hint="eastAsia"/>
                      <w:bCs/>
                      <w:color w:val="auto"/>
                      <w:sz w:val="21"/>
                      <w:szCs w:val="21"/>
                      <w:highlight w:val="none"/>
                      <w:lang w:val="en-US" w:eastAsia="zh-CN"/>
                    </w:rPr>
                    <w:t>项目位于隆德县******，为区域基础设施中的电力资源保障供应项目。</w:t>
                  </w:r>
                </w:p>
                <w:p w14:paraId="59B3B28D">
                  <w:pPr>
                    <w:numPr>
                      <w:ilvl w:val="0"/>
                      <w:numId w:val="4"/>
                    </w:numPr>
                    <w:ind w:left="0" w:leftChars="0" w:firstLine="0" w:firstLineChars="0"/>
                    <w:jc w:val="left"/>
                    <w:rPr>
                      <w:rFonts w:hint="eastAsia"/>
                      <w:bCs/>
                      <w:color w:val="auto"/>
                      <w:sz w:val="21"/>
                      <w:szCs w:val="21"/>
                      <w:highlight w:val="none"/>
                      <w:lang w:val="en-US" w:eastAsia="zh-CN"/>
                    </w:rPr>
                  </w:pPr>
                  <w:r>
                    <w:rPr>
                      <w:rFonts w:hint="eastAsia"/>
                      <w:bCs/>
                      <w:color w:val="auto"/>
                      <w:sz w:val="21"/>
                      <w:szCs w:val="21"/>
                      <w:highlight w:val="none"/>
                      <w:lang w:val="en-US" w:eastAsia="zh-CN"/>
                    </w:rPr>
                    <w:t>项目不占用</w:t>
                  </w:r>
                  <w:r>
                    <w:rPr>
                      <w:rFonts w:hint="eastAsia"/>
                      <w:bCs/>
                      <w:color w:val="auto"/>
                      <w:sz w:val="21"/>
                      <w:szCs w:val="21"/>
                      <w:highlight w:val="none"/>
                      <w:lang w:eastAsia="zh-CN"/>
                    </w:rPr>
                    <w:t>清水河等河流沿线湿地，</w:t>
                  </w:r>
                  <w:r>
                    <w:rPr>
                      <w:rFonts w:hint="eastAsia"/>
                      <w:bCs/>
                      <w:color w:val="auto"/>
                      <w:sz w:val="21"/>
                      <w:szCs w:val="21"/>
                      <w:highlight w:val="none"/>
                      <w:lang w:val="en-US" w:eastAsia="zh-CN"/>
                    </w:rPr>
                    <w:t>占地类型主要为旱地以及少量的林地、草地，且占地以临时占地为主，施工结束后，临时占地将恢复其原有土地功能。</w:t>
                  </w:r>
                </w:p>
                <w:p w14:paraId="3444FEC2">
                  <w:pPr>
                    <w:numPr>
                      <w:ilvl w:val="0"/>
                      <w:numId w:val="4"/>
                    </w:numPr>
                    <w:ind w:left="0" w:leftChars="0" w:firstLine="0" w:firstLineChars="0"/>
                    <w:jc w:val="left"/>
                    <w:rPr>
                      <w:rFonts w:hint="eastAsia"/>
                      <w:bCs/>
                      <w:color w:val="auto"/>
                      <w:sz w:val="21"/>
                      <w:szCs w:val="21"/>
                      <w:highlight w:val="none"/>
                      <w:lang w:val="en-US" w:eastAsia="zh-CN"/>
                    </w:rPr>
                  </w:pPr>
                  <w:r>
                    <w:rPr>
                      <w:rFonts w:hint="eastAsia"/>
                      <w:bCs/>
                      <w:color w:val="auto"/>
                      <w:sz w:val="21"/>
                      <w:szCs w:val="21"/>
                      <w:highlight w:val="none"/>
                      <w:lang w:val="en-US" w:eastAsia="zh-CN"/>
                    </w:rPr>
                    <w:t>项目符合产业政策，运行后不产生废气，会有少量生活废水、固体废物产生，在落实本项目环评报告表提出的相应的污染防治措施后，对周围环境影响很小。</w:t>
                  </w:r>
                </w:p>
              </w:tc>
              <w:tc>
                <w:tcPr>
                  <w:tcW w:w="781" w:type="dxa"/>
                  <w:noWrap w:val="0"/>
                  <w:vAlign w:val="center"/>
                </w:tcPr>
                <w:p w14:paraId="22B31E62">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符合</w:t>
                  </w:r>
                </w:p>
              </w:tc>
            </w:tr>
          </w:tbl>
          <w:p w14:paraId="6E502B5D">
            <w:pPr>
              <w:autoSpaceDE w:val="0"/>
              <w:autoSpaceDN w:val="0"/>
              <w:spacing w:line="360" w:lineRule="auto"/>
              <w:ind w:firstLine="482" w:firstLineChars="200"/>
              <w:rPr>
                <w:b/>
                <w:color w:val="auto"/>
                <w:sz w:val="24"/>
                <w:highlight w:val="none"/>
              </w:rPr>
            </w:pPr>
            <w:r>
              <w:rPr>
                <w:rFonts w:hint="eastAsia"/>
                <w:b/>
                <w:color w:val="auto"/>
                <w:sz w:val="24"/>
                <w:highlight w:val="none"/>
                <w:lang w:val="en-US" w:eastAsia="zh-CN"/>
              </w:rPr>
              <w:t>6</w:t>
            </w:r>
            <w:r>
              <w:rPr>
                <w:b/>
                <w:color w:val="auto"/>
                <w:sz w:val="24"/>
                <w:highlight w:val="none"/>
              </w:rPr>
              <w:t>、与</w:t>
            </w:r>
            <w:r>
              <w:rPr>
                <w:rFonts w:hint="eastAsia"/>
                <w:b/>
                <w:color w:val="auto"/>
                <w:sz w:val="24"/>
                <w:highlight w:val="none"/>
                <w:lang w:val="en-US" w:eastAsia="zh-CN"/>
              </w:rPr>
              <w:t>固原</w:t>
            </w:r>
            <w:r>
              <w:rPr>
                <w:b/>
                <w:color w:val="auto"/>
                <w:sz w:val="24"/>
                <w:highlight w:val="none"/>
              </w:rPr>
              <w:t>市</w:t>
            </w:r>
            <w:r>
              <w:rPr>
                <w:b/>
                <w:bCs/>
                <w:color w:val="auto"/>
                <w:sz w:val="24"/>
                <w:highlight w:val="none"/>
              </w:rPr>
              <w:t>生态环境分区管控符合性分析</w:t>
            </w:r>
          </w:p>
          <w:p w14:paraId="4EFEEA1B">
            <w:pPr>
              <w:autoSpaceDE w:val="0"/>
              <w:autoSpaceDN w:val="0"/>
              <w:spacing w:line="360" w:lineRule="auto"/>
              <w:ind w:firstLine="480" w:firstLineChars="200"/>
              <w:rPr>
                <w:rFonts w:hint="eastAsia"/>
                <w:bCs/>
                <w:color w:val="auto"/>
                <w:sz w:val="24"/>
                <w:highlight w:val="none"/>
                <w:lang w:eastAsia="zh-CN"/>
              </w:rPr>
            </w:pPr>
            <w:r>
              <w:rPr>
                <w:rFonts w:hint="eastAsia"/>
                <w:bCs/>
                <w:color w:val="auto"/>
                <w:sz w:val="24"/>
                <w:highlight w:val="none"/>
              </w:rPr>
              <w:t>“</w:t>
            </w:r>
            <w:r>
              <w:rPr>
                <w:bCs/>
                <w:color w:val="auto"/>
                <w:sz w:val="24"/>
                <w:highlight w:val="none"/>
              </w:rPr>
              <w:t>三线一单</w:t>
            </w:r>
            <w:r>
              <w:rPr>
                <w:rFonts w:hint="eastAsia"/>
                <w:bCs/>
                <w:color w:val="auto"/>
                <w:sz w:val="24"/>
                <w:highlight w:val="none"/>
              </w:rPr>
              <w:t>”</w:t>
            </w:r>
            <w:r>
              <w:rPr>
                <w:bCs/>
                <w:color w:val="auto"/>
                <w:sz w:val="24"/>
                <w:highlight w:val="none"/>
              </w:rPr>
              <w:t>是以改善环境质量为核心，将生态保护红线、环境质量底线、资源利用上线落实到不同的环境管控单元，并建立环境准入负面清单的环境分区管控体系。</w:t>
            </w:r>
            <w:r>
              <w:rPr>
                <w:rFonts w:hint="eastAsia"/>
                <w:bCs/>
                <w:color w:val="auto"/>
                <w:sz w:val="24"/>
                <w:highlight w:val="none"/>
                <w:lang w:val="en-US" w:eastAsia="zh-CN"/>
              </w:rPr>
              <w:t>2024年9月12日</w:t>
            </w:r>
            <w:r>
              <w:rPr>
                <w:rFonts w:hint="eastAsia" w:ascii="Times New Roman" w:hAnsi="Times New Roman" w:cs="Times New Roman"/>
                <w:color w:val="auto"/>
                <w:kern w:val="0"/>
                <w:sz w:val="24"/>
                <w:highlight w:val="none"/>
                <w:lang w:val="en-US" w:eastAsia="zh-CN"/>
              </w:rPr>
              <w:t>固原市人民政府关于印发《固原市生态环境分区管控实施方案》的通知（固政发〔2024〕28号）</w:t>
            </w:r>
            <w:r>
              <w:rPr>
                <w:bCs/>
                <w:color w:val="auto"/>
                <w:sz w:val="24"/>
                <w:highlight w:val="none"/>
              </w:rPr>
              <w:t>，根据</w:t>
            </w:r>
            <w:r>
              <w:rPr>
                <w:rFonts w:hint="eastAsia"/>
                <w:bCs/>
                <w:color w:val="auto"/>
                <w:sz w:val="24"/>
                <w:highlight w:val="none"/>
                <w:lang w:val="en-US" w:eastAsia="zh-CN"/>
              </w:rPr>
              <w:t>其</w:t>
            </w:r>
            <w:r>
              <w:rPr>
                <w:bCs/>
                <w:color w:val="auto"/>
                <w:sz w:val="24"/>
                <w:highlight w:val="none"/>
                <w:lang w:val="en-US" w:eastAsia="zh-CN"/>
              </w:rPr>
              <w:t>固原市生态环境分区管控方案文本</w:t>
            </w:r>
            <w:r>
              <w:rPr>
                <w:rFonts w:hint="eastAsia"/>
                <w:bCs/>
                <w:color w:val="auto"/>
                <w:sz w:val="24"/>
                <w:highlight w:val="none"/>
                <w:lang w:eastAsia="zh-CN"/>
              </w:rPr>
              <w:t>，</w:t>
            </w:r>
            <w:r>
              <w:rPr>
                <w:bCs/>
                <w:color w:val="auto"/>
                <w:sz w:val="24"/>
                <w:highlight w:val="none"/>
              </w:rPr>
              <w:t>本项目与</w:t>
            </w:r>
            <w:r>
              <w:rPr>
                <w:rFonts w:hint="eastAsia"/>
                <w:bCs/>
                <w:color w:val="auto"/>
                <w:sz w:val="24"/>
                <w:highlight w:val="none"/>
                <w:lang w:val="en-US" w:eastAsia="zh-CN"/>
              </w:rPr>
              <w:t>固原市</w:t>
            </w:r>
            <w:r>
              <w:rPr>
                <w:bCs/>
                <w:color w:val="auto"/>
                <w:sz w:val="24"/>
                <w:highlight w:val="none"/>
                <w:lang w:val="en-US" w:eastAsia="zh-CN"/>
              </w:rPr>
              <w:t>生态环境分区管控</w:t>
            </w:r>
            <w:r>
              <w:rPr>
                <w:bCs/>
                <w:color w:val="auto"/>
                <w:sz w:val="24"/>
                <w:highlight w:val="none"/>
              </w:rPr>
              <w:t>符合性分析见表1-2</w:t>
            </w:r>
            <w:r>
              <w:rPr>
                <w:rFonts w:hint="eastAsia"/>
                <w:bCs/>
                <w:color w:val="auto"/>
                <w:sz w:val="24"/>
                <w:highlight w:val="none"/>
                <w:lang w:eastAsia="zh-CN"/>
              </w:rPr>
              <w:t>。</w:t>
            </w:r>
          </w:p>
          <w:p w14:paraId="2E89AE9A">
            <w:pPr>
              <w:autoSpaceDE w:val="0"/>
              <w:autoSpaceDN w:val="0"/>
              <w:spacing w:line="360" w:lineRule="auto"/>
              <w:jc w:val="center"/>
              <w:rPr>
                <w:rFonts w:hint="eastAsia" w:ascii="Times New Roman" w:hAnsi="Times New Roman" w:eastAsia="黑体" w:cs="Times New Roman"/>
                <w:b/>
                <w:bCs/>
                <w:color w:val="auto"/>
                <w:sz w:val="24"/>
                <w:highlight w:val="none"/>
                <w:lang w:val="en-US" w:eastAsia="zh-CN"/>
              </w:rPr>
            </w:pPr>
            <w:r>
              <w:rPr>
                <w:rFonts w:hint="eastAsia" w:ascii="Times New Roman" w:hAnsi="Times New Roman" w:eastAsia="黑体" w:cs="Times New Roman"/>
                <w:b/>
                <w:bCs/>
                <w:color w:val="auto"/>
                <w:sz w:val="24"/>
                <w:highlight w:val="none"/>
                <w:lang w:val="en-US" w:eastAsia="zh-CN"/>
              </w:rPr>
              <w:t>表1-2  项目与固原市生态环境分区管控符合性分析</w:t>
            </w:r>
          </w:p>
          <w:tbl>
            <w:tblPr>
              <w:tblStyle w:val="28"/>
              <w:tblW w:w="48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765"/>
              <w:gridCol w:w="5995"/>
              <w:gridCol w:w="734"/>
            </w:tblGrid>
            <w:tr w14:paraId="3D28B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79" w:type="pct"/>
                  <w:gridSpan w:val="2"/>
                  <w:vAlign w:val="center"/>
                </w:tcPr>
                <w:p w14:paraId="141BE202">
                  <w:pPr>
                    <w:jc w:val="center"/>
                    <w:rPr>
                      <w:b/>
                      <w:color w:val="auto"/>
                      <w:szCs w:val="21"/>
                      <w:highlight w:val="none"/>
                    </w:rPr>
                  </w:pPr>
                  <w:r>
                    <w:rPr>
                      <w:rFonts w:hint="eastAsia"/>
                      <w:b/>
                      <w:color w:val="auto"/>
                      <w:szCs w:val="21"/>
                      <w:highlight w:val="none"/>
                      <w:lang w:val="en-US" w:eastAsia="zh-CN"/>
                    </w:rPr>
                    <w:t>固原市</w:t>
                  </w:r>
                  <w:r>
                    <w:rPr>
                      <w:b/>
                      <w:color w:val="auto"/>
                      <w:szCs w:val="21"/>
                      <w:highlight w:val="none"/>
                    </w:rPr>
                    <w:t>生态环境分区管控要求</w:t>
                  </w:r>
                </w:p>
              </w:tc>
              <w:tc>
                <w:tcPr>
                  <w:tcW w:w="3582" w:type="pct"/>
                  <w:vAlign w:val="center"/>
                </w:tcPr>
                <w:p w14:paraId="3A13503B">
                  <w:pPr>
                    <w:jc w:val="center"/>
                    <w:rPr>
                      <w:b/>
                      <w:color w:val="auto"/>
                      <w:szCs w:val="21"/>
                      <w:highlight w:val="none"/>
                    </w:rPr>
                  </w:pPr>
                  <w:r>
                    <w:rPr>
                      <w:b/>
                      <w:color w:val="auto"/>
                      <w:szCs w:val="21"/>
                      <w:highlight w:val="none"/>
                    </w:rPr>
                    <w:t>本项目情况</w:t>
                  </w:r>
                </w:p>
              </w:tc>
              <w:tc>
                <w:tcPr>
                  <w:tcW w:w="438" w:type="pct"/>
                  <w:vAlign w:val="center"/>
                </w:tcPr>
                <w:p w14:paraId="71FC1186">
                  <w:pPr>
                    <w:jc w:val="center"/>
                    <w:rPr>
                      <w:b/>
                      <w:color w:val="auto"/>
                      <w:szCs w:val="21"/>
                      <w:highlight w:val="none"/>
                    </w:rPr>
                  </w:pPr>
                  <w:r>
                    <w:rPr>
                      <w:b/>
                      <w:color w:val="auto"/>
                      <w:szCs w:val="21"/>
                      <w:highlight w:val="none"/>
                    </w:rPr>
                    <w:t>符合情况</w:t>
                  </w:r>
                </w:p>
              </w:tc>
            </w:tr>
            <w:tr w14:paraId="3E71F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9" w:type="pct"/>
                  <w:gridSpan w:val="2"/>
                  <w:vAlign w:val="center"/>
                </w:tcPr>
                <w:p w14:paraId="26DA7419">
                  <w:pPr>
                    <w:jc w:val="center"/>
                    <w:rPr>
                      <w:b/>
                      <w:color w:val="auto"/>
                      <w:szCs w:val="21"/>
                      <w:highlight w:val="none"/>
                    </w:rPr>
                  </w:pPr>
                  <w:r>
                    <w:rPr>
                      <w:bCs/>
                      <w:color w:val="auto"/>
                      <w:szCs w:val="21"/>
                      <w:highlight w:val="none"/>
                    </w:rPr>
                    <w:t>生态保护红线</w:t>
                  </w:r>
                </w:p>
              </w:tc>
              <w:tc>
                <w:tcPr>
                  <w:tcW w:w="3582" w:type="pct"/>
                  <w:vAlign w:val="center"/>
                </w:tcPr>
                <w:p w14:paraId="37183D7D">
                  <w:pPr>
                    <w:jc w:val="left"/>
                    <w:rPr>
                      <w:b/>
                      <w:color w:val="auto"/>
                      <w:szCs w:val="21"/>
                      <w:highlight w:val="none"/>
                    </w:rPr>
                  </w:pPr>
                  <w:r>
                    <w:rPr>
                      <w:rFonts w:hint="eastAsia"/>
                      <w:b w:val="0"/>
                      <w:bCs/>
                      <w:color w:val="auto"/>
                      <w:szCs w:val="21"/>
                      <w:highlight w:val="none"/>
                    </w:rPr>
                    <w:t>本项目位于</w:t>
                  </w:r>
                  <w:r>
                    <w:rPr>
                      <w:rFonts w:hint="eastAsia"/>
                      <w:b w:val="0"/>
                      <w:bCs/>
                      <w:color w:val="auto"/>
                      <w:szCs w:val="21"/>
                      <w:highlight w:val="none"/>
                      <w:lang w:val="en-US" w:eastAsia="zh-CN"/>
                    </w:rPr>
                    <w:t>宁夏回族自治区固原市隆德县，部分线路一档跨越******，不在生态保护红线范围内新增永久、临时占地，跨越线路长度约13m，线路路径上最近的铁塔距离生态保护红线约46m。本项目为满足项目区周边“煤改电”及新增负荷接入需求，进一步提升配网供电能力和供电可靠性而建设的，</w:t>
                  </w:r>
                  <w:r>
                    <w:rPr>
                      <w:rFonts w:hint="eastAsia" w:cs="Times New Roman"/>
                      <w:b w:val="0"/>
                      <w:bCs/>
                      <w:color w:val="auto"/>
                      <w:spacing w:val="0"/>
                      <w:w w:val="100"/>
                      <w:position w:val="0"/>
                      <w:sz w:val="21"/>
                      <w:szCs w:val="21"/>
                      <w:highlight w:val="none"/>
                      <w:lang w:val="en-US" w:eastAsia="zh-CN"/>
                    </w:rPr>
                    <w:t>项目的建设</w:t>
                  </w:r>
                  <w:r>
                    <w:rPr>
                      <w:rFonts w:hint="default" w:ascii="Times New Roman" w:hAnsi="Times New Roman" w:eastAsia="宋体" w:cs="Times New Roman"/>
                      <w:b w:val="0"/>
                      <w:bCs/>
                      <w:color w:val="auto"/>
                      <w:spacing w:val="0"/>
                      <w:w w:val="100"/>
                      <w:position w:val="0"/>
                      <w:sz w:val="21"/>
                      <w:szCs w:val="21"/>
                      <w:highlight w:val="none"/>
                      <w:lang w:val="en-US" w:eastAsia="zh-CN"/>
                    </w:rPr>
                    <w:t>符合《</w:t>
                  </w:r>
                  <w:r>
                    <w:rPr>
                      <w:rFonts w:hint="eastAsia" w:cs="Times New Roman"/>
                      <w:b w:val="0"/>
                      <w:bCs/>
                      <w:color w:val="auto"/>
                      <w:spacing w:val="0"/>
                      <w:w w:val="100"/>
                      <w:position w:val="0"/>
                      <w:sz w:val="21"/>
                      <w:szCs w:val="21"/>
                      <w:highlight w:val="none"/>
                      <w:lang w:val="en-US" w:eastAsia="zh-CN"/>
                    </w:rPr>
                    <w:t>隆德县</w:t>
                  </w:r>
                  <w:r>
                    <w:rPr>
                      <w:rFonts w:hint="default" w:ascii="Times New Roman" w:hAnsi="Times New Roman" w:eastAsia="宋体" w:cs="Times New Roman"/>
                      <w:b w:val="0"/>
                      <w:bCs/>
                      <w:color w:val="auto"/>
                      <w:spacing w:val="0"/>
                      <w:w w:val="100"/>
                      <w:position w:val="0"/>
                      <w:sz w:val="21"/>
                      <w:szCs w:val="21"/>
                      <w:highlight w:val="none"/>
                      <w:lang w:val="en-US" w:eastAsia="zh-CN"/>
                    </w:rPr>
                    <w:t>国土空间规划（2021-2035年）》</w:t>
                  </w:r>
                  <w:r>
                    <w:rPr>
                      <w:rFonts w:hint="eastAsia" w:ascii="Times New Roman" w:hAnsi="Times New Roman" w:eastAsia="宋体" w:cs="Times New Roman"/>
                      <w:b w:val="0"/>
                      <w:bCs/>
                      <w:color w:val="auto"/>
                      <w:spacing w:val="0"/>
                      <w:w w:val="100"/>
                      <w:position w:val="0"/>
                      <w:sz w:val="21"/>
                      <w:szCs w:val="21"/>
                      <w:highlight w:val="none"/>
                      <w:lang w:val="en-US" w:eastAsia="zh-CN"/>
                    </w:rPr>
                    <w:t>且无法避让的</w:t>
                  </w:r>
                  <w:r>
                    <w:rPr>
                      <w:rFonts w:hint="default" w:ascii="Times New Roman" w:hAnsi="Times New Roman" w:eastAsia="宋体" w:cs="Times New Roman"/>
                      <w:b w:val="0"/>
                      <w:bCs/>
                      <w:color w:val="auto"/>
                      <w:spacing w:val="0"/>
                      <w:w w:val="100"/>
                      <w:position w:val="0"/>
                      <w:sz w:val="21"/>
                      <w:szCs w:val="21"/>
                      <w:highlight w:val="none"/>
                      <w:lang w:val="en-US" w:eastAsia="zh-CN"/>
                    </w:rPr>
                    <w:t>线性基础设施，</w:t>
                  </w:r>
                  <w:r>
                    <w:rPr>
                      <w:rFonts w:hint="eastAsia" w:cs="Times New Roman"/>
                      <w:b w:val="0"/>
                      <w:bCs/>
                      <w:color w:val="auto"/>
                      <w:spacing w:val="0"/>
                      <w:w w:val="100"/>
                      <w:position w:val="0"/>
                      <w:sz w:val="21"/>
                      <w:szCs w:val="21"/>
                      <w:highlight w:val="none"/>
                      <w:lang w:val="en-US" w:eastAsia="zh-CN"/>
                    </w:rPr>
                    <w:t>且输电线路</w:t>
                  </w:r>
                  <w:r>
                    <w:rPr>
                      <w:rFonts w:hint="default" w:ascii="Times New Roman" w:hAnsi="Times New Roman" w:eastAsia="宋体" w:cs="Times New Roman"/>
                      <w:b w:val="0"/>
                      <w:bCs/>
                      <w:color w:val="auto"/>
                      <w:spacing w:val="0"/>
                      <w:w w:val="100"/>
                      <w:position w:val="0"/>
                      <w:sz w:val="21"/>
                      <w:szCs w:val="21"/>
                      <w:highlight w:val="none"/>
                      <w:lang w:val="en-US" w:eastAsia="zh-CN"/>
                    </w:rPr>
                    <w:t>运行期无废气、废水、固体废物产生，</w:t>
                  </w:r>
                  <w:r>
                    <w:rPr>
                      <w:rFonts w:hint="eastAsia" w:cs="Times New Roman"/>
                      <w:b w:val="0"/>
                      <w:bCs/>
                      <w:color w:val="auto"/>
                      <w:spacing w:val="0"/>
                      <w:w w:val="100"/>
                      <w:position w:val="0"/>
                      <w:sz w:val="21"/>
                      <w:szCs w:val="21"/>
                      <w:highlight w:val="none"/>
                      <w:lang w:val="en-US" w:eastAsia="zh-CN"/>
                    </w:rPr>
                    <w:t>不涉及环境风险</w:t>
                  </w:r>
                  <w:r>
                    <w:rPr>
                      <w:rFonts w:hint="default" w:ascii="Times New Roman" w:hAnsi="Times New Roman" w:eastAsia="宋体" w:cs="Times New Roman"/>
                      <w:b w:val="0"/>
                      <w:bCs/>
                      <w:color w:val="auto"/>
                      <w:spacing w:val="0"/>
                      <w:w w:val="100"/>
                      <w:position w:val="0"/>
                      <w:sz w:val="21"/>
                      <w:szCs w:val="21"/>
                      <w:highlight w:val="none"/>
                      <w:lang w:val="en-US" w:eastAsia="zh-CN"/>
                    </w:rPr>
                    <w:t>，对生态保护红线的影响很小</w:t>
                  </w:r>
                  <w:r>
                    <w:rPr>
                      <w:rFonts w:hint="eastAsia" w:cs="Times New Roman"/>
                      <w:b w:val="0"/>
                      <w:bCs/>
                      <w:color w:val="auto"/>
                      <w:spacing w:val="0"/>
                      <w:w w:val="100"/>
                      <w:position w:val="0"/>
                      <w:sz w:val="21"/>
                      <w:szCs w:val="21"/>
                      <w:highlight w:val="none"/>
                      <w:lang w:val="en-US" w:eastAsia="zh-CN"/>
                    </w:rPr>
                    <w:t>，</w:t>
                  </w:r>
                  <w:r>
                    <w:rPr>
                      <w:rFonts w:hint="eastAsia" w:ascii="Times New Roman" w:hAnsi="Times New Roman" w:eastAsia="宋体" w:cs="Times New Roman"/>
                      <w:b w:val="0"/>
                      <w:bCs/>
                      <w:color w:val="auto"/>
                      <w:spacing w:val="0"/>
                      <w:w w:val="100"/>
                      <w:position w:val="0"/>
                      <w:sz w:val="21"/>
                      <w:szCs w:val="21"/>
                      <w:highlight w:val="none"/>
                      <w:lang w:val="en-US" w:eastAsia="zh-CN"/>
                    </w:rPr>
                    <w:t>符合</w:t>
                  </w:r>
                  <w:r>
                    <w:rPr>
                      <w:rFonts w:hint="default" w:ascii="Times New Roman" w:hAnsi="Times New Roman" w:eastAsia="宋体" w:cs="Times New Roman"/>
                      <w:b w:val="0"/>
                      <w:bCs/>
                      <w:color w:val="auto"/>
                      <w:spacing w:val="0"/>
                      <w:w w:val="100"/>
                      <w:position w:val="0"/>
                      <w:sz w:val="21"/>
                      <w:szCs w:val="21"/>
                      <w:highlight w:val="none"/>
                      <w:lang w:val="en-US" w:eastAsia="zh-CN"/>
                    </w:rPr>
                    <w:t>生态</w:t>
                  </w:r>
                  <w:r>
                    <w:rPr>
                      <w:rFonts w:hint="eastAsia" w:ascii="Times New Roman" w:hAnsi="Times New Roman" w:eastAsia="宋体" w:cs="Times New Roman"/>
                      <w:b w:val="0"/>
                      <w:bCs/>
                      <w:color w:val="auto"/>
                      <w:spacing w:val="0"/>
                      <w:w w:val="100"/>
                      <w:position w:val="0"/>
                      <w:sz w:val="21"/>
                      <w:szCs w:val="21"/>
                      <w:highlight w:val="none"/>
                      <w:lang w:val="en-US" w:eastAsia="zh-CN"/>
                    </w:rPr>
                    <w:t>保护</w:t>
                  </w:r>
                  <w:r>
                    <w:rPr>
                      <w:rFonts w:hint="default" w:ascii="Times New Roman" w:hAnsi="Times New Roman" w:eastAsia="宋体" w:cs="Times New Roman"/>
                      <w:b w:val="0"/>
                      <w:bCs/>
                      <w:color w:val="auto"/>
                      <w:spacing w:val="0"/>
                      <w:w w:val="100"/>
                      <w:position w:val="0"/>
                      <w:sz w:val="21"/>
                      <w:szCs w:val="21"/>
                      <w:highlight w:val="none"/>
                      <w:lang w:val="en-US" w:eastAsia="zh-CN"/>
                    </w:rPr>
                    <w:t>红线管控要求。</w:t>
                  </w:r>
                  <w:r>
                    <w:rPr>
                      <w:rFonts w:hint="eastAsia"/>
                      <w:b w:val="0"/>
                      <w:bCs/>
                      <w:color w:val="auto"/>
                      <w:szCs w:val="21"/>
                      <w:highlight w:val="none"/>
                    </w:rPr>
                    <w:t>项目与</w:t>
                  </w:r>
                  <w:r>
                    <w:rPr>
                      <w:rFonts w:hint="eastAsia"/>
                      <w:b w:val="0"/>
                      <w:bCs/>
                      <w:color w:val="auto"/>
                      <w:szCs w:val="21"/>
                      <w:highlight w:val="none"/>
                      <w:lang w:val="en-US" w:eastAsia="zh-CN"/>
                    </w:rPr>
                    <w:t>固原市生态保护红线位置关系见</w:t>
                  </w:r>
                  <w:r>
                    <w:rPr>
                      <w:rFonts w:hint="eastAsia"/>
                      <w:b/>
                      <w:bCs w:val="0"/>
                      <w:color w:val="auto"/>
                      <w:szCs w:val="21"/>
                      <w:highlight w:val="none"/>
                      <w:lang w:val="en-US" w:eastAsia="zh-CN"/>
                    </w:rPr>
                    <w:t>附图1-1</w:t>
                  </w:r>
                  <w:r>
                    <w:rPr>
                      <w:rFonts w:hint="eastAsia"/>
                      <w:b w:val="0"/>
                      <w:bCs/>
                      <w:color w:val="auto"/>
                      <w:szCs w:val="21"/>
                      <w:highlight w:val="none"/>
                      <w:lang w:val="en-US" w:eastAsia="zh-CN"/>
                    </w:rPr>
                    <w:t>。</w:t>
                  </w:r>
                </w:p>
              </w:tc>
              <w:tc>
                <w:tcPr>
                  <w:tcW w:w="438" w:type="pct"/>
                  <w:vAlign w:val="center"/>
                </w:tcPr>
                <w:p w14:paraId="5D0A12EF">
                  <w:pPr>
                    <w:jc w:val="center"/>
                    <w:rPr>
                      <w:b/>
                      <w:color w:val="auto"/>
                      <w:szCs w:val="21"/>
                      <w:highlight w:val="none"/>
                    </w:rPr>
                  </w:pPr>
                  <w:r>
                    <w:rPr>
                      <w:bCs/>
                      <w:color w:val="auto"/>
                      <w:szCs w:val="21"/>
                      <w:highlight w:val="none"/>
                    </w:rPr>
                    <w:t>符合</w:t>
                  </w:r>
                </w:p>
              </w:tc>
            </w:tr>
            <w:tr w14:paraId="4A965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restart"/>
                  <w:vAlign w:val="center"/>
                </w:tcPr>
                <w:p w14:paraId="41D62E17">
                  <w:pPr>
                    <w:widowControl/>
                    <w:jc w:val="center"/>
                    <w:rPr>
                      <w:bCs/>
                      <w:color w:val="auto"/>
                      <w:szCs w:val="21"/>
                      <w:highlight w:val="none"/>
                    </w:rPr>
                  </w:pPr>
                  <w:r>
                    <w:rPr>
                      <w:bCs/>
                      <w:color w:val="auto"/>
                      <w:szCs w:val="21"/>
                      <w:highlight w:val="none"/>
                    </w:rPr>
                    <w:t>环境质量底线及分区管控</w:t>
                  </w:r>
                </w:p>
              </w:tc>
              <w:tc>
                <w:tcPr>
                  <w:tcW w:w="457" w:type="pct"/>
                  <w:vAlign w:val="center"/>
                </w:tcPr>
                <w:p w14:paraId="69C1D45C">
                  <w:pPr>
                    <w:jc w:val="center"/>
                    <w:rPr>
                      <w:bCs/>
                      <w:color w:val="auto"/>
                      <w:szCs w:val="21"/>
                      <w:highlight w:val="none"/>
                    </w:rPr>
                  </w:pPr>
                  <w:r>
                    <w:rPr>
                      <w:bCs/>
                      <w:color w:val="auto"/>
                      <w:szCs w:val="21"/>
                      <w:highlight w:val="none"/>
                    </w:rPr>
                    <w:t>大气环境</w:t>
                  </w:r>
                </w:p>
              </w:tc>
              <w:tc>
                <w:tcPr>
                  <w:tcW w:w="3582" w:type="pct"/>
                  <w:vAlign w:val="center"/>
                </w:tcPr>
                <w:p w14:paraId="51BA8E22">
                  <w:pPr>
                    <w:jc w:val="left"/>
                    <w:rPr>
                      <w:bCs/>
                      <w:color w:val="auto"/>
                      <w:szCs w:val="21"/>
                      <w:highlight w:val="none"/>
                    </w:rPr>
                  </w:pPr>
                  <w:r>
                    <w:rPr>
                      <w:bCs/>
                      <w:color w:val="auto"/>
                      <w:szCs w:val="21"/>
                      <w:highlight w:val="none"/>
                    </w:rPr>
                    <w:t>本项目位于</w:t>
                  </w:r>
                  <w:r>
                    <w:rPr>
                      <w:rFonts w:hint="eastAsia"/>
                      <w:bCs/>
                      <w:color w:val="auto"/>
                      <w:szCs w:val="21"/>
                      <w:highlight w:val="none"/>
                      <w:lang w:val="en-US" w:eastAsia="zh-CN"/>
                    </w:rPr>
                    <w:t>大气环境一般</w:t>
                  </w:r>
                  <w:r>
                    <w:rPr>
                      <w:rFonts w:hint="eastAsia"/>
                      <w:bCs/>
                      <w:color w:val="auto"/>
                      <w:szCs w:val="21"/>
                      <w:highlight w:val="none"/>
                    </w:rPr>
                    <w:t>管控区</w:t>
                  </w:r>
                  <w:r>
                    <w:rPr>
                      <w:bCs/>
                      <w:color w:val="auto"/>
                      <w:szCs w:val="21"/>
                      <w:highlight w:val="none"/>
                    </w:rPr>
                    <w:t>。</w:t>
                  </w:r>
                </w:p>
                <w:p w14:paraId="082BABE1">
                  <w:pPr>
                    <w:widowControl/>
                    <w:jc w:val="left"/>
                    <w:rPr>
                      <w:bCs/>
                      <w:color w:val="auto"/>
                      <w:szCs w:val="21"/>
                      <w:highlight w:val="none"/>
                    </w:rPr>
                  </w:pPr>
                  <w:r>
                    <w:rPr>
                      <w:rFonts w:hint="eastAsia"/>
                      <w:b/>
                      <w:color w:val="auto"/>
                      <w:szCs w:val="21"/>
                      <w:highlight w:val="none"/>
                      <w:lang w:val="en-US" w:eastAsia="zh-CN"/>
                    </w:rPr>
                    <w:t>一般</w:t>
                  </w:r>
                  <w:r>
                    <w:rPr>
                      <w:rFonts w:hint="eastAsia"/>
                      <w:b/>
                      <w:color w:val="auto"/>
                      <w:szCs w:val="21"/>
                      <w:highlight w:val="none"/>
                    </w:rPr>
                    <w:t>管控区</w:t>
                  </w:r>
                  <w:r>
                    <w:rPr>
                      <w:b/>
                      <w:color w:val="auto"/>
                      <w:szCs w:val="21"/>
                      <w:highlight w:val="none"/>
                    </w:rPr>
                    <w:t>要求：</w:t>
                  </w:r>
                  <w:r>
                    <w:rPr>
                      <w:rFonts w:hint="eastAsia" w:ascii="宋体" w:hAnsi="宋体" w:cs="宋体"/>
                      <w:color w:val="auto"/>
                      <w:kern w:val="0"/>
                      <w:szCs w:val="21"/>
                      <w:highlight w:val="none"/>
                      <w:lang w:val="en-US" w:eastAsia="zh-CN" w:bidi="ar"/>
                    </w:rPr>
                    <w:t>落实《中华人民共和国大气污染防治</w:t>
                  </w:r>
                  <w:r>
                    <w:rPr>
                      <w:rFonts w:hint="eastAsia" w:ascii="宋体" w:hAnsi="宋体" w:cs="宋体"/>
                      <w:color w:val="auto"/>
                      <w:kern w:val="0"/>
                      <w:szCs w:val="21"/>
                      <w:highlight w:val="none"/>
                      <w:lang w:bidi="ar"/>
                    </w:rPr>
                    <w:t>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041E1311">
                  <w:pPr>
                    <w:jc w:val="left"/>
                    <w:rPr>
                      <w:color w:val="auto"/>
                      <w:highlight w:val="none"/>
                    </w:rPr>
                  </w:pPr>
                  <w:r>
                    <w:rPr>
                      <w:rFonts w:hint="eastAsia"/>
                      <w:b/>
                      <w:bCs w:val="0"/>
                      <w:color w:val="auto"/>
                      <w:szCs w:val="21"/>
                      <w:highlight w:val="none"/>
                      <w:lang w:val="en-US" w:eastAsia="zh-CN"/>
                    </w:rPr>
                    <w:t>符合性分析：</w:t>
                  </w:r>
                  <w:r>
                    <w:rPr>
                      <w:b w:val="0"/>
                      <w:bCs/>
                      <w:color w:val="auto"/>
                      <w:szCs w:val="21"/>
                      <w:highlight w:val="none"/>
                    </w:rPr>
                    <w:t>本项目运行期不产生废气，对区域环境空气质量无影响。因此，本项目的建设符合大气环境</w:t>
                  </w:r>
                  <w:r>
                    <w:rPr>
                      <w:rFonts w:hint="eastAsia"/>
                      <w:b w:val="0"/>
                      <w:bCs/>
                      <w:color w:val="auto"/>
                      <w:szCs w:val="21"/>
                      <w:highlight w:val="none"/>
                      <w:lang w:val="en-US" w:eastAsia="zh-CN"/>
                    </w:rPr>
                    <w:t>一般</w:t>
                  </w:r>
                  <w:r>
                    <w:rPr>
                      <w:b w:val="0"/>
                      <w:bCs/>
                      <w:color w:val="auto"/>
                      <w:szCs w:val="21"/>
                      <w:highlight w:val="none"/>
                    </w:rPr>
                    <w:t>管控区要求。本项目与</w:t>
                  </w:r>
                  <w:r>
                    <w:rPr>
                      <w:rFonts w:hint="eastAsia"/>
                      <w:b w:val="0"/>
                      <w:bCs/>
                      <w:color w:val="auto"/>
                      <w:szCs w:val="21"/>
                      <w:highlight w:val="none"/>
                      <w:lang w:val="en-US" w:eastAsia="zh-CN"/>
                    </w:rPr>
                    <w:t>固原市</w:t>
                  </w:r>
                  <w:r>
                    <w:rPr>
                      <w:b w:val="0"/>
                      <w:bCs/>
                      <w:color w:val="auto"/>
                      <w:szCs w:val="21"/>
                      <w:highlight w:val="none"/>
                    </w:rPr>
                    <w:t>大气环境分区管控位置</w:t>
                  </w:r>
                  <w:r>
                    <w:rPr>
                      <w:rFonts w:hint="eastAsia"/>
                      <w:b w:val="0"/>
                      <w:bCs/>
                      <w:color w:val="auto"/>
                      <w:szCs w:val="21"/>
                      <w:highlight w:val="none"/>
                      <w:lang w:val="en-US" w:eastAsia="zh-CN"/>
                    </w:rPr>
                    <w:t>关系</w:t>
                  </w:r>
                  <w:r>
                    <w:rPr>
                      <w:b w:val="0"/>
                      <w:bCs/>
                      <w:color w:val="auto"/>
                      <w:szCs w:val="21"/>
                      <w:highlight w:val="none"/>
                    </w:rPr>
                    <w:t>见</w:t>
                  </w:r>
                  <w:r>
                    <w:rPr>
                      <w:b/>
                      <w:color w:val="auto"/>
                      <w:szCs w:val="21"/>
                      <w:highlight w:val="none"/>
                    </w:rPr>
                    <w:t>附图</w:t>
                  </w:r>
                  <w:r>
                    <w:rPr>
                      <w:rFonts w:hint="eastAsia"/>
                      <w:b/>
                      <w:color w:val="auto"/>
                      <w:szCs w:val="21"/>
                      <w:highlight w:val="none"/>
                      <w:lang w:val="en-US" w:eastAsia="zh-CN"/>
                    </w:rPr>
                    <w:t>1-2</w:t>
                  </w:r>
                  <w:r>
                    <w:rPr>
                      <w:bCs/>
                      <w:color w:val="auto"/>
                      <w:szCs w:val="21"/>
                      <w:highlight w:val="none"/>
                    </w:rPr>
                    <w:t>。</w:t>
                  </w:r>
                </w:p>
              </w:tc>
              <w:tc>
                <w:tcPr>
                  <w:tcW w:w="438" w:type="pct"/>
                  <w:vMerge w:val="restart"/>
                  <w:vAlign w:val="center"/>
                </w:tcPr>
                <w:p w14:paraId="661C7AB8">
                  <w:pPr>
                    <w:jc w:val="center"/>
                    <w:rPr>
                      <w:bCs/>
                      <w:color w:val="auto"/>
                      <w:szCs w:val="21"/>
                      <w:highlight w:val="none"/>
                    </w:rPr>
                  </w:pPr>
                  <w:r>
                    <w:rPr>
                      <w:bCs/>
                      <w:color w:val="auto"/>
                      <w:szCs w:val="21"/>
                      <w:highlight w:val="none"/>
                    </w:rPr>
                    <w:t>符合</w:t>
                  </w:r>
                </w:p>
              </w:tc>
            </w:tr>
            <w:tr w14:paraId="4A103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continue"/>
                  <w:vAlign w:val="center"/>
                </w:tcPr>
                <w:p w14:paraId="4E02299D">
                  <w:pPr>
                    <w:jc w:val="center"/>
                    <w:rPr>
                      <w:bCs/>
                      <w:color w:val="auto"/>
                      <w:szCs w:val="21"/>
                      <w:highlight w:val="none"/>
                    </w:rPr>
                  </w:pPr>
                </w:p>
              </w:tc>
              <w:tc>
                <w:tcPr>
                  <w:tcW w:w="457" w:type="pct"/>
                  <w:vAlign w:val="center"/>
                </w:tcPr>
                <w:p w14:paraId="3B750051">
                  <w:pPr>
                    <w:jc w:val="center"/>
                    <w:rPr>
                      <w:bCs/>
                      <w:color w:val="auto"/>
                      <w:szCs w:val="21"/>
                      <w:highlight w:val="none"/>
                    </w:rPr>
                  </w:pPr>
                  <w:r>
                    <w:rPr>
                      <w:bCs/>
                      <w:color w:val="auto"/>
                      <w:szCs w:val="21"/>
                      <w:highlight w:val="none"/>
                    </w:rPr>
                    <w:t>水环境</w:t>
                  </w:r>
                </w:p>
              </w:tc>
              <w:tc>
                <w:tcPr>
                  <w:tcW w:w="3582" w:type="pct"/>
                  <w:vAlign w:val="center"/>
                </w:tcPr>
                <w:p w14:paraId="09FDABE9">
                  <w:pPr>
                    <w:jc w:val="left"/>
                    <w:rPr>
                      <w:bCs/>
                      <w:color w:val="auto"/>
                      <w:szCs w:val="21"/>
                      <w:highlight w:val="none"/>
                    </w:rPr>
                  </w:pPr>
                  <w:r>
                    <w:rPr>
                      <w:bCs/>
                      <w:color w:val="auto"/>
                      <w:szCs w:val="21"/>
                      <w:highlight w:val="none"/>
                    </w:rPr>
                    <w:t>本项目位于水环境一般管控区。</w:t>
                  </w:r>
                </w:p>
                <w:p w14:paraId="0232191D">
                  <w:pPr>
                    <w:jc w:val="left"/>
                    <w:rPr>
                      <w:b/>
                      <w:color w:val="auto"/>
                      <w:szCs w:val="21"/>
                      <w:highlight w:val="none"/>
                    </w:rPr>
                  </w:pPr>
                  <w:r>
                    <w:rPr>
                      <w:b/>
                      <w:color w:val="auto"/>
                      <w:szCs w:val="21"/>
                      <w:highlight w:val="none"/>
                    </w:rPr>
                    <w:t>一般管控区要求：</w:t>
                  </w:r>
                  <w:r>
                    <w:rPr>
                      <w:b w:val="0"/>
                      <w:bCs/>
                      <w:color w:val="auto"/>
                      <w:szCs w:val="21"/>
                      <w:highlight w:val="none"/>
                    </w:rPr>
                    <w:t>对于水环境优先保护区、重点管控区以外，现状水质达标的控</w:t>
                  </w:r>
                  <w:r>
                    <w:rPr>
                      <w:b w:val="0"/>
                      <w:bCs/>
                      <w:color w:val="auto"/>
                      <w:szCs w:val="21"/>
                      <w:highlight w:val="none"/>
                      <w:lang w:val="en-US" w:eastAsia="zh-CN"/>
                    </w:rPr>
                    <w:t>制断面所对应的一般管控区，应落实《中华人民共和国水污染防治法》</w:t>
                  </w:r>
                  <w:r>
                    <w:rPr>
                      <w:b w:val="0"/>
                      <w:bCs/>
                      <w:color w:val="auto"/>
                      <w:szCs w:val="21"/>
                      <w:highlight w:val="none"/>
                    </w:rPr>
                    <w:t>等相关法律法规的总体要求，加强水资源节约和保护，积极推动水生态修复治理，持续深入推进水污染防治，改善水环境质量。</w:t>
                  </w:r>
                </w:p>
                <w:p w14:paraId="05A8D963">
                  <w:pPr>
                    <w:jc w:val="left"/>
                    <w:rPr>
                      <w:bCs/>
                      <w:color w:val="auto"/>
                      <w:szCs w:val="21"/>
                      <w:highlight w:val="none"/>
                    </w:rPr>
                  </w:pPr>
                  <w:r>
                    <w:rPr>
                      <w:rFonts w:hint="eastAsia"/>
                      <w:b/>
                      <w:bCs w:val="0"/>
                      <w:color w:val="auto"/>
                      <w:szCs w:val="21"/>
                      <w:highlight w:val="none"/>
                      <w:lang w:val="en-US" w:eastAsia="zh-CN"/>
                    </w:rPr>
                    <w:t>符合性分析：</w:t>
                  </w:r>
                  <w:r>
                    <w:rPr>
                      <w:b w:val="0"/>
                      <w:bCs/>
                      <w:color w:val="auto"/>
                      <w:szCs w:val="21"/>
                      <w:highlight w:val="none"/>
                    </w:rPr>
                    <w:t>本项目运行期</w:t>
                  </w:r>
                  <w:r>
                    <w:rPr>
                      <w:rFonts w:hint="eastAsia"/>
                      <w:b w:val="0"/>
                      <w:bCs/>
                      <w:color w:val="auto"/>
                      <w:szCs w:val="21"/>
                      <w:highlight w:val="none"/>
                      <w:lang w:val="en-US" w:eastAsia="zh-CN"/>
                    </w:rPr>
                    <w:t>少量</w:t>
                  </w:r>
                  <w:r>
                    <w:rPr>
                      <w:rFonts w:hint="eastAsia"/>
                      <w:b w:val="0"/>
                      <w:bCs/>
                      <w:color w:val="auto"/>
                      <w:szCs w:val="21"/>
                      <w:highlight w:val="none"/>
                    </w:rPr>
                    <w:t>生活污水经化粪池处理后</w:t>
                  </w:r>
                  <w:r>
                    <w:rPr>
                      <w:rFonts w:hint="eastAsia"/>
                      <w:b w:val="0"/>
                      <w:bCs/>
                      <w:color w:val="auto"/>
                      <w:szCs w:val="21"/>
                      <w:highlight w:val="none"/>
                      <w:lang w:val="en-US" w:eastAsia="zh-CN"/>
                    </w:rPr>
                    <w:t>定期清掏，不外排，</w:t>
                  </w:r>
                  <w:r>
                    <w:rPr>
                      <w:rFonts w:hint="eastAsia"/>
                      <w:b w:val="0"/>
                      <w:bCs/>
                      <w:color w:val="auto"/>
                      <w:szCs w:val="21"/>
                      <w:highlight w:val="none"/>
                    </w:rPr>
                    <w:t>对区域水环境</w:t>
                  </w:r>
                  <w:r>
                    <w:rPr>
                      <w:rFonts w:hint="eastAsia"/>
                      <w:b w:val="0"/>
                      <w:bCs/>
                      <w:color w:val="auto"/>
                      <w:szCs w:val="21"/>
                      <w:highlight w:val="none"/>
                      <w:lang w:val="en-US" w:eastAsia="zh-CN"/>
                    </w:rPr>
                    <w:t>质量</w:t>
                  </w:r>
                  <w:r>
                    <w:rPr>
                      <w:rFonts w:hint="eastAsia"/>
                      <w:b w:val="0"/>
                      <w:bCs/>
                      <w:color w:val="auto"/>
                      <w:szCs w:val="21"/>
                      <w:highlight w:val="none"/>
                    </w:rPr>
                    <w:t>无影响</w:t>
                  </w:r>
                  <w:r>
                    <w:rPr>
                      <w:b w:val="0"/>
                      <w:bCs/>
                      <w:color w:val="auto"/>
                      <w:kern w:val="0"/>
                      <w:szCs w:val="21"/>
                      <w:highlight w:val="none"/>
                      <w:lang w:bidi="ar"/>
                    </w:rPr>
                    <w:t>。</w:t>
                  </w:r>
                  <w:r>
                    <w:rPr>
                      <w:b w:val="0"/>
                      <w:bCs/>
                      <w:color w:val="auto"/>
                      <w:szCs w:val="21"/>
                      <w:highlight w:val="none"/>
                    </w:rPr>
                    <w:t>因此，本项目的建设符合</w:t>
                  </w:r>
                  <w:r>
                    <w:rPr>
                      <w:rFonts w:hint="eastAsia"/>
                      <w:b w:val="0"/>
                      <w:bCs/>
                      <w:color w:val="auto"/>
                      <w:szCs w:val="21"/>
                      <w:highlight w:val="none"/>
                      <w:lang w:val="en-US" w:eastAsia="zh-CN"/>
                    </w:rPr>
                    <w:t>水环境</w:t>
                  </w:r>
                  <w:r>
                    <w:rPr>
                      <w:b w:val="0"/>
                      <w:bCs/>
                      <w:color w:val="auto"/>
                      <w:szCs w:val="21"/>
                      <w:highlight w:val="none"/>
                    </w:rPr>
                    <w:t>一般管控区要求。本项目与</w:t>
                  </w:r>
                  <w:r>
                    <w:rPr>
                      <w:rFonts w:hint="eastAsia"/>
                      <w:b w:val="0"/>
                      <w:bCs/>
                      <w:color w:val="auto"/>
                      <w:szCs w:val="21"/>
                      <w:highlight w:val="none"/>
                      <w:lang w:val="en-US" w:eastAsia="zh-CN"/>
                    </w:rPr>
                    <w:t>固原</w:t>
                  </w:r>
                  <w:r>
                    <w:rPr>
                      <w:b w:val="0"/>
                      <w:bCs/>
                      <w:color w:val="auto"/>
                      <w:szCs w:val="21"/>
                      <w:highlight w:val="none"/>
                    </w:rPr>
                    <w:t>市水环境分区管控位置</w:t>
                  </w:r>
                  <w:r>
                    <w:rPr>
                      <w:rFonts w:hint="eastAsia"/>
                      <w:b w:val="0"/>
                      <w:bCs/>
                      <w:color w:val="auto"/>
                      <w:szCs w:val="21"/>
                      <w:highlight w:val="none"/>
                      <w:lang w:val="en-US" w:eastAsia="zh-CN"/>
                    </w:rPr>
                    <w:t>关系</w:t>
                  </w:r>
                  <w:r>
                    <w:rPr>
                      <w:b w:val="0"/>
                      <w:bCs/>
                      <w:color w:val="auto"/>
                      <w:szCs w:val="21"/>
                      <w:highlight w:val="none"/>
                    </w:rPr>
                    <w:t>见</w:t>
                  </w:r>
                  <w:r>
                    <w:rPr>
                      <w:b/>
                      <w:color w:val="auto"/>
                      <w:szCs w:val="21"/>
                      <w:highlight w:val="none"/>
                    </w:rPr>
                    <w:t>附图</w:t>
                  </w:r>
                  <w:r>
                    <w:rPr>
                      <w:rFonts w:hint="eastAsia"/>
                      <w:b/>
                      <w:color w:val="auto"/>
                      <w:szCs w:val="21"/>
                      <w:highlight w:val="none"/>
                      <w:lang w:val="en-US" w:eastAsia="zh-CN"/>
                    </w:rPr>
                    <w:t>1-3</w:t>
                  </w:r>
                  <w:r>
                    <w:rPr>
                      <w:b/>
                      <w:color w:val="auto"/>
                      <w:szCs w:val="21"/>
                      <w:highlight w:val="none"/>
                    </w:rPr>
                    <w:t>。</w:t>
                  </w:r>
                </w:p>
              </w:tc>
              <w:tc>
                <w:tcPr>
                  <w:tcW w:w="438" w:type="pct"/>
                  <w:vMerge w:val="continue"/>
                  <w:vAlign w:val="center"/>
                </w:tcPr>
                <w:p w14:paraId="4F4E37B9">
                  <w:pPr>
                    <w:jc w:val="center"/>
                    <w:rPr>
                      <w:bCs/>
                      <w:color w:val="auto"/>
                      <w:szCs w:val="21"/>
                      <w:highlight w:val="none"/>
                    </w:rPr>
                  </w:pPr>
                </w:p>
              </w:tc>
            </w:tr>
            <w:tr w14:paraId="3F061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2" w:type="pct"/>
                  <w:vMerge w:val="continue"/>
                  <w:vAlign w:val="center"/>
                </w:tcPr>
                <w:p w14:paraId="24487E4C">
                  <w:pPr>
                    <w:jc w:val="center"/>
                    <w:rPr>
                      <w:bCs/>
                      <w:color w:val="auto"/>
                      <w:szCs w:val="21"/>
                      <w:highlight w:val="none"/>
                    </w:rPr>
                  </w:pPr>
                </w:p>
              </w:tc>
              <w:tc>
                <w:tcPr>
                  <w:tcW w:w="457" w:type="pct"/>
                  <w:vAlign w:val="center"/>
                </w:tcPr>
                <w:p w14:paraId="72CEBDE4">
                  <w:pPr>
                    <w:jc w:val="center"/>
                    <w:rPr>
                      <w:bCs/>
                      <w:color w:val="auto"/>
                      <w:szCs w:val="21"/>
                      <w:highlight w:val="none"/>
                    </w:rPr>
                  </w:pPr>
                  <w:r>
                    <w:rPr>
                      <w:bCs/>
                      <w:color w:val="auto"/>
                      <w:szCs w:val="21"/>
                      <w:highlight w:val="none"/>
                    </w:rPr>
                    <w:t>土壤环境</w:t>
                  </w:r>
                </w:p>
              </w:tc>
              <w:tc>
                <w:tcPr>
                  <w:tcW w:w="3582" w:type="pct"/>
                  <w:vAlign w:val="center"/>
                </w:tcPr>
                <w:p w14:paraId="36B796CE">
                  <w:pPr>
                    <w:widowControl/>
                    <w:jc w:val="left"/>
                    <w:rPr>
                      <w:bCs/>
                      <w:color w:val="auto"/>
                      <w:szCs w:val="21"/>
                      <w:highlight w:val="none"/>
                    </w:rPr>
                  </w:pPr>
                  <w:r>
                    <w:rPr>
                      <w:bCs/>
                      <w:color w:val="auto"/>
                      <w:szCs w:val="21"/>
                      <w:highlight w:val="none"/>
                    </w:rPr>
                    <w:t>本项目位于土壤污染风险分区管控中的</w:t>
                  </w:r>
                  <w:r>
                    <w:rPr>
                      <w:rFonts w:hint="eastAsia"/>
                      <w:bCs/>
                      <w:color w:val="auto"/>
                      <w:szCs w:val="21"/>
                      <w:highlight w:val="none"/>
                      <w:lang w:val="en-US" w:eastAsia="zh-CN"/>
                    </w:rPr>
                    <w:t>农用地优先保护区和</w:t>
                  </w:r>
                  <w:r>
                    <w:rPr>
                      <w:bCs/>
                      <w:color w:val="auto"/>
                      <w:kern w:val="0"/>
                      <w:szCs w:val="21"/>
                      <w:highlight w:val="none"/>
                      <w:lang w:bidi="ar"/>
                    </w:rPr>
                    <w:t>一般管控区。</w:t>
                  </w:r>
                </w:p>
                <w:p w14:paraId="39A282D2">
                  <w:pPr>
                    <w:widowControl/>
                    <w:jc w:val="left"/>
                    <w:rPr>
                      <w:b/>
                      <w:bCs/>
                      <w:color w:val="auto"/>
                      <w:kern w:val="0"/>
                      <w:szCs w:val="21"/>
                      <w:highlight w:val="none"/>
                      <w:lang w:bidi="ar"/>
                    </w:rPr>
                  </w:pPr>
                  <w:r>
                    <w:rPr>
                      <w:b/>
                      <w:bCs/>
                      <w:color w:val="auto"/>
                      <w:kern w:val="0"/>
                      <w:szCs w:val="21"/>
                      <w:highlight w:val="none"/>
                      <w:lang w:bidi="ar"/>
                    </w:rPr>
                    <w:t>农用地优先保护区</w:t>
                  </w:r>
                  <w:r>
                    <w:rPr>
                      <w:rFonts w:hint="eastAsia"/>
                      <w:b/>
                      <w:bCs/>
                      <w:color w:val="auto"/>
                      <w:kern w:val="0"/>
                      <w:szCs w:val="21"/>
                      <w:highlight w:val="none"/>
                      <w:lang w:val="en-US" w:eastAsia="zh-CN" w:bidi="ar"/>
                    </w:rPr>
                    <w:t>要求</w:t>
                  </w:r>
                  <w:r>
                    <w:rPr>
                      <w:b/>
                      <w:bCs/>
                      <w:color w:val="auto"/>
                      <w:kern w:val="0"/>
                      <w:szCs w:val="21"/>
                      <w:highlight w:val="none"/>
                      <w:lang w:bidi="ar"/>
                    </w:rPr>
                    <w:t>：</w:t>
                  </w:r>
                  <w:r>
                    <w:rPr>
                      <w:b w:val="0"/>
                      <w:bCs w:val="0"/>
                      <w:color w:val="auto"/>
                      <w:kern w:val="0"/>
                      <w:szCs w:val="21"/>
                      <w:highlight w:val="none"/>
                      <w:lang w:bidi="ar"/>
                    </w:rPr>
                    <w:t>实行严格保护，确保其面积不减少、土壤环境质量不下降，除法律规定的重点建设项目选址确实无法避让外，其他任何建设不得占用。严格控制在优先保护类耕地集中区域新建有色金属冶炼、石油加工、化工、焦化、电镀、制革等</w:t>
                  </w:r>
                  <w:r>
                    <w:rPr>
                      <w:b w:val="0"/>
                      <w:bCs w:val="0"/>
                      <w:color w:val="auto"/>
                      <w:kern w:val="0"/>
                      <w:szCs w:val="21"/>
                      <w:highlight w:val="none"/>
                      <w:lang w:val="en-US" w:eastAsia="zh-CN" w:bidi="ar"/>
                    </w:rPr>
                    <w:t>行业企业，现有相关行业企业应当按照有关规定采取措施，防止</w:t>
                  </w:r>
                  <w:r>
                    <w:rPr>
                      <w:b w:val="0"/>
                      <w:bCs w:val="0"/>
                      <w:color w:val="auto"/>
                      <w:kern w:val="0"/>
                      <w:szCs w:val="21"/>
                      <w:highlight w:val="none"/>
                      <w:lang w:bidi="ar"/>
                    </w:rPr>
                    <w:t>对耕地造成污染。禁止任何单位和个人在基本农田保护区内建窑、建房、建坟、挖砂、采石、采矿、取土、堆放固体废弃物或者进行其他破坏基本农田的活动。</w:t>
                  </w:r>
                </w:p>
                <w:p w14:paraId="26C6C650">
                  <w:pPr>
                    <w:widowControl/>
                    <w:jc w:val="left"/>
                    <w:rPr>
                      <w:b w:val="0"/>
                      <w:bCs w:val="0"/>
                      <w:color w:val="auto"/>
                      <w:kern w:val="0"/>
                      <w:szCs w:val="21"/>
                      <w:highlight w:val="none"/>
                      <w:lang w:bidi="ar"/>
                    </w:rPr>
                  </w:pPr>
                  <w:r>
                    <w:rPr>
                      <w:b/>
                      <w:bCs/>
                      <w:color w:val="auto"/>
                      <w:kern w:val="0"/>
                      <w:szCs w:val="21"/>
                      <w:highlight w:val="none"/>
                      <w:lang w:bidi="ar"/>
                    </w:rPr>
                    <w:t>一般管控区</w:t>
                  </w:r>
                  <w:r>
                    <w:rPr>
                      <w:rFonts w:hint="eastAsia"/>
                      <w:b/>
                      <w:bCs/>
                      <w:color w:val="auto"/>
                      <w:kern w:val="0"/>
                      <w:szCs w:val="21"/>
                      <w:highlight w:val="none"/>
                      <w:lang w:val="en-US" w:eastAsia="zh-CN" w:bidi="ar"/>
                    </w:rPr>
                    <w:t>要求</w:t>
                  </w:r>
                  <w:r>
                    <w:rPr>
                      <w:b/>
                      <w:bCs/>
                      <w:color w:val="auto"/>
                      <w:kern w:val="0"/>
                      <w:szCs w:val="21"/>
                      <w:highlight w:val="none"/>
                      <w:lang w:bidi="ar"/>
                    </w:rPr>
                    <w:t>：</w:t>
                  </w:r>
                  <w:r>
                    <w:rPr>
                      <w:b w:val="0"/>
                      <w:bCs w:val="0"/>
                      <w:color w:val="auto"/>
                      <w:kern w:val="0"/>
                      <w:szCs w:val="21"/>
                      <w:highlight w:val="none"/>
                      <w:lang w:bidi="ar"/>
                    </w:rPr>
                    <w:t>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14:paraId="57F2ADC1">
                  <w:pPr>
                    <w:rPr>
                      <w:bCs/>
                      <w:color w:val="auto"/>
                      <w:szCs w:val="21"/>
                      <w:highlight w:val="none"/>
                    </w:rPr>
                  </w:pPr>
                  <w:r>
                    <w:rPr>
                      <w:rFonts w:hint="eastAsia"/>
                      <w:b/>
                      <w:bCs w:val="0"/>
                      <w:color w:val="auto"/>
                      <w:szCs w:val="21"/>
                      <w:highlight w:val="none"/>
                      <w:lang w:val="en-US" w:eastAsia="zh-CN"/>
                    </w:rPr>
                    <w:t>符合性分析：</w:t>
                  </w:r>
                  <w:r>
                    <w:rPr>
                      <w:rFonts w:hint="eastAsia"/>
                      <w:b w:val="0"/>
                      <w:bCs/>
                      <w:color w:val="auto"/>
                      <w:szCs w:val="21"/>
                      <w:highlight w:val="none"/>
                      <w:lang w:val="en-US" w:eastAsia="zh-CN"/>
                    </w:rPr>
                    <w:t>本项目为输变电项目，输电线路沿线分布有大片永久基本农田，部分输电线路无法避让需占用永久基本农田。</w:t>
                  </w:r>
                  <w:r>
                    <w:rPr>
                      <w:rFonts w:hint="eastAsia"/>
                      <w:bCs/>
                      <w:color w:val="auto"/>
                      <w:sz w:val="21"/>
                      <w:szCs w:val="21"/>
                      <w:highlight w:val="none"/>
                      <w:lang w:val="en-US" w:eastAsia="zh-CN"/>
                    </w:rPr>
                    <w:t>根据《永久基本农田保护红线管理办法》中“第二十一条”规定：依法可以按照原地类管理的架空电力传输线路、通信设施涉及的点状杆、塔确实难以避让永久基本农田的，应当在不妨碍机械化耕作的前提下，尽可能沿田间道路、沟渠、田坎铺设。铺设方案应当对永久基本农田的不可避让性以及对耕作的影响进行论证，报县级人民政府自然资源主管部门备案并加强监管。本项目设计过程中对线路塔基占用旱地（尤其是永久基本农田）已尽可能将杆塔设置在田间道路、沟渠、田坎等地方，且目前正在开展本项目占用永久基本农田的不可避让论证相关手续，符合永久基本农田保护红线管理办法。</w:t>
                  </w:r>
                  <w:r>
                    <w:rPr>
                      <w:rFonts w:hint="default"/>
                      <w:b w:val="0"/>
                      <w:bCs/>
                      <w:color w:val="auto"/>
                      <w:szCs w:val="21"/>
                      <w:highlight w:val="none"/>
                    </w:rPr>
                    <w:t>运行期仅有变电站会产生少量生活污水、生活垃圾以及</w:t>
                  </w:r>
                  <w:r>
                    <w:rPr>
                      <w:rFonts w:hint="eastAsia"/>
                      <w:b w:val="0"/>
                      <w:bCs/>
                      <w:color w:val="auto"/>
                      <w:szCs w:val="21"/>
                      <w:highlight w:val="none"/>
                      <w:lang w:val="en-US" w:eastAsia="zh-CN"/>
                    </w:rPr>
                    <w:t>废变压器油、</w:t>
                  </w:r>
                  <w:r>
                    <w:rPr>
                      <w:rFonts w:hint="default"/>
                      <w:b w:val="0"/>
                      <w:bCs/>
                      <w:color w:val="auto"/>
                      <w:szCs w:val="21"/>
                      <w:highlight w:val="none"/>
                    </w:rPr>
                    <w:t>废旧蓄电池等危险废物</w:t>
                  </w:r>
                  <w:r>
                    <w:rPr>
                      <w:rFonts w:hint="eastAsia"/>
                      <w:b w:val="0"/>
                      <w:bCs/>
                      <w:color w:val="auto"/>
                      <w:szCs w:val="21"/>
                      <w:highlight w:val="none"/>
                      <w:lang w:eastAsia="zh-CN"/>
                    </w:rPr>
                    <w:t>。</w:t>
                  </w:r>
                  <w:r>
                    <w:rPr>
                      <w:rFonts w:hint="eastAsia"/>
                      <w:b w:val="0"/>
                      <w:bCs/>
                      <w:color w:val="auto"/>
                      <w:szCs w:val="21"/>
                      <w:highlight w:val="none"/>
                    </w:rPr>
                    <w:t>生活污水经化粪池处理后</w:t>
                  </w:r>
                  <w:r>
                    <w:rPr>
                      <w:rFonts w:hint="eastAsia"/>
                      <w:b w:val="0"/>
                      <w:bCs/>
                      <w:color w:val="auto"/>
                      <w:szCs w:val="21"/>
                      <w:highlight w:val="none"/>
                      <w:lang w:val="en-US" w:eastAsia="zh-CN"/>
                    </w:rPr>
                    <w:t>定期清掏，不外排；</w:t>
                  </w:r>
                  <w:r>
                    <w:rPr>
                      <w:rFonts w:hint="default" w:ascii="Times New Roman" w:hAnsi="Times New Roman" w:cs="Times New Roman"/>
                      <w:color w:val="auto"/>
                      <w:sz w:val="21"/>
                      <w:szCs w:val="21"/>
                      <w:highlight w:val="none"/>
                      <w:lang w:val="en-US" w:eastAsia="zh-CN"/>
                    </w:rPr>
                    <w:t>生活垃圾定期运至环卫部门指定的地点处置</w:t>
                  </w:r>
                  <w:r>
                    <w:rPr>
                      <w:rFonts w:hint="eastAsia" w:ascii="Times New Roman" w:hAnsi="Times New Roman" w:cs="Times New Roman"/>
                      <w:color w:val="auto"/>
                      <w:sz w:val="21"/>
                      <w:szCs w:val="21"/>
                      <w:highlight w:val="none"/>
                      <w:lang w:val="en-US" w:eastAsia="zh-CN"/>
                    </w:rPr>
                    <w:t>，</w:t>
                  </w:r>
                  <w:r>
                    <w:rPr>
                      <w:rFonts w:hint="eastAsia"/>
                      <w:b w:val="0"/>
                      <w:bCs/>
                      <w:color w:val="auto"/>
                      <w:szCs w:val="21"/>
                      <w:highlight w:val="none"/>
                      <w:lang w:val="en-US" w:eastAsia="zh-CN"/>
                    </w:rPr>
                    <w:t>废变压器油油</w:t>
                  </w:r>
                  <w:r>
                    <w:rPr>
                      <w:rFonts w:hint="default" w:ascii="Times New Roman" w:hAnsi="Times New Roman" w:cs="Times New Roman"/>
                      <w:color w:val="auto"/>
                      <w:sz w:val="21"/>
                      <w:szCs w:val="21"/>
                      <w:highlight w:val="none"/>
                      <w:lang w:val="en-US" w:eastAsia="zh-CN"/>
                    </w:rPr>
                    <w:t>交由有资质的单位处置</w:t>
                  </w:r>
                  <w:r>
                    <w:rPr>
                      <w:rFonts w:hint="eastAsia" w:ascii="Times New Roman" w:hAnsi="Times New Roman" w:cs="Times New Roman"/>
                      <w:b w:val="0"/>
                      <w:bCs/>
                      <w:color w:val="auto"/>
                      <w:szCs w:val="21"/>
                      <w:highlight w:val="none"/>
                      <w:lang w:val="en-US" w:eastAsia="zh-CN"/>
                    </w:rPr>
                    <w:t>，</w:t>
                  </w:r>
                  <w:r>
                    <w:rPr>
                      <w:rFonts w:hint="eastAsia" w:ascii="Times New Roman" w:hAnsi="Times New Roman" w:cs="Times New Roman"/>
                      <w:color w:val="auto"/>
                      <w:sz w:val="21"/>
                      <w:szCs w:val="21"/>
                      <w:highlight w:val="none"/>
                      <w:lang w:val="en-US" w:eastAsia="zh-CN"/>
                    </w:rPr>
                    <w:t>废旧</w:t>
                  </w:r>
                  <w:r>
                    <w:rPr>
                      <w:rFonts w:hint="default" w:ascii="Times New Roman" w:hAnsi="Times New Roman" w:cs="Times New Roman"/>
                      <w:color w:val="auto"/>
                      <w:sz w:val="21"/>
                      <w:szCs w:val="21"/>
                      <w:highlight w:val="none"/>
                      <w:lang w:val="en-US" w:eastAsia="zh-CN"/>
                    </w:rPr>
                    <w:t>蓄电池交由有资质的单位置换后回收处置</w:t>
                  </w:r>
                  <w:r>
                    <w:rPr>
                      <w:rFonts w:hint="eastAsia" w:ascii="Times New Roman" w:hAnsi="Times New Roman" w:cs="Times New Roman"/>
                      <w:b w:val="0"/>
                      <w:bCs/>
                      <w:color w:val="auto"/>
                      <w:szCs w:val="21"/>
                      <w:highlight w:val="none"/>
                      <w:lang w:val="en-US" w:eastAsia="zh-CN"/>
                    </w:rPr>
                    <w:t>，</w:t>
                  </w:r>
                  <w:r>
                    <w:rPr>
                      <w:rFonts w:hint="eastAsia"/>
                      <w:b w:val="0"/>
                      <w:bCs/>
                      <w:color w:val="auto"/>
                      <w:szCs w:val="21"/>
                      <w:highlight w:val="none"/>
                    </w:rPr>
                    <w:t>不会污染站址周围的土壤环境</w:t>
                  </w:r>
                  <w:r>
                    <w:rPr>
                      <w:rFonts w:hint="eastAsia"/>
                      <w:b w:val="0"/>
                      <w:bCs/>
                      <w:color w:val="auto"/>
                      <w:szCs w:val="21"/>
                      <w:highlight w:val="none"/>
                      <w:lang w:eastAsia="zh-CN"/>
                    </w:rPr>
                    <w:t>，</w:t>
                  </w:r>
                  <w:r>
                    <w:rPr>
                      <w:b w:val="0"/>
                      <w:bCs/>
                      <w:color w:val="auto"/>
                      <w:szCs w:val="21"/>
                      <w:highlight w:val="none"/>
                    </w:rPr>
                    <w:t>对周围</w:t>
                  </w:r>
                  <w:r>
                    <w:rPr>
                      <w:rFonts w:hint="eastAsia"/>
                      <w:b w:val="0"/>
                      <w:bCs/>
                      <w:color w:val="auto"/>
                      <w:szCs w:val="21"/>
                      <w:highlight w:val="none"/>
                      <w:lang w:val="en-US" w:eastAsia="zh-CN"/>
                    </w:rPr>
                    <w:t>土壤</w:t>
                  </w:r>
                  <w:r>
                    <w:rPr>
                      <w:b w:val="0"/>
                      <w:bCs/>
                      <w:color w:val="auto"/>
                      <w:szCs w:val="21"/>
                      <w:highlight w:val="none"/>
                    </w:rPr>
                    <w:t>环境影响较小。因此，本项目的建设符合</w:t>
                  </w:r>
                  <w:r>
                    <w:rPr>
                      <w:bCs/>
                      <w:color w:val="auto"/>
                      <w:szCs w:val="21"/>
                      <w:highlight w:val="none"/>
                    </w:rPr>
                    <w:t>土壤污染风险分区管控中的</w:t>
                  </w:r>
                  <w:r>
                    <w:rPr>
                      <w:rFonts w:hint="eastAsia"/>
                      <w:bCs/>
                      <w:color w:val="auto"/>
                      <w:szCs w:val="21"/>
                      <w:highlight w:val="none"/>
                      <w:lang w:val="en-US" w:eastAsia="zh-CN"/>
                    </w:rPr>
                    <w:t>农用地优先保护区和</w:t>
                  </w:r>
                  <w:r>
                    <w:rPr>
                      <w:bCs/>
                      <w:color w:val="auto"/>
                      <w:kern w:val="0"/>
                      <w:szCs w:val="21"/>
                      <w:highlight w:val="none"/>
                      <w:lang w:bidi="ar"/>
                    </w:rPr>
                    <w:t>一般管控区</w:t>
                  </w:r>
                  <w:r>
                    <w:rPr>
                      <w:b w:val="0"/>
                      <w:bCs/>
                      <w:color w:val="auto"/>
                      <w:szCs w:val="21"/>
                      <w:highlight w:val="none"/>
                    </w:rPr>
                    <w:t>要求。本项目与</w:t>
                  </w:r>
                  <w:r>
                    <w:rPr>
                      <w:rFonts w:hint="eastAsia"/>
                      <w:b w:val="0"/>
                      <w:bCs/>
                      <w:color w:val="auto"/>
                      <w:szCs w:val="21"/>
                      <w:highlight w:val="none"/>
                      <w:lang w:val="en-US" w:eastAsia="zh-CN"/>
                    </w:rPr>
                    <w:t>固原</w:t>
                  </w:r>
                  <w:r>
                    <w:rPr>
                      <w:b w:val="0"/>
                      <w:bCs/>
                      <w:color w:val="auto"/>
                      <w:szCs w:val="21"/>
                      <w:highlight w:val="none"/>
                    </w:rPr>
                    <w:t>市土壤污染风险分区管控位置</w:t>
                  </w:r>
                  <w:r>
                    <w:rPr>
                      <w:rFonts w:hint="eastAsia"/>
                      <w:b w:val="0"/>
                      <w:bCs/>
                      <w:color w:val="auto"/>
                      <w:szCs w:val="21"/>
                      <w:highlight w:val="none"/>
                      <w:lang w:val="en-US" w:eastAsia="zh-CN"/>
                    </w:rPr>
                    <w:t>关系</w:t>
                  </w:r>
                  <w:r>
                    <w:rPr>
                      <w:b w:val="0"/>
                      <w:bCs/>
                      <w:color w:val="auto"/>
                      <w:szCs w:val="21"/>
                      <w:highlight w:val="none"/>
                    </w:rPr>
                    <w:t>见</w:t>
                  </w:r>
                  <w:r>
                    <w:rPr>
                      <w:b/>
                      <w:color w:val="auto"/>
                      <w:szCs w:val="21"/>
                      <w:highlight w:val="none"/>
                    </w:rPr>
                    <w:t>附图</w:t>
                  </w:r>
                  <w:r>
                    <w:rPr>
                      <w:rFonts w:hint="eastAsia"/>
                      <w:b/>
                      <w:color w:val="auto"/>
                      <w:szCs w:val="21"/>
                      <w:highlight w:val="none"/>
                      <w:lang w:val="en-US" w:eastAsia="zh-CN"/>
                    </w:rPr>
                    <w:t>1-4</w:t>
                  </w:r>
                  <w:r>
                    <w:rPr>
                      <w:b w:val="0"/>
                      <w:bCs/>
                      <w:color w:val="auto"/>
                      <w:szCs w:val="21"/>
                      <w:highlight w:val="none"/>
                    </w:rPr>
                    <w:t>。</w:t>
                  </w:r>
                </w:p>
              </w:tc>
              <w:tc>
                <w:tcPr>
                  <w:tcW w:w="438" w:type="pct"/>
                  <w:vMerge w:val="continue"/>
                  <w:vAlign w:val="center"/>
                </w:tcPr>
                <w:p w14:paraId="1C1C2451">
                  <w:pPr>
                    <w:jc w:val="center"/>
                    <w:rPr>
                      <w:bCs/>
                      <w:color w:val="auto"/>
                      <w:szCs w:val="21"/>
                      <w:highlight w:val="none"/>
                    </w:rPr>
                  </w:pPr>
                </w:p>
              </w:tc>
            </w:tr>
            <w:tr w14:paraId="6625C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9" w:type="pct"/>
                  <w:gridSpan w:val="2"/>
                  <w:vAlign w:val="center"/>
                </w:tcPr>
                <w:p w14:paraId="6CDFAF5A">
                  <w:pPr>
                    <w:jc w:val="center"/>
                    <w:rPr>
                      <w:bCs/>
                      <w:color w:val="auto"/>
                      <w:szCs w:val="21"/>
                      <w:highlight w:val="none"/>
                    </w:rPr>
                  </w:pPr>
                  <w:r>
                    <w:rPr>
                      <w:bCs/>
                      <w:color w:val="auto"/>
                      <w:szCs w:val="21"/>
                      <w:highlight w:val="none"/>
                    </w:rPr>
                    <w:t>资源利用上线及分区管控</w:t>
                  </w:r>
                </w:p>
              </w:tc>
              <w:tc>
                <w:tcPr>
                  <w:tcW w:w="3582" w:type="pct"/>
                  <w:vAlign w:val="center"/>
                </w:tcPr>
                <w:p w14:paraId="145D707D">
                  <w:pPr>
                    <w:rPr>
                      <w:rFonts w:hint="eastAsia" w:ascii="Times New Roman" w:hAnsi="Times New Roman" w:eastAsia="宋体" w:cs="Times New Roman"/>
                      <w:b w:val="0"/>
                      <w:bCs/>
                      <w:color w:val="auto"/>
                      <w:spacing w:val="0"/>
                      <w:szCs w:val="21"/>
                      <w:highlight w:val="none"/>
                      <w:lang w:val="en-US" w:eastAsia="zh-CN"/>
                    </w:rPr>
                  </w:pPr>
                  <w:r>
                    <w:rPr>
                      <w:rFonts w:hint="eastAsia" w:ascii="Times New Roman" w:hAnsi="Times New Roman" w:eastAsia="宋体" w:cs="Times New Roman"/>
                      <w:b w:val="0"/>
                      <w:bCs/>
                      <w:color w:val="auto"/>
                      <w:spacing w:val="0"/>
                      <w:szCs w:val="21"/>
                      <w:highlight w:val="none"/>
                      <w:lang w:val="en-US" w:eastAsia="zh-CN"/>
                    </w:rPr>
                    <w:t>本项目</w:t>
                  </w:r>
                  <w:r>
                    <w:rPr>
                      <w:rFonts w:hint="eastAsia" w:cs="Times New Roman"/>
                      <w:b w:val="0"/>
                      <w:bCs/>
                      <w:color w:val="auto"/>
                      <w:spacing w:val="0"/>
                      <w:szCs w:val="21"/>
                      <w:highlight w:val="none"/>
                      <w:lang w:val="en-US" w:eastAsia="zh-CN"/>
                    </w:rPr>
                    <w:t>位于土地资源重点管控区，</w:t>
                  </w:r>
                  <w:r>
                    <w:rPr>
                      <w:rFonts w:hint="eastAsia" w:ascii="Times New Roman" w:hAnsi="Times New Roman" w:eastAsia="宋体" w:cs="Times New Roman"/>
                      <w:b w:val="0"/>
                      <w:bCs/>
                      <w:color w:val="auto"/>
                      <w:spacing w:val="0"/>
                      <w:szCs w:val="21"/>
                      <w:highlight w:val="none"/>
                      <w:lang w:val="en-US" w:eastAsia="zh-CN"/>
                    </w:rPr>
                    <w:t>水资源一般管控区。</w:t>
                  </w:r>
                </w:p>
                <w:p w14:paraId="1E0CD42B">
                  <w:pPr>
                    <w:rPr>
                      <w:bCs/>
                      <w:color w:val="auto"/>
                      <w:szCs w:val="21"/>
                      <w:highlight w:val="none"/>
                    </w:rPr>
                  </w:pPr>
                  <w:r>
                    <w:rPr>
                      <w:rFonts w:hint="eastAsia"/>
                      <w:b/>
                      <w:bCs/>
                      <w:color w:val="auto"/>
                      <w:kern w:val="0"/>
                      <w:szCs w:val="21"/>
                      <w:highlight w:val="none"/>
                      <w:lang w:val="en-US" w:eastAsia="zh-CN" w:bidi="ar"/>
                    </w:rPr>
                    <w:t>符合性分析：</w:t>
                  </w:r>
                  <w:r>
                    <w:rPr>
                      <w:rFonts w:hint="default" w:ascii="Times New Roman" w:hAnsi="Times New Roman" w:eastAsia="宋体" w:cs="Times New Roman"/>
                      <w:color w:val="auto"/>
                      <w:spacing w:val="0"/>
                      <w:w w:val="100"/>
                      <w:position w:val="0"/>
                      <w:sz w:val="21"/>
                      <w:szCs w:val="21"/>
                      <w:highlight w:val="none"/>
                    </w:rPr>
                    <w:t>本项目</w:t>
                  </w:r>
                  <w:r>
                    <w:rPr>
                      <w:rFonts w:hint="default" w:ascii="Times New Roman" w:hAnsi="Times New Roman" w:cs="Times New Roman" w:eastAsiaTheme="minorEastAsia"/>
                      <w:color w:val="auto"/>
                      <w:sz w:val="21"/>
                      <w:szCs w:val="21"/>
                      <w:highlight w:val="none"/>
                      <w:lang w:val="en-US" w:eastAsia="zh-CN"/>
                    </w:rPr>
                    <w:t>永久</w:t>
                  </w:r>
                  <w:r>
                    <w:rPr>
                      <w:rFonts w:hint="default" w:ascii="Times New Roman" w:hAnsi="Times New Roman" w:cs="Times New Roman" w:eastAsiaTheme="minorEastAsia"/>
                      <w:color w:val="auto"/>
                      <w:sz w:val="21"/>
                      <w:szCs w:val="21"/>
                      <w:highlight w:val="none"/>
                    </w:rPr>
                    <w:t>占地面积</w:t>
                  </w:r>
                  <w:r>
                    <w:rPr>
                      <w:rFonts w:hint="default" w:ascii="Times New Roman" w:hAnsi="Times New Roman" w:cs="Times New Roman" w:eastAsiaTheme="minorEastAsia"/>
                      <w:color w:val="auto"/>
                      <w:sz w:val="21"/>
                      <w:szCs w:val="21"/>
                      <w:highlight w:val="none"/>
                      <w:lang w:val="en-US" w:eastAsia="zh-CN"/>
                    </w:rPr>
                    <w:t>0.8978</w:t>
                  </w:r>
                  <w:r>
                    <w:rPr>
                      <w:rFonts w:hint="default" w:ascii="Times New Roman" w:hAnsi="Times New Roman" w:cs="Times New Roman" w:eastAsiaTheme="minorEastAsia"/>
                      <w:color w:val="auto"/>
                      <w:sz w:val="21"/>
                      <w:szCs w:val="21"/>
                      <w:highlight w:val="none"/>
                    </w:rPr>
                    <w:t>hm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rPr>
                    <w:t>，其中</w:t>
                  </w:r>
                  <w:r>
                    <w:rPr>
                      <w:rFonts w:hint="default" w:ascii="Times New Roman" w:hAnsi="Times New Roman" w:cs="Times New Roman" w:eastAsiaTheme="minorEastAsia"/>
                      <w:color w:val="auto"/>
                      <w:sz w:val="21"/>
                      <w:szCs w:val="21"/>
                      <w:highlight w:val="none"/>
                      <w:lang w:val="en-US" w:eastAsia="zh-CN"/>
                    </w:rPr>
                    <w:t>变电站</w:t>
                  </w:r>
                  <w:r>
                    <w:rPr>
                      <w:rFonts w:hint="default" w:ascii="Times New Roman" w:hAnsi="Times New Roman" w:cs="Times New Roman"/>
                      <w:color w:val="auto"/>
                      <w:sz w:val="21"/>
                      <w:szCs w:val="21"/>
                      <w:highlight w:val="none"/>
                    </w:rPr>
                    <w:t>区域永久占地0.</w:t>
                  </w:r>
                  <w:r>
                    <w:rPr>
                      <w:rFonts w:hint="default" w:ascii="Times New Roman" w:hAnsi="Times New Roman" w:cs="Times New Roman"/>
                      <w:color w:val="auto"/>
                      <w:sz w:val="21"/>
                      <w:szCs w:val="21"/>
                      <w:highlight w:val="none"/>
                      <w:lang w:val="en-US" w:eastAsia="zh-CN"/>
                    </w:rPr>
                    <w:t>7035</w:t>
                  </w:r>
                  <w:r>
                    <w:rPr>
                      <w:rFonts w:hint="default" w:ascii="Times New Roman" w:hAnsi="Times New Roman" w:cs="Times New Roman"/>
                      <w:color w:val="auto"/>
                      <w:sz w:val="21"/>
                      <w:szCs w:val="21"/>
                      <w:highlight w:val="none"/>
                    </w:rPr>
                    <w:t>hm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已取得用地预审与选址意见书</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snapToGrid w:val="0"/>
                      <w:color w:val="auto"/>
                      <w:sz w:val="21"/>
                      <w:szCs w:val="21"/>
                      <w:highlight w:val="none"/>
                    </w:rPr>
                    <w:t>塔基永久占地仅为</w:t>
                  </w:r>
                  <w:r>
                    <w:rPr>
                      <w:rFonts w:hint="default" w:ascii="Times New Roman" w:hAnsi="Times New Roman" w:cs="Times New Roman"/>
                      <w:snapToGrid w:val="0"/>
                      <w:color w:val="auto"/>
                      <w:sz w:val="21"/>
                      <w:szCs w:val="21"/>
                      <w:highlight w:val="none"/>
                      <w:lang w:val="en-US" w:eastAsia="zh-CN"/>
                    </w:rPr>
                    <w:t>0.1943h</w:t>
                  </w:r>
                  <w:r>
                    <w:rPr>
                      <w:rFonts w:hint="default" w:ascii="Times New Roman" w:hAnsi="Times New Roman" w:cs="Times New Roman"/>
                      <w:snapToGrid w:val="0"/>
                      <w:color w:val="auto"/>
                      <w:sz w:val="21"/>
                      <w:szCs w:val="21"/>
                      <w:highlight w:val="none"/>
                    </w:rPr>
                    <w:t>m</w:t>
                  </w:r>
                  <w:r>
                    <w:rPr>
                      <w:rFonts w:hint="default" w:ascii="Times New Roman" w:hAnsi="Times New Roman" w:cs="Times New Roman"/>
                      <w:snapToGrid w:val="0"/>
                      <w:color w:val="auto"/>
                      <w:sz w:val="21"/>
                      <w:szCs w:val="21"/>
                      <w:highlight w:val="none"/>
                      <w:vertAlign w:val="superscript"/>
                    </w:rPr>
                    <w:t>2</w:t>
                  </w:r>
                  <w:r>
                    <w:rPr>
                      <w:rFonts w:hint="default" w:ascii="Times New Roman" w:hAnsi="Times New Roman" w:cs="Times New Roman"/>
                      <w:snapToGrid w:val="0"/>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输电线路塔基不办理征地手续，只针对塔基占用的土地进行赔偿，不会改变土地性质</w:t>
                  </w:r>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永久占地面积相对于整个区域，占地面积较小</w:t>
                  </w:r>
                  <w:r>
                    <w:rPr>
                      <w:rFonts w:hint="eastAsia" w:ascii="Times New Roman" w:hAnsi="Times New Roman" w:cs="Times New Roman" w:eastAsiaTheme="minorEastAsia"/>
                      <w:color w:val="auto"/>
                      <w:sz w:val="21"/>
                      <w:szCs w:val="21"/>
                      <w:highlight w:val="none"/>
                      <w:lang w:eastAsia="zh-CN"/>
                    </w:rPr>
                    <w:t>；</w:t>
                  </w:r>
                  <w:r>
                    <w:rPr>
                      <w:rFonts w:hint="default" w:ascii="Times New Roman" w:hAnsi="Times New Roman" w:cs="Times New Roman"/>
                      <w:snapToGrid w:val="0"/>
                      <w:color w:val="auto"/>
                      <w:sz w:val="21"/>
                      <w:szCs w:val="21"/>
                      <w:highlight w:val="none"/>
                      <w:lang w:val="en-US" w:eastAsia="zh-CN"/>
                    </w:rPr>
                    <w:t>项目</w:t>
                  </w:r>
                  <w:r>
                    <w:rPr>
                      <w:rFonts w:hint="default" w:ascii="Times New Roman" w:hAnsi="Times New Roman" w:cs="Times New Roman" w:eastAsiaTheme="minorEastAsia"/>
                      <w:color w:val="auto"/>
                      <w:sz w:val="21"/>
                      <w:szCs w:val="21"/>
                      <w:highlight w:val="none"/>
                    </w:rPr>
                    <w:t>临时占地</w:t>
                  </w:r>
                  <w:r>
                    <w:rPr>
                      <w:rFonts w:hint="default" w:ascii="Times New Roman" w:hAnsi="Times New Roman" w:cs="Times New Roman" w:eastAsiaTheme="minorEastAsia"/>
                      <w:color w:val="auto"/>
                      <w:sz w:val="21"/>
                      <w:szCs w:val="21"/>
                      <w:highlight w:val="none"/>
                      <w:lang w:val="en-US" w:eastAsia="zh-CN"/>
                    </w:rPr>
                    <w:t>面积6.662</w:t>
                  </w:r>
                  <w:r>
                    <w:rPr>
                      <w:rFonts w:hint="default" w:ascii="Times New Roman" w:hAnsi="Times New Roman" w:cs="Times New Roman" w:eastAsiaTheme="minorEastAsia"/>
                      <w:color w:val="auto"/>
                      <w:sz w:val="21"/>
                      <w:szCs w:val="21"/>
                      <w:highlight w:val="none"/>
                    </w:rPr>
                    <w:t>hm</w:t>
                  </w:r>
                  <w:r>
                    <w:rPr>
                      <w:rFonts w:hint="default" w:ascii="Times New Roman" w:hAnsi="Times New Roman" w:cs="Times New Roman" w:eastAsiaTheme="minorEastAsia"/>
                      <w:color w:val="auto"/>
                      <w:sz w:val="21"/>
                      <w:szCs w:val="21"/>
                      <w:highlight w:val="none"/>
                      <w:vertAlign w:val="superscript"/>
                    </w:rPr>
                    <w:t>2</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bCs/>
                      <w:color w:val="auto"/>
                      <w:sz w:val="21"/>
                      <w:szCs w:val="21"/>
                      <w:highlight w:val="none"/>
                    </w:rPr>
                    <w:t>项目占地以临时占地为主，施工结束后，临时占地将恢复其原有土地功能</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因此，本项目的建设对区域土地资源总量影响甚微。</w:t>
                  </w:r>
                  <w:r>
                    <w:rPr>
                      <w:bCs/>
                      <w:color w:val="auto"/>
                      <w:szCs w:val="21"/>
                      <w:highlight w:val="none"/>
                    </w:rPr>
                    <w:t>本项目运行期仅有变电站有少量生活用水消耗，</w:t>
                  </w:r>
                  <w:r>
                    <w:rPr>
                      <w:rFonts w:hint="default"/>
                      <w:bCs/>
                      <w:color w:val="auto"/>
                      <w:szCs w:val="21"/>
                      <w:highlight w:val="none"/>
                    </w:rPr>
                    <w:t>但对区域水资源造成影响甚微</w:t>
                  </w:r>
                  <w:r>
                    <w:rPr>
                      <w:bCs/>
                      <w:color w:val="auto"/>
                      <w:szCs w:val="21"/>
                      <w:highlight w:val="none"/>
                    </w:rPr>
                    <w:t>。因此，本项目的实施符合资源利用上线要求。</w:t>
                  </w:r>
                </w:p>
              </w:tc>
              <w:tc>
                <w:tcPr>
                  <w:tcW w:w="438" w:type="pct"/>
                  <w:vAlign w:val="center"/>
                </w:tcPr>
                <w:p w14:paraId="7DFDFE8A">
                  <w:pPr>
                    <w:jc w:val="center"/>
                    <w:rPr>
                      <w:bCs/>
                      <w:color w:val="auto"/>
                      <w:szCs w:val="21"/>
                      <w:highlight w:val="none"/>
                    </w:rPr>
                  </w:pPr>
                  <w:r>
                    <w:rPr>
                      <w:bCs/>
                      <w:color w:val="auto"/>
                      <w:szCs w:val="21"/>
                      <w:highlight w:val="none"/>
                    </w:rPr>
                    <w:t>符合</w:t>
                  </w:r>
                </w:p>
              </w:tc>
            </w:tr>
            <w:tr w14:paraId="04F99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79" w:type="pct"/>
                  <w:gridSpan w:val="2"/>
                  <w:vAlign w:val="center"/>
                </w:tcPr>
                <w:p w14:paraId="42E2CE64">
                  <w:pPr>
                    <w:jc w:val="center"/>
                    <w:rPr>
                      <w:bCs/>
                      <w:color w:val="auto"/>
                      <w:szCs w:val="21"/>
                      <w:highlight w:val="none"/>
                    </w:rPr>
                  </w:pPr>
                  <w:r>
                    <w:rPr>
                      <w:bCs/>
                      <w:color w:val="auto"/>
                      <w:szCs w:val="21"/>
                      <w:highlight w:val="none"/>
                    </w:rPr>
                    <w:t>环境管控单元</w:t>
                  </w:r>
                </w:p>
              </w:tc>
              <w:tc>
                <w:tcPr>
                  <w:tcW w:w="3582" w:type="pct"/>
                  <w:vAlign w:val="center"/>
                </w:tcPr>
                <w:p w14:paraId="21CE54E8">
                  <w:pPr>
                    <w:rPr>
                      <w:color w:val="auto"/>
                      <w:kern w:val="0"/>
                      <w:szCs w:val="21"/>
                      <w:highlight w:val="none"/>
                      <w:lang w:bidi="ar"/>
                    </w:rPr>
                  </w:pPr>
                  <w:r>
                    <w:rPr>
                      <w:color w:val="auto"/>
                      <w:kern w:val="0"/>
                      <w:szCs w:val="21"/>
                      <w:highlight w:val="none"/>
                      <w:lang w:bidi="ar"/>
                    </w:rPr>
                    <w:t>本项目位于</w:t>
                  </w:r>
                  <w:r>
                    <w:rPr>
                      <w:rFonts w:hint="eastAsia"/>
                      <w:color w:val="auto"/>
                      <w:kern w:val="0"/>
                      <w:szCs w:val="21"/>
                      <w:highlight w:val="none"/>
                      <w:lang w:val="en-US" w:eastAsia="zh-CN" w:bidi="ar"/>
                    </w:rPr>
                    <w:t>一般</w:t>
                  </w:r>
                  <w:r>
                    <w:rPr>
                      <w:color w:val="auto"/>
                      <w:kern w:val="0"/>
                      <w:szCs w:val="21"/>
                      <w:highlight w:val="none"/>
                      <w:lang w:bidi="ar"/>
                    </w:rPr>
                    <w:t>管控单元。</w:t>
                  </w:r>
                </w:p>
                <w:p w14:paraId="3325B3E9">
                  <w:pPr>
                    <w:rPr>
                      <w:b w:val="0"/>
                      <w:bCs/>
                      <w:color w:val="auto"/>
                      <w:szCs w:val="21"/>
                      <w:highlight w:val="none"/>
                    </w:rPr>
                  </w:pPr>
                  <w:r>
                    <w:rPr>
                      <w:rFonts w:hint="eastAsia"/>
                      <w:b/>
                      <w:color w:val="auto"/>
                      <w:szCs w:val="21"/>
                      <w:highlight w:val="none"/>
                      <w:lang w:val="en-US" w:eastAsia="zh-CN"/>
                    </w:rPr>
                    <w:t>一般</w:t>
                  </w:r>
                  <w:r>
                    <w:rPr>
                      <w:b/>
                      <w:color w:val="auto"/>
                      <w:szCs w:val="21"/>
                      <w:highlight w:val="none"/>
                    </w:rPr>
                    <w:t>管控单元管控要求：</w:t>
                  </w:r>
                  <w:r>
                    <w:rPr>
                      <w:b w:val="0"/>
                      <w:bCs/>
                      <w:color w:val="auto"/>
                      <w:szCs w:val="21"/>
                      <w:highlight w:val="none"/>
                      <w:lang w:val="en-US" w:eastAsia="zh-CN"/>
                    </w:rPr>
                    <w:t>按照现有环境管理要求，提出一般性管控要求</w:t>
                  </w:r>
                  <w:r>
                    <w:rPr>
                      <w:b w:val="0"/>
                      <w:bCs/>
                      <w:color w:val="auto"/>
                      <w:szCs w:val="21"/>
                      <w:highlight w:val="none"/>
                    </w:rPr>
                    <w:t>。</w:t>
                  </w:r>
                </w:p>
                <w:p w14:paraId="6B961FB8">
                  <w:pPr>
                    <w:widowControl/>
                    <w:rPr>
                      <w:bCs/>
                      <w:color w:val="auto"/>
                      <w:szCs w:val="21"/>
                      <w:highlight w:val="none"/>
                    </w:rPr>
                  </w:pPr>
                  <w:r>
                    <w:rPr>
                      <w:rFonts w:hint="eastAsia"/>
                      <w:b/>
                      <w:bCs/>
                      <w:color w:val="auto"/>
                      <w:kern w:val="0"/>
                      <w:szCs w:val="21"/>
                      <w:highlight w:val="none"/>
                      <w:lang w:val="en-US" w:eastAsia="zh-CN" w:bidi="ar"/>
                    </w:rPr>
                    <w:t>符合性分析：</w:t>
                  </w:r>
                  <w:r>
                    <w:rPr>
                      <w:b w:val="0"/>
                      <w:bCs w:val="0"/>
                      <w:color w:val="auto"/>
                      <w:kern w:val="0"/>
                      <w:szCs w:val="21"/>
                      <w:highlight w:val="none"/>
                      <w:lang w:bidi="ar"/>
                    </w:rPr>
                    <w:t>本项目</w:t>
                  </w:r>
                  <w:r>
                    <w:rPr>
                      <w:rFonts w:hint="eastAsia"/>
                      <w:b w:val="0"/>
                      <w:bCs w:val="0"/>
                      <w:color w:val="auto"/>
                      <w:kern w:val="0"/>
                      <w:szCs w:val="21"/>
                      <w:highlight w:val="none"/>
                      <w:lang w:val="en-US" w:eastAsia="zh-CN" w:bidi="ar"/>
                    </w:rPr>
                    <w:t>变电站运行期无废气产生，废水、固废均采取相应处理处置措施，对周围环境影响较小；输电线路运行期无废气、废水、固废产生。根据环境质量现状监测结果，本项目声环境满足《声环境质量标准》（GB3096-2008）相应声环境功能区限值要求，工频电场强度、工频磁感应强度均小于《电磁环境控制限值》（GB8702-2014）要求。经预测结果可知，本项目建成后，噪声、工频电场、工频磁场均满足相应标准要求，对周围环境影响较小。因此，本项目的建设符合一般管控单元要求。</w:t>
                  </w:r>
                  <w:r>
                    <w:rPr>
                      <w:rFonts w:hint="default" w:ascii="Times New Roman" w:hAnsi="Times New Roman" w:eastAsia="宋体" w:cs="Times New Roman"/>
                      <w:b w:val="0"/>
                      <w:bCs/>
                      <w:color w:val="auto"/>
                      <w:spacing w:val="0"/>
                      <w:szCs w:val="21"/>
                      <w:highlight w:val="none"/>
                    </w:rPr>
                    <w:t>本项目</w:t>
                  </w:r>
                  <w:r>
                    <w:rPr>
                      <w:rFonts w:hint="default" w:ascii="Times New Roman" w:hAnsi="Times New Roman" w:eastAsia="宋体" w:cs="Times New Roman"/>
                      <w:b w:val="0"/>
                      <w:bCs/>
                      <w:color w:val="auto"/>
                      <w:spacing w:val="0"/>
                      <w:szCs w:val="21"/>
                      <w:highlight w:val="none"/>
                      <w:lang w:val="en-US" w:eastAsia="zh-CN"/>
                    </w:rPr>
                    <w:t>与</w:t>
                  </w:r>
                  <w:r>
                    <w:rPr>
                      <w:rFonts w:hint="eastAsia" w:cs="Times New Roman"/>
                      <w:b w:val="0"/>
                      <w:bCs/>
                      <w:color w:val="auto"/>
                      <w:spacing w:val="0"/>
                      <w:szCs w:val="21"/>
                      <w:highlight w:val="none"/>
                      <w:lang w:val="en-US" w:eastAsia="zh-CN"/>
                    </w:rPr>
                    <w:t>固原</w:t>
                  </w:r>
                  <w:r>
                    <w:rPr>
                      <w:rFonts w:hint="eastAsia" w:ascii="Times New Roman" w:hAnsi="Times New Roman" w:eastAsia="宋体" w:cs="Times New Roman"/>
                      <w:b w:val="0"/>
                      <w:bCs/>
                      <w:color w:val="auto"/>
                      <w:spacing w:val="0"/>
                      <w:szCs w:val="21"/>
                      <w:highlight w:val="none"/>
                      <w:lang w:val="en-US" w:eastAsia="zh-CN"/>
                    </w:rPr>
                    <w:t>市</w:t>
                  </w:r>
                  <w:r>
                    <w:rPr>
                      <w:rFonts w:hint="default" w:ascii="Times New Roman" w:hAnsi="Times New Roman" w:eastAsia="宋体" w:cs="Times New Roman"/>
                      <w:b w:val="0"/>
                      <w:bCs/>
                      <w:color w:val="auto"/>
                      <w:spacing w:val="0"/>
                      <w:szCs w:val="21"/>
                      <w:highlight w:val="none"/>
                    </w:rPr>
                    <w:t>环境管控单元位置</w:t>
                  </w:r>
                  <w:r>
                    <w:rPr>
                      <w:rFonts w:hint="eastAsia" w:cs="Times New Roman"/>
                      <w:b w:val="0"/>
                      <w:bCs/>
                      <w:color w:val="auto"/>
                      <w:spacing w:val="0"/>
                      <w:szCs w:val="21"/>
                      <w:highlight w:val="none"/>
                      <w:lang w:val="en-US" w:eastAsia="zh-CN"/>
                    </w:rPr>
                    <w:t>关系</w:t>
                  </w:r>
                  <w:r>
                    <w:rPr>
                      <w:rFonts w:hint="default" w:ascii="Times New Roman" w:hAnsi="Times New Roman" w:eastAsia="宋体" w:cs="Times New Roman"/>
                      <w:b w:val="0"/>
                      <w:bCs/>
                      <w:color w:val="auto"/>
                      <w:spacing w:val="0"/>
                      <w:szCs w:val="21"/>
                      <w:highlight w:val="none"/>
                    </w:rPr>
                    <w:t>见</w:t>
                  </w:r>
                  <w:r>
                    <w:rPr>
                      <w:rFonts w:hint="default" w:ascii="Times New Roman" w:hAnsi="Times New Roman" w:eastAsia="宋体" w:cs="Times New Roman"/>
                      <w:b/>
                      <w:bCs w:val="0"/>
                      <w:color w:val="auto"/>
                      <w:spacing w:val="0"/>
                      <w:szCs w:val="21"/>
                      <w:highlight w:val="none"/>
                    </w:rPr>
                    <w:t>附图</w:t>
                  </w:r>
                  <w:r>
                    <w:rPr>
                      <w:rFonts w:hint="eastAsia" w:ascii="Times New Roman" w:hAnsi="Times New Roman" w:eastAsia="宋体" w:cs="Times New Roman"/>
                      <w:b/>
                      <w:bCs w:val="0"/>
                      <w:color w:val="auto"/>
                      <w:spacing w:val="0"/>
                      <w:szCs w:val="21"/>
                      <w:highlight w:val="none"/>
                      <w:lang w:val="en-US" w:eastAsia="zh-CN"/>
                    </w:rPr>
                    <w:t>1</w:t>
                  </w:r>
                  <w:r>
                    <w:rPr>
                      <w:rFonts w:hint="default" w:ascii="Times New Roman" w:hAnsi="Times New Roman" w:eastAsia="宋体" w:cs="Times New Roman"/>
                      <w:b/>
                      <w:bCs w:val="0"/>
                      <w:color w:val="auto"/>
                      <w:spacing w:val="0"/>
                      <w:szCs w:val="21"/>
                      <w:highlight w:val="none"/>
                    </w:rPr>
                    <w:t>-5</w:t>
                  </w:r>
                  <w:r>
                    <w:rPr>
                      <w:rFonts w:hint="default" w:ascii="Times New Roman" w:hAnsi="Times New Roman" w:eastAsia="宋体" w:cs="Times New Roman"/>
                      <w:b w:val="0"/>
                      <w:bCs/>
                      <w:color w:val="auto"/>
                      <w:spacing w:val="0"/>
                      <w:szCs w:val="21"/>
                      <w:highlight w:val="none"/>
                    </w:rPr>
                    <w:t>。</w:t>
                  </w:r>
                </w:p>
              </w:tc>
              <w:tc>
                <w:tcPr>
                  <w:tcW w:w="438" w:type="pct"/>
                  <w:vAlign w:val="center"/>
                </w:tcPr>
                <w:p w14:paraId="0F8C9D82">
                  <w:pPr>
                    <w:jc w:val="center"/>
                    <w:rPr>
                      <w:bCs/>
                      <w:color w:val="auto"/>
                      <w:szCs w:val="21"/>
                      <w:highlight w:val="none"/>
                    </w:rPr>
                  </w:pPr>
                  <w:r>
                    <w:rPr>
                      <w:bCs/>
                      <w:color w:val="auto"/>
                      <w:szCs w:val="21"/>
                      <w:highlight w:val="none"/>
                    </w:rPr>
                    <w:t>符合</w:t>
                  </w:r>
                </w:p>
              </w:tc>
            </w:tr>
          </w:tbl>
          <w:p w14:paraId="57B64AC8">
            <w:pPr>
              <w:autoSpaceDE w:val="0"/>
              <w:autoSpaceDN w:val="0"/>
              <w:snapToGrid w:val="0"/>
              <w:spacing w:line="360" w:lineRule="auto"/>
              <w:ind w:firstLine="480" w:firstLineChars="200"/>
              <w:jc w:val="left"/>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sz w:val="24"/>
                <w:highlight w:val="none"/>
              </w:rPr>
              <w:t>综上，本项目运行期产生的污染物，在落实本项目环境影响评价报告表提出的各项污染防治措施</w:t>
            </w:r>
            <w:r>
              <w:rPr>
                <w:rFonts w:hint="eastAsia" w:ascii="Times New Roman" w:hAnsi="Times New Roman" w:cs="Times New Roman"/>
                <w:color w:val="auto"/>
                <w:sz w:val="24"/>
                <w:highlight w:val="none"/>
                <w:lang w:val="en-US" w:eastAsia="zh-CN"/>
              </w:rPr>
              <w:t>和生态保护与恢复措施</w:t>
            </w:r>
            <w:r>
              <w:rPr>
                <w:rFonts w:hint="default" w:ascii="Times New Roman" w:hAnsi="Times New Roman" w:cs="Times New Roman"/>
                <w:color w:val="auto"/>
                <w:sz w:val="24"/>
                <w:highlight w:val="none"/>
              </w:rPr>
              <w:t>后，对周围环境的影响很小。因此，本项目的建设符合</w:t>
            </w:r>
            <w:r>
              <w:rPr>
                <w:rFonts w:hint="eastAsia" w:ascii="Times New Roman" w:hAnsi="Times New Roman" w:cs="Times New Roman"/>
                <w:color w:val="auto"/>
                <w:kern w:val="0"/>
                <w:sz w:val="24"/>
                <w:highlight w:val="none"/>
                <w:lang w:val="en-US" w:eastAsia="zh-CN"/>
              </w:rPr>
              <w:t>《固原市生态环境分区管控实施方案》中相关</w:t>
            </w:r>
            <w:r>
              <w:rPr>
                <w:rFonts w:hint="eastAsia" w:ascii="Times New Roman" w:hAnsi="Times New Roman" w:cs="Times New Roman"/>
                <w:color w:val="auto"/>
                <w:sz w:val="24"/>
                <w:highlight w:val="none"/>
                <w:lang w:val="en-US" w:eastAsia="zh-CN"/>
              </w:rPr>
              <w:t>固原市</w:t>
            </w:r>
            <w:r>
              <w:rPr>
                <w:rFonts w:hint="default" w:ascii="Times New Roman" w:hAnsi="Times New Roman" w:cs="Times New Roman"/>
                <w:color w:val="auto"/>
                <w:sz w:val="24"/>
                <w:highlight w:val="none"/>
              </w:rPr>
              <w:t>生态环境分区管控的意见要求。</w:t>
            </w:r>
          </w:p>
          <w:p w14:paraId="2748A11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、与《宁夏回族自治区能源发展“十四五”规划》</w:t>
            </w:r>
            <w:r>
              <w:rPr>
                <w:rFonts w:hint="eastAsia" w:ascii="Times New Roman" w:hAnsi="Times New Roman" w:eastAsia="宋体" w:cs="Times New Roman"/>
                <w:b/>
                <w:bCs/>
                <w:color w:val="auto"/>
                <w:kern w:val="0"/>
                <w:sz w:val="24"/>
                <w:szCs w:val="24"/>
                <w:highlight w:val="none"/>
                <w:lang w:val="en-US" w:eastAsia="zh-CN" w:bidi="ar"/>
              </w:rPr>
              <w:t>符合</w:t>
            </w:r>
            <w:r>
              <w:rPr>
                <w:rFonts w:hint="default" w:ascii="Times New Roman" w:hAnsi="Times New Roman" w:eastAsia="宋体" w:cs="Times New Roman"/>
                <w:b/>
                <w:bCs/>
                <w:color w:val="auto"/>
                <w:kern w:val="0"/>
                <w:sz w:val="24"/>
                <w:szCs w:val="24"/>
                <w:highlight w:val="none"/>
                <w:lang w:val="en-US" w:eastAsia="zh-CN" w:bidi="ar"/>
              </w:rPr>
              <w:t>性分析</w:t>
            </w:r>
          </w:p>
          <w:p w14:paraId="03ADA29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宁夏回族自治区能源发展“十四五”规划》中提出：“打造“西电东送”网架枢纽。充分发挥电网在能源生产清洁化和能源消费电气化中的关键枢纽、重要平台、绿能载体作用，打造电网服务新能源高质量就地消纳和大范围优化配置的“双样板”，加快建设清洁低碳、安全高效、智慧共享、坚强送端的现代一流电网，建成绿能外送大通道、绿能配置骨干网、绿能利用大平台，全力构建宁夏新型电力系统。</w:t>
            </w:r>
            <w:r>
              <w:rPr>
                <w:rFonts w:hint="eastAsia" w:ascii="Times New Roman" w:hAnsi="Times New Roman" w:eastAsia="宋体" w:cs="Times New Roman"/>
                <w:color w:val="auto"/>
                <w:sz w:val="24"/>
                <w:szCs w:val="24"/>
                <w:highlight w:val="none"/>
                <w:lang w:val="en-US" w:eastAsia="zh-CN"/>
              </w:rPr>
              <w:t>”</w:t>
            </w:r>
          </w:p>
          <w:p w14:paraId="4EBD421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kern w:val="2"/>
                <w:sz w:val="24"/>
                <w:szCs w:val="24"/>
                <w:highlight w:val="none"/>
                <w:lang w:val="en-US" w:eastAsia="zh-CN" w:bidi="ar-SA"/>
              </w:rPr>
              <w:t>为满足</w:t>
            </w:r>
            <w:r>
              <w:rPr>
                <w:rFonts w:hint="eastAsia" w:ascii="Times New Roman" w:hAnsi="Times New Roman" w:eastAsia="宋体" w:cs="Times New Roman"/>
                <w:color w:val="auto"/>
                <w:kern w:val="2"/>
                <w:sz w:val="24"/>
                <w:szCs w:val="24"/>
                <w:highlight w:val="none"/>
                <w:lang w:val="en-US" w:eastAsia="zh-CN" w:bidi="ar-SA"/>
              </w:rPr>
              <w:t>区域新增用电负荷需求而建设的。</w:t>
            </w:r>
            <w:r>
              <w:rPr>
                <w:rFonts w:hint="default" w:ascii="Times New Roman" w:hAnsi="Times New Roman" w:eastAsia="宋体" w:cs="Times New Roman"/>
                <w:color w:val="auto"/>
                <w:sz w:val="24"/>
                <w:szCs w:val="24"/>
                <w:highlight w:val="none"/>
                <w:lang w:val="en-US" w:eastAsia="zh-CN"/>
              </w:rPr>
              <w:t>因此，</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与《宁夏回族自治区能源发展“十四五”规划》相符。</w:t>
            </w:r>
          </w:p>
          <w:p w14:paraId="062DDBF5">
            <w:pPr>
              <w:autoSpaceDE w:val="0"/>
              <w:autoSpaceDN w:val="0"/>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eastAsia" w:cs="Times New Roman"/>
                <w:b/>
                <w:color w:val="auto"/>
                <w:sz w:val="24"/>
                <w:highlight w:val="none"/>
                <w:lang w:val="en-US" w:eastAsia="zh-CN"/>
              </w:rPr>
              <w:t>8</w:t>
            </w:r>
            <w:r>
              <w:rPr>
                <w:rFonts w:hint="default" w:ascii="Times New Roman" w:hAnsi="Times New Roman" w:eastAsia="宋体" w:cs="Times New Roman"/>
                <w:b/>
                <w:color w:val="auto"/>
                <w:sz w:val="24"/>
                <w:highlight w:val="none"/>
                <w:lang w:val="en-US" w:eastAsia="zh-CN"/>
              </w:rPr>
              <w:t>、与</w:t>
            </w:r>
            <w:r>
              <w:rPr>
                <w:rFonts w:hint="eastAsia" w:ascii="Times New Roman" w:hAnsi="Times New Roman" w:eastAsia="宋体" w:cs="Times New Roman"/>
                <w:b/>
                <w:color w:val="auto"/>
                <w:sz w:val="24"/>
                <w:highlight w:val="none"/>
                <w:lang w:val="en-US" w:eastAsia="zh-CN"/>
              </w:rPr>
              <w:t>《固原</w:t>
            </w:r>
            <w:r>
              <w:rPr>
                <w:rFonts w:hint="default" w:ascii="Times New Roman" w:hAnsi="Times New Roman" w:eastAsia="宋体" w:cs="Times New Roman"/>
                <w:b/>
                <w:color w:val="auto"/>
                <w:sz w:val="24"/>
                <w:highlight w:val="none"/>
                <w:lang w:val="en-US" w:eastAsia="zh-CN"/>
              </w:rPr>
              <w:t>市环境保护</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十四五</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规划</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符合性分析</w:t>
            </w:r>
          </w:p>
          <w:p w14:paraId="2AEAE5AD">
            <w:pPr>
              <w:pStyle w:val="41"/>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jc w:val="left"/>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b w:val="0"/>
                <w:bCs w:val="0"/>
                <w:color w:val="auto"/>
                <w:highlight w:val="none"/>
                <w:lang w:val="en-US" w:eastAsia="zh-CN"/>
              </w:rPr>
              <w:t>根据固原市人民政府办公室关于印发《固原市环境保护“十四五”规划》的通知</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固</w:t>
            </w:r>
            <w:r>
              <w:rPr>
                <w:rFonts w:hint="default" w:ascii="Times New Roman" w:hAnsi="Times New Roman" w:cs="Times New Roman"/>
                <w:color w:val="auto"/>
                <w:sz w:val="24"/>
                <w:highlight w:val="none"/>
              </w:rPr>
              <w:t>政办发〔202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56</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highlight w:val="none"/>
                <w:lang w:eastAsia="zh-CN"/>
              </w:rPr>
              <w:t>：</w:t>
            </w:r>
          </w:p>
          <w:p w14:paraId="3607AB56">
            <w:pPr>
              <w:pStyle w:val="41"/>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“控扬尘”，严格落实建筑工地“6个100%”抑尘措施，最大限度减少城市建成区裸露地面，提高城市建成区道路机械化清扫率</w:t>
            </w:r>
            <w:r>
              <w:rPr>
                <w:rFonts w:hint="default" w:ascii="Times New Roman" w:hAnsi="Times New Roman" w:cs="Times New Roman"/>
                <w:color w:val="auto"/>
                <w:sz w:val="24"/>
                <w:szCs w:val="24"/>
                <w:highlight w:val="none"/>
                <w:lang w:eastAsia="zh-CN"/>
              </w:rPr>
              <w:t>。</w:t>
            </w:r>
          </w:p>
          <w:p w14:paraId="64AA81EE">
            <w:pPr>
              <w:pStyle w:val="4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本项目施工过程中将严格按照规划提出的要求落实扬尘防治措施。</w:t>
            </w:r>
          </w:p>
          <w:p w14:paraId="62C8E473">
            <w:pPr>
              <w:pStyle w:val="4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强化工业固体废物污染防治。加强建筑垃圾分类处理和回收利用，推行“原地再生+异地处理”模式，提高利用效率，持续开展“清废行动”，加强对各类固体废物违规堆放点的排查和清理</w:t>
            </w:r>
            <w:r>
              <w:rPr>
                <w:rFonts w:hint="default" w:ascii="Times New Roman" w:hAnsi="Times New Roman" w:cs="Times New Roman"/>
                <w:color w:val="auto"/>
                <w:sz w:val="24"/>
                <w:szCs w:val="24"/>
                <w:highlight w:val="none"/>
                <w:lang w:eastAsia="zh-CN"/>
              </w:rPr>
              <w:t>。</w:t>
            </w:r>
          </w:p>
          <w:p w14:paraId="7C25A0D5">
            <w:pPr>
              <w:pStyle w:val="41"/>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本项目运行期</w:t>
            </w:r>
            <w:r>
              <w:rPr>
                <w:rFonts w:hint="eastAsia" w:ascii="Times New Roman" w:hAnsi="Times New Roman" w:cs="Times New Roman"/>
                <w:color w:val="auto"/>
                <w:highlight w:val="none"/>
                <w:lang w:val="en-US" w:eastAsia="zh-CN"/>
              </w:rPr>
              <w:t>加强各类</w:t>
            </w:r>
            <w:r>
              <w:rPr>
                <w:rFonts w:hint="default" w:ascii="Times New Roman" w:hAnsi="Times New Roman" w:cs="Times New Roman"/>
                <w:color w:val="auto"/>
                <w:highlight w:val="none"/>
              </w:rPr>
              <w:t>固体废物</w:t>
            </w:r>
            <w:r>
              <w:rPr>
                <w:rFonts w:hint="eastAsia" w:ascii="Times New Roman" w:hAnsi="Times New Roman" w:cs="Times New Roman"/>
                <w:color w:val="auto"/>
                <w:highlight w:val="none"/>
                <w:lang w:val="en-US" w:eastAsia="zh-CN"/>
              </w:rPr>
              <w:t>的管理处置</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施工期产生的少量建筑垃圾进行分类</w:t>
            </w:r>
            <w:r>
              <w:rPr>
                <w:rFonts w:hint="default" w:ascii="Times New Roman" w:hAnsi="Times New Roman" w:cs="Times New Roman"/>
                <w:color w:val="auto"/>
                <w:highlight w:val="none"/>
                <w:lang w:val="en-US" w:eastAsia="zh-CN"/>
              </w:rPr>
              <w:t>收集处置</w:t>
            </w:r>
            <w:r>
              <w:rPr>
                <w:rFonts w:hint="default" w:ascii="Times New Roman" w:hAnsi="Times New Roman" w:cs="Times New Roman"/>
                <w:color w:val="auto"/>
                <w:highlight w:val="none"/>
              </w:rPr>
              <w:t>，因此，符合固体废物污染防治要求。</w:t>
            </w:r>
          </w:p>
          <w:p w14:paraId="106747D8">
            <w:pPr>
              <w:pStyle w:val="41"/>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jc w:val="left"/>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highlight w:val="none"/>
                <w:lang w:val="en-US" w:eastAsia="zh-CN"/>
              </w:rPr>
              <w:t>推动落实固原市“三线一单”生态环境分区管控成果在生态、水、大气、土壤、固体废物等各要素环境管理中的应用，将“三线一单”融入到政策制定、环境准入、园区管理、执法监管等决策和实施的全过程。实施清单化管理和动态更新，推进环境保护与空间精细化管控。优先保护单元要严格保护生态环境和限制产业发展，重点管控单元总体上要守住环境质量底线、控制资源利用上线、积极发展社会经济，一般管控单元要适度发展社会经济、避免大规模高强度开发。</w:t>
            </w:r>
          </w:p>
          <w:p w14:paraId="75E157E7">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本项目属于</w:t>
            </w:r>
            <w:r>
              <w:rPr>
                <w:rFonts w:hint="default" w:ascii="Times New Roman" w:hAnsi="Times New Roman" w:cs="Times New Roman"/>
                <w:color w:val="auto"/>
                <w:sz w:val="24"/>
                <w:highlight w:val="none"/>
                <w:lang w:val="en-US" w:eastAsia="zh-CN"/>
              </w:rPr>
              <w:t>电力资源保障供应</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val="en-US" w:eastAsia="zh-CN"/>
              </w:rPr>
              <w:t>符合“三线一单”要求，</w:t>
            </w:r>
            <w:r>
              <w:rPr>
                <w:rFonts w:hint="default" w:ascii="Times New Roman" w:hAnsi="Times New Roman" w:cs="Times New Roman"/>
                <w:color w:val="auto"/>
                <w:sz w:val="24"/>
                <w:highlight w:val="none"/>
              </w:rPr>
              <w:t>符合优化能源供给结构要求。本项目</w:t>
            </w:r>
            <w:r>
              <w:rPr>
                <w:rFonts w:hint="default" w:ascii="Times New Roman" w:hAnsi="Times New Roman" w:cs="Times New Roman"/>
                <w:color w:val="auto"/>
                <w:sz w:val="24"/>
                <w:highlight w:val="none"/>
                <w:lang w:val="en-US" w:eastAsia="zh-CN"/>
              </w:rPr>
              <w:t>运行</w:t>
            </w:r>
            <w:r>
              <w:rPr>
                <w:rFonts w:hint="default" w:ascii="Times New Roman" w:hAnsi="Times New Roman" w:cs="Times New Roman"/>
                <w:color w:val="auto"/>
                <w:sz w:val="24"/>
                <w:highlight w:val="none"/>
              </w:rPr>
              <w:t>期通过加强管理，采取相应措施，经预测分析，项目产生的</w:t>
            </w:r>
            <w:r>
              <w:rPr>
                <w:rFonts w:hint="default" w:ascii="Times New Roman" w:hAnsi="Times New Roman" w:cs="Times New Roman"/>
                <w:color w:val="auto"/>
                <w:sz w:val="24"/>
                <w:highlight w:val="none"/>
                <w:lang w:val="en-US" w:eastAsia="zh-CN"/>
              </w:rPr>
              <w:t>噪声、工频电场及工频磁场均</w:t>
            </w:r>
            <w:r>
              <w:rPr>
                <w:rFonts w:hint="default" w:ascii="Times New Roman" w:hAnsi="Times New Roman" w:cs="Times New Roman"/>
                <w:color w:val="auto"/>
                <w:sz w:val="24"/>
                <w:highlight w:val="none"/>
              </w:rPr>
              <w:t>可满足标准限值要求。</w:t>
            </w:r>
          </w:p>
          <w:p w14:paraId="2E6E660C">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color w:val="auto"/>
                <w:highlight w:val="none"/>
              </w:rPr>
            </w:pPr>
            <w:r>
              <w:rPr>
                <w:rFonts w:hint="eastAsia" w:ascii="Times New Roman" w:hAnsi="Times New Roman" w:cs="Times New Roman"/>
                <w:color w:val="auto"/>
                <w:sz w:val="24"/>
                <w:highlight w:val="none"/>
                <w:lang w:val="en-US" w:eastAsia="zh-CN"/>
              </w:rPr>
              <w:t>综上所述</w:t>
            </w:r>
            <w:r>
              <w:rPr>
                <w:rFonts w:hint="default" w:ascii="Times New Roman" w:hAnsi="Times New Roman" w:cs="Times New Roman"/>
                <w:color w:val="auto"/>
                <w:sz w:val="24"/>
                <w:highlight w:val="none"/>
              </w:rPr>
              <w:t>，</w:t>
            </w:r>
            <w:r>
              <w:rPr>
                <w:rFonts w:hint="default" w:ascii="Times New Roman" w:hAnsi="Times New Roman" w:eastAsia="宋体" w:cs="Times New Roman"/>
                <w:b w:val="0"/>
                <w:bCs w:val="0"/>
                <w:color w:val="auto"/>
                <w:kern w:val="2"/>
                <w:sz w:val="24"/>
                <w:szCs w:val="24"/>
                <w:highlight w:val="none"/>
                <w:lang w:val="en-US" w:eastAsia="zh-CN" w:bidi="ar-SA"/>
              </w:rPr>
              <w:t>本项目的建设符合《固原市环境保护“十四五”规划》。</w:t>
            </w:r>
          </w:p>
        </w:tc>
      </w:tr>
    </w:tbl>
    <w:p w14:paraId="27219296">
      <w:pPr>
        <w:spacing w:line="360" w:lineRule="auto"/>
        <w:outlineLvl w:val="0"/>
        <w:rPr>
          <w:rFonts w:eastAsia="黑体"/>
          <w:color w:val="auto"/>
          <w:sz w:val="30"/>
          <w:highlight w:val="none"/>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E015796">
      <w:pPr>
        <w:pStyle w:val="26"/>
        <w:numPr>
          <w:ilvl w:val="0"/>
          <w:numId w:val="6"/>
        </w:numPr>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16" w:name="_Toc5467"/>
      <w:r>
        <w:rPr>
          <w:rFonts w:ascii="Times New Roman" w:hAnsi="Times New Roman" w:eastAsia="黑体"/>
          <w:b/>
          <w:bCs/>
          <w:snapToGrid w:val="0"/>
          <w:color w:val="auto"/>
          <w:sz w:val="30"/>
          <w:szCs w:val="30"/>
          <w:highlight w:val="none"/>
        </w:rPr>
        <w:t>建设内容</w:t>
      </w:r>
      <w:bookmarkEnd w:id="16"/>
    </w:p>
    <w:tbl>
      <w:tblPr>
        <w:tblStyle w:val="29"/>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991"/>
      </w:tblGrid>
      <w:tr w14:paraId="5F77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248A0031">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17" w:name="_Toc2640"/>
            <w:bookmarkStart w:id="18" w:name="_Toc22413"/>
            <w:r>
              <w:rPr>
                <w:rFonts w:ascii="Times New Roman" w:hAnsi="Times New Roman"/>
                <w:color w:val="auto"/>
                <w:highlight w:val="none"/>
              </w:rPr>
              <w:t>地理位置</w:t>
            </w:r>
            <w:bookmarkEnd w:id="17"/>
            <w:bookmarkEnd w:id="18"/>
          </w:p>
        </w:tc>
        <w:tc>
          <w:tcPr>
            <w:tcW w:w="8991" w:type="dxa"/>
          </w:tcPr>
          <w:p w14:paraId="0CD0CB28">
            <w:pPr>
              <w:adjustRightInd w:val="0"/>
              <w:snapToGrid w:val="0"/>
              <w:spacing w:line="360" w:lineRule="auto"/>
              <w:ind w:firstLine="480" w:firstLineChars="200"/>
              <w:rPr>
                <w:rFonts w:hint="eastAsia"/>
                <w:color w:val="auto"/>
                <w:sz w:val="24"/>
                <w:highlight w:val="none"/>
                <w:lang w:val="en-US" w:eastAsia="zh-CN"/>
              </w:rPr>
            </w:pPr>
            <w:r>
              <w:rPr>
                <w:color w:val="auto"/>
                <w:sz w:val="24"/>
                <w:highlight w:val="none"/>
              </w:rPr>
              <w:t>本项目位于宁夏回族自治区</w:t>
            </w:r>
            <w:r>
              <w:rPr>
                <w:rFonts w:hint="eastAsia"/>
                <w:color w:val="auto"/>
                <w:sz w:val="24"/>
                <w:highlight w:val="none"/>
                <w:lang w:val="en-US" w:eastAsia="zh-CN"/>
              </w:rPr>
              <w:t>固原市隆德县，</w:t>
            </w:r>
            <w:r>
              <w:rPr>
                <w:color w:val="auto"/>
                <w:sz w:val="24"/>
                <w:highlight w:val="none"/>
              </w:rPr>
              <w:t>项目地理位置详见</w:t>
            </w:r>
            <w:r>
              <w:rPr>
                <w:b/>
                <w:bCs/>
                <w:color w:val="auto"/>
                <w:sz w:val="24"/>
                <w:highlight w:val="none"/>
              </w:rPr>
              <w:t>附图</w:t>
            </w:r>
            <w:r>
              <w:rPr>
                <w:rFonts w:hint="eastAsia"/>
                <w:b/>
                <w:bCs/>
                <w:color w:val="auto"/>
                <w:sz w:val="24"/>
                <w:highlight w:val="none"/>
                <w:lang w:val="en-US" w:eastAsia="zh-CN"/>
              </w:rPr>
              <w:t>2-</w:t>
            </w:r>
            <w:r>
              <w:rPr>
                <w:rFonts w:hint="eastAsia"/>
                <w:b/>
                <w:bCs/>
                <w:color w:val="auto"/>
                <w:sz w:val="24"/>
                <w:highlight w:val="none"/>
              </w:rPr>
              <w:t>1</w:t>
            </w:r>
            <w:r>
              <w:rPr>
                <w:bCs/>
                <w:color w:val="auto"/>
                <w:sz w:val="24"/>
                <w:highlight w:val="none"/>
              </w:rPr>
              <w:t>。</w:t>
            </w:r>
            <w:r>
              <w:rPr>
                <w:rFonts w:hint="eastAsia"/>
                <w:bCs/>
                <w:color w:val="auto"/>
                <w:sz w:val="24"/>
                <w:highlight w:val="none"/>
                <w:lang w:val="en-US" w:eastAsia="zh-CN"/>
              </w:rPr>
              <w:t>主要</w:t>
            </w:r>
            <w:r>
              <w:rPr>
                <w:rFonts w:hint="eastAsia"/>
                <w:color w:val="auto"/>
                <w:sz w:val="24"/>
                <w:highlight w:val="none"/>
                <w:lang w:val="en-US" w:eastAsia="zh-CN"/>
              </w:rPr>
              <w:t>建设内容为：张程110千伏变电站新建工程、新建渝河110千伏变电站~张程变110千伏线路工程。</w:t>
            </w:r>
          </w:p>
          <w:p w14:paraId="01214904">
            <w:pPr>
              <w:adjustRightInd w:val="0"/>
              <w:snapToGrid w:val="0"/>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新建张程110千伏变电站工程：</w:t>
            </w:r>
            <w:r>
              <w:rPr>
                <w:color w:val="auto"/>
                <w:sz w:val="24"/>
                <w:highlight w:val="none"/>
              </w:rPr>
              <w:t>位于宁夏回族自治区</w:t>
            </w:r>
            <w:r>
              <w:rPr>
                <w:rFonts w:hint="eastAsia"/>
                <w:color w:val="auto"/>
                <w:sz w:val="24"/>
                <w:highlight w:val="none"/>
                <w:lang w:val="en-US" w:eastAsia="zh-CN"/>
              </w:rPr>
              <w:t>固原市隆德县******。</w:t>
            </w:r>
          </w:p>
          <w:p w14:paraId="54B9301E">
            <w:pPr>
              <w:adjustRightInd w:val="0"/>
              <w:snapToGrid w:val="0"/>
              <w:spacing w:line="360" w:lineRule="auto"/>
              <w:ind w:firstLine="480" w:firstLineChars="200"/>
              <w:rPr>
                <w:color w:val="auto"/>
                <w:highlight w:val="none"/>
              </w:rPr>
            </w:pPr>
            <w:r>
              <w:rPr>
                <w:color w:val="auto"/>
                <w:sz w:val="24"/>
                <w:highlight w:val="none"/>
              </w:rPr>
              <w:t>（2）</w:t>
            </w:r>
            <w:r>
              <w:rPr>
                <w:rFonts w:hint="eastAsia"/>
                <w:color w:val="auto"/>
                <w:sz w:val="24"/>
                <w:highlight w:val="none"/>
                <w:lang w:val="en-US" w:eastAsia="zh-CN"/>
              </w:rPr>
              <w:t>新建渝河110千伏变电站~张程变110千伏线路工程：位于</w:t>
            </w:r>
            <w:r>
              <w:rPr>
                <w:color w:val="auto"/>
                <w:sz w:val="24"/>
                <w:highlight w:val="none"/>
              </w:rPr>
              <w:t>宁夏回族自治区</w:t>
            </w:r>
            <w:r>
              <w:rPr>
                <w:rFonts w:hint="eastAsia"/>
                <w:color w:val="auto"/>
                <w:sz w:val="24"/>
                <w:highlight w:val="none"/>
                <w:lang w:val="en-US" w:eastAsia="zh-CN"/>
              </w:rPr>
              <w:t>固原市隆德县******，起点为原110kV将渝线117#铁塔，终点为新建张程110kV变电站。</w:t>
            </w:r>
          </w:p>
        </w:tc>
      </w:tr>
      <w:tr w14:paraId="01AD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9" w:type="dxa"/>
            <w:vAlign w:val="center"/>
          </w:tcPr>
          <w:p w14:paraId="11E10663">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19" w:name="_Toc4397"/>
            <w:bookmarkStart w:id="20" w:name="_Toc14723"/>
            <w:r>
              <w:rPr>
                <w:rFonts w:ascii="Times New Roman" w:hAnsi="Times New Roman"/>
                <w:color w:val="auto"/>
                <w:highlight w:val="none"/>
              </w:rPr>
              <w:t>项目组成及规模</w:t>
            </w:r>
            <w:bookmarkEnd w:id="19"/>
            <w:bookmarkEnd w:id="20"/>
          </w:p>
        </w:tc>
        <w:tc>
          <w:tcPr>
            <w:tcW w:w="8991" w:type="dxa"/>
          </w:tcPr>
          <w:p w14:paraId="00BEB93E">
            <w:pPr>
              <w:spacing w:line="360" w:lineRule="auto"/>
              <w:ind w:firstLine="482" w:firstLineChars="200"/>
              <w:rPr>
                <w:b/>
                <w:bCs/>
                <w:color w:val="auto"/>
                <w:sz w:val="24"/>
                <w:highlight w:val="none"/>
              </w:rPr>
            </w:pPr>
            <w:r>
              <w:rPr>
                <w:b/>
                <w:bCs/>
                <w:color w:val="auto"/>
                <w:sz w:val="24"/>
                <w:highlight w:val="none"/>
              </w:rPr>
              <w:t>1、项目建设的必要性</w:t>
            </w:r>
          </w:p>
          <w:p w14:paraId="788FDAAC">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宁夏固原张程110千伏输变电工程位于宁夏回族自治区固原市隆德县境内，</w:t>
            </w:r>
            <w:r>
              <w:rPr>
                <w:rFonts w:hint="eastAsia" w:cs="Times New Roman"/>
                <w:b w:val="0"/>
                <w:bCs w:val="0"/>
                <w:color w:val="auto"/>
                <w:sz w:val="24"/>
                <w:szCs w:val="24"/>
                <w:highlight w:val="none"/>
                <w:lang w:val="en-US" w:eastAsia="zh-CN"/>
              </w:rPr>
              <w:t>为满足项目区周边“煤改电”及新增负荷接入需求，进一步提升配网供电能力和供电可靠性，</w:t>
            </w:r>
            <w:r>
              <w:rPr>
                <w:rFonts w:hint="eastAsia"/>
                <w:color w:val="auto"/>
                <w:sz w:val="24"/>
                <w:highlight w:val="none"/>
                <w:lang w:val="en-US" w:eastAsia="zh-CN"/>
              </w:rPr>
              <w:t>建设本项目是十分必要的。</w:t>
            </w:r>
          </w:p>
          <w:p w14:paraId="21E9EEFA">
            <w:pPr>
              <w:spacing w:line="360" w:lineRule="auto"/>
              <w:ind w:firstLine="482" w:firstLineChars="200"/>
              <w:rPr>
                <w:b/>
                <w:bCs/>
                <w:color w:val="auto"/>
                <w:sz w:val="24"/>
                <w:highlight w:val="none"/>
              </w:rPr>
            </w:pPr>
            <w:r>
              <w:rPr>
                <w:b/>
                <w:bCs/>
                <w:color w:val="auto"/>
                <w:sz w:val="24"/>
                <w:highlight w:val="none"/>
              </w:rPr>
              <w:t>2、项目组成及规模</w:t>
            </w:r>
          </w:p>
          <w:p w14:paraId="2681A92D">
            <w:pPr>
              <w:adjustRightInd w:val="0"/>
              <w:snapToGrid w:val="0"/>
              <w:spacing w:line="360" w:lineRule="auto"/>
              <w:ind w:firstLine="482" w:firstLineChars="200"/>
              <w:jc w:val="left"/>
              <w:rPr>
                <w:color w:val="auto"/>
                <w:sz w:val="24"/>
                <w:highlight w:val="none"/>
              </w:rPr>
            </w:pPr>
            <w:r>
              <w:rPr>
                <w:rFonts w:hint="eastAsia" w:eastAsia="宋体" w:cs="Times New Roman"/>
                <w:b/>
                <w:bCs/>
                <w:color w:val="auto"/>
                <w:spacing w:val="0"/>
                <w:w w:val="100"/>
                <w:position w:val="0"/>
                <w:sz w:val="24"/>
                <w:szCs w:val="24"/>
                <w:highlight w:val="none"/>
                <w:lang w:val="en-US" w:eastAsia="zh-CN"/>
              </w:rPr>
              <w:t>渝河110千伏变电站110千伏间隔改造工程（本期利用前期已建间隔设备）、原110千伏将渝线利旧段前期均已进行环境影响评价及竣工环境保护验收，本期不在对其进行环境影响评价分析</w:t>
            </w:r>
            <w:r>
              <w:rPr>
                <w:rFonts w:hint="eastAsia" w:eastAsia="宋体" w:cs="Times New Roman"/>
                <w:b w:val="0"/>
                <w:bCs w:val="0"/>
                <w:color w:val="auto"/>
                <w:spacing w:val="0"/>
                <w:w w:val="100"/>
                <w:position w:val="0"/>
                <w:sz w:val="24"/>
                <w:szCs w:val="24"/>
                <w:highlight w:val="none"/>
                <w:lang w:val="en-US" w:eastAsia="zh-CN"/>
              </w:rPr>
              <w:t>。</w:t>
            </w:r>
            <w:r>
              <w:rPr>
                <w:rFonts w:hint="default" w:ascii="Times New Roman" w:hAnsi="Times New Roman" w:eastAsia="宋体" w:cs="Times New Roman"/>
                <w:b/>
                <w:bCs/>
                <w:color w:val="auto"/>
                <w:spacing w:val="0"/>
                <w:w w:val="100"/>
                <w:position w:val="0"/>
                <w:sz w:val="24"/>
                <w:szCs w:val="24"/>
                <w:highlight w:val="none"/>
                <w:lang w:val="en-US" w:eastAsia="zh-CN"/>
              </w:rPr>
              <w:t>本项目组成及规模均按最新的</w:t>
            </w:r>
            <w:r>
              <w:rPr>
                <w:rFonts w:hint="eastAsia" w:cs="Times New Roman"/>
                <w:b/>
                <w:bCs/>
                <w:color w:val="auto"/>
                <w:spacing w:val="0"/>
                <w:w w:val="100"/>
                <w:position w:val="0"/>
                <w:sz w:val="24"/>
                <w:szCs w:val="24"/>
                <w:highlight w:val="none"/>
                <w:lang w:val="en-US" w:eastAsia="zh-CN"/>
              </w:rPr>
              <w:t>初步设计</w:t>
            </w:r>
            <w:r>
              <w:rPr>
                <w:rFonts w:hint="default" w:ascii="Times New Roman" w:hAnsi="Times New Roman" w:eastAsia="宋体" w:cs="Times New Roman"/>
                <w:b/>
                <w:bCs/>
                <w:color w:val="auto"/>
                <w:spacing w:val="0"/>
                <w:w w:val="100"/>
                <w:position w:val="0"/>
                <w:sz w:val="24"/>
                <w:szCs w:val="24"/>
                <w:highlight w:val="none"/>
                <w:lang w:val="en-US" w:eastAsia="zh-CN"/>
              </w:rPr>
              <w:t>规模进行评价</w:t>
            </w:r>
            <w:r>
              <w:rPr>
                <w:rFonts w:hint="eastAsia" w:eastAsia="宋体" w:cs="Times New Roman"/>
                <w:b w:val="0"/>
                <w:bCs w:val="0"/>
                <w:color w:val="auto"/>
                <w:spacing w:val="0"/>
                <w:w w:val="100"/>
                <w:position w:val="0"/>
                <w:sz w:val="24"/>
                <w:szCs w:val="24"/>
                <w:highlight w:val="none"/>
                <w:lang w:val="en-US" w:eastAsia="zh-CN"/>
              </w:rPr>
              <w:t>，</w:t>
            </w:r>
            <w:r>
              <w:rPr>
                <w:rFonts w:hint="default" w:ascii="Times New Roman" w:hAnsi="Times New Roman" w:eastAsia="宋体" w:cs="Times New Roman"/>
                <w:color w:val="auto"/>
                <w:spacing w:val="0"/>
                <w:w w:val="100"/>
                <w:position w:val="0"/>
                <w:sz w:val="24"/>
                <w:szCs w:val="24"/>
                <w:highlight w:val="none"/>
                <w:lang w:val="en-US" w:eastAsia="zh-CN"/>
              </w:rPr>
              <w:t>项目组成及规模</w:t>
            </w:r>
            <w:r>
              <w:rPr>
                <w:rFonts w:hint="default" w:ascii="Times New Roman" w:hAnsi="Times New Roman" w:cs="Times New Roman" w:eastAsiaTheme="minorEastAsia"/>
                <w:color w:val="auto"/>
                <w:sz w:val="24"/>
                <w:highlight w:val="none"/>
              </w:rPr>
              <w:t>见表2-1。</w:t>
            </w:r>
          </w:p>
          <w:p w14:paraId="5743F5F4">
            <w:pPr>
              <w:pStyle w:val="18"/>
              <w:spacing w:line="360" w:lineRule="auto"/>
              <w:jc w:val="center"/>
              <w:rPr>
                <w:rFonts w:eastAsia="黑体"/>
                <w:b/>
                <w:bCs/>
                <w:color w:val="auto"/>
                <w:sz w:val="24"/>
                <w:highlight w:val="none"/>
              </w:rPr>
            </w:pPr>
            <w:r>
              <w:rPr>
                <w:rFonts w:eastAsia="黑体"/>
                <w:b/>
                <w:bCs/>
                <w:color w:val="auto"/>
                <w:sz w:val="24"/>
                <w:highlight w:val="none"/>
              </w:rPr>
              <w:t>表2-1  本项目组成及规模</w:t>
            </w:r>
          </w:p>
          <w:tbl>
            <w:tblPr>
              <w:tblStyle w:val="28"/>
              <w:tblW w:w="86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675"/>
              <w:gridCol w:w="6598"/>
            </w:tblGrid>
            <w:tr w14:paraId="18990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653F8896">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项目名称</w:t>
                  </w:r>
                </w:p>
              </w:tc>
              <w:tc>
                <w:tcPr>
                  <w:tcW w:w="6598" w:type="dxa"/>
                  <w:vAlign w:val="center"/>
                </w:tcPr>
                <w:p w14:paraId="5167DD13">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lang w:val="en-US" w:eastAsia="zh-CN"/>
                    </w:rPr>
                    <w:t>宁夏固原张程110千伏输变电工程</w:t>
                  </w:r>
                </w:p>
              </w:tc>
            </w:tr>
            <w:tr w14:paraId="507AE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40EFEED5">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建设单位</w:t>
                  </w:r>
                </w:p>
              </w:tc>
              <w:tc>
                <w:tcPr>
                  <w:tcW w:w="6598" w:type="dxa"/>
                  <w:vAlign w:val="center"/>
                </w:tcPr>
                <w:p w14:paraId="4FAA39DE">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国网宁夏电力有限公司</w:t>
                  </w:r>
                  <w:r>
                    <w:rPr>
                      <w:rFonts w:hint="eastAsia"/>
                      <w:color w:val="auto"/>
                      <w:szCs w:val="21"/>
                      <w:highlight w:val="none"/>
                      <w:lang w:val="en-US" w:eastAsia="zh-CN"/>
                    </w:rPr>
                    <w:t>固原</w:t>
                  </w:r>
                  <w:r>
                    <w:rPr>
                      <w:color w:val="auto"/>
                      <w:szCs w:val="21"/>
                      <w:highlight w:val="none"/>
                    </w:rPr>
                    <w:t>供电公司</w:t>
                  </w:r>
                </w:p>
              </w:tc>
            </w:tr>
            <w:tr w14:paraId="73D30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1609F1D0">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项目设计单位</w:t>
                  </w:r>
                </w:p>
              </w:tc>
              <w:tc>
                <w:tcPr>
                  <w:tcW w:w="6598" w:type="dxa"/>
                  <w:vAlign w:val="center"/>
                </w:tcPr>
                <w:p w14:paraId="168E800C">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lang w:val="en-US" w:eastAsia="zh-CN"/>
                    </w:rPr>
                    <w:t>固原龙源电力勘测设计咨询有限公司</w:t>
                  </w:r>
                </w:p>
              </w:tc>
            </w:tr>
            <w:tr w14:paraId="38132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02513389">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建设性质</w:t>
                  </w:r>
                </w:p>
              </w:tc>
              <w:tc>
                <w:tcPr>
                  <w:tcW w:w="6598" w:type="dxa"/>
                  <w:vAlign w:val="center"/>
                </w:tcPr>
                <w:p w14:paraId="0032CDF0">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新建</w:t>
                  </w:r>
                </w:p>
              </w:tc>
            </w:tr>
            <w:tr w14:paraId="4590F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52013147">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建设地点</w:t>
                  </w:r>
                </w:p>
              </w:tc>
              <w:tc>
                <w:tcPr>
                  <w:tcW w:w="6598" w:type="dxa"/>
                  <w:vAlign w:val="center"/>
                </w:tcPr>
                <w:p w14:paraId="12CC602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highlight w:val="none"/>
                      <w:lang w:val="en-US" w:eastAsia="zh-CN"/>
                    </w:rPr>
                  </w:pPr>
                  <w:r>
                    <w:rPr>
                      <w:rFonts w:hint="default" w:eastAsia="宋体"/>
                      <w:color w:val="auto"/>
                      <w:szCs w:val="21"/>
                      <w:highlight w:val="none"/>
                      <w:lang w:val="en-US" w:eastAsia="zh-CN"/>
                    </w:rPr>
                    <w:t>宁夏回族自治区固原市隆德县******</w:t>
                  </w:r>
                </w:p>
              </w:tc>
            </w:tr>
            <w:tr w14:paraId="58D75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3" w:type="dxa"/>
                  <w:vAlign w:val="center"/>
                </w:tcPr>
                <w:p w14:paraId="652376B0">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rFonts w:hint="eastAsia"/>
                      <w:b/>
                      <w:bCs/>
                      <w:color w:val="auto"/>
                      <w:szCs w:val="21"/>
                      <w:highlight w:val="none"/>
                      <w:lang w:val="en-US" w:eastAsia="zh-CN"/>
                    </w:rPr>
                    <w:t>新建张程110千伏变电站工程</w:t>
                  </w:r>
                </w:p>
              </w:tc>
              <w:tc>
                <w:tcPr>
                  <w:tcW w:w="675" w:type="dxa"/>
                  <w:vAlign w:val="center"/>
                </w:tcPr>
                <w:p w14:paraId="1C8D2AF6">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相关</w:t>
                  </w:r>
                </w:p>
                <w:p w14:paraId="6EB5DDDB">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装置</w:t>
                  </w:r>
                </w:p>
              </w:tc>
              <w:tc>
                <w:tcPr>
                  <w:tcW w:w="6598" w:type="dxa"/>
                  <w:vAlign w:val="center"/>
                </w:tcPr>
                <w:p w14:paraId="520D0721">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Cs w:val="21"/>
                      <w:highlight w:val="none"/>
                      <w:lang w:val="en-US"/>
                    </w:rPr>
                  </w:pPr>
                  <w:bookmarkStart w:id="21" w:name="_Hlk167467138"/>
                  <w:r>
                    <w:rPr>
                      <w:rFonts w:hint="eastAsia"/>
                      <w:color w:val="auto"/>
                      <w:szCs w:val="21"/>
                      <w:highlight w:val="none"/>
                      <w:lang w:val="en-US" w:eastAsia="zh-CN"/>
                    </w:rPr>
                    <w:t>新建张程</w:t>
                  </w:r>
                  <w:r>
                    <w:rPr>
                      <w:rFonts w:hint="eastAsia"/>
                      <w:color w:val="auto"/>
                      <w:szCs w:val="21"/>
                      <w:highlight w:val="none"/>
                      <w:lang w:eastAsia="zh-CN"/>
                    </w:rPr>
                    <w:t>110</w:t>
                  </w:r>
                  <w:r>
                    <w:rPr>
                      <w:rFonts w:hint="eastAsia"/>
                      <w:color w:val="auto"/>
                      <w:szCs w:val="21"/>
                      <w:highlight w:val="none"/>
                      <w:lang w:val="en-US" w:eastAsia="zh-CN"/>
                    </w:rPr>
                    <w:t>千伏</w:t>
                  </w:r>
                  <w:r>
                    <w:rPr>
                      <w:rFonts w:hint="default"/>
                      <w:color w:val="auto"/>
                      <w:szCs w:val="21"/>
                      <w:highlight w:val="none"/>
                    </w:rPr>
                    <w:t>变电站</w:t>
                  </w:r>
                  <w:r>
                    <w:rPr>
                      <w:rFonts w:hint="eastAsia"/>
                      <w:color w:val="auto"/>
                      <w:szCs w:val="21"/>
                      <w:highlight w:val="none"/>
                      <w:lang w:val="en-US" w:eastAsia="zh-CN"/>
                    </w:rPr>
                    <w:t>为户外变，</w:t>
                  </w:r>
                  <w:r>
                    <w:rPr>
                      <w:rFonts w:hint="default"/>
                      <w:color w:val="auto"/>
                      <w:szCs w:val="21"/>
                      <w:highlight w:val="none"/>
                      <w:lang w:val="en-US" w:eastAsia="zh-CN"/>
                    </w:rPr>
                    <w:t>本期新建</w:t>
                  </w:r>
                  <w:r>
                    <w:rPr>
                      <w:rFonts w:hint="default"/>
                      <w:color w:val="auto"/>
                      <w:szCs w:val="21"/>
                      <w:highlight w:val="none"/>
                    </w:rPr>
                    <w:t>主变2×</w:t>
                  </w:r>
                  <w:r>
                    <w:rPr>
                      <w:rFonts w:hint="eastAsia"/>
                      <w:color w:val="auto"/>
                      <w:szCs w:val="21"/>
                      <w:highlight w:val="none"/>
                      <w:lang w:val="en-US" w:eastAsia="zh-CN"/>
                    </w:rPr>
                    <w:t>50</w:t>
                  </w:r>
                  <w:r>
                    <w:rPr>
                      <w:rFonts w:hint="default"/>
                      <w:color w:val="auto"/>
                      <w:szCs w:val="21"/>
                      <w:highlight w:val="none"/>
                    </w:rPr>
                    <w:t>MVA</w:t>
                  </w:r>
                  <w:r>
                    <w:rPr>
                      <w:rFonts w:hint="eastAsia"/>
                      <w:color w:val="auto"/>
                      <w:szCs w:val="21"/>
                      <w:highlight w:val="none"/>
                      <w:lang w:eastAsia="zh-CN"/>
                    </w:rPr>
                    <w:t>，</w:t>
                  </w:r>
                  <w:r>
                    <w:rPr>
                      <w:rFonts w:hint="eastAsia"/>
                      <w:color w:val="auto"/>
                      <w:szCs w:val="21"/>
                      <w:highlight w:val="none"/>
                      <w:lang w:val="en-US" w:eastAsia="zh-CN"/>
                    </w:rPr>
                    <w:t>电压等级110/35/10kV；新建</w:t>
                  </w:r>
                  <w:r>
                    <w:rPr>
                      <w:rFonts w:hint="eastAsia"/>
                      <w:color w:val="auto"/>
                      <w:szCs w:val="21"/>
                      <w:highlight w:val="none"/>
                      <w:lang w:eastAsia="zh-CN"/>
                    </w:rPr>
                    <w:t>110kV</w:t>
                  </w:r>
                  <w:r>
                    <w:rPr>
                      <w:rFonts w:hint="default"/>
                      <w:color w:val="auto"/>
                      <w:szCs w:val="21"/>
                      <w:highlight w:val="none"/>
                    </w:rPr>
                    <w:t>出线</w:t>
                  </w:r>
                  <w:r>
                    <w:rPr>
                      <w:rFonts w:hint="default"/>
                      <w:color w:val="auto"/>
                      <w:szCs w:val="21"/>
                      <w:highlight w:val="none"/>
                      <w:lang w:val="en-US" w:eastAsia="zh-CN"/>
                    </w:rPr>
                    <w:t>间隔</w:t>
                  </w:r>
                  <w:r>
                    <w:rPr>
                      <w:rFonts w:hint="eastAsia"/>
                      <w:color w:val="auto"/>
                      <w:szCs w:val="21"/>
                      <w:highlight w:val="none"/>
                      <w:lang w:val="en-US" w:eastAsia="zh-CN"/>
                    </w:rPr>
                    <w:t>2回</w:t>
                  </w:r>
                  <w:r>
                    <w:rPr>
                      <w:rFonts w:hint="default"/>
                      <w:color w:val="auto"/>
                      <w:szCs w:val="21"/>
                      <w:highlight w:val="none"/>
                      <w:lang w:eastAsia="zh-CN"/>
                    </w:rPr>
                    <w:t>，</w:t>
                  </w:r>
                  <w:r>
                    <w:rPr>
                      <w:rFonts w:hint="eastAsia"/>
                      <w:color w:val="auto"/>
                      <w:szCs w:val="21"/>
                      <w:highlight w:val="none"/>
                      <w:lang w:val="en-US" w:eastAsia="zh-CN"/>
                    </w:rPr>
                    <w:t>35</w:t>
                  </w:r>
                  <w:r>
                    <w:rPr>
                      <w:rFonts w:hint="default"/>
                      <w:color w:val="auto"/>
                      <w:szCs w:val="21"/>
                      <w:highlight w:val="none"/>
                    </w:rPr>
                    <w:t>kV出线</w:t>
                  </w:r>
                  <w:r>
                    <w:rPr>
                      <w:rFonts w:hint="default"/>
                      <w:color w:val="auto"/>
                      <w:szCs w:val="21"/>
                      <w:highlight w:val="none"/>
                      <w:lang w:val="en-US" w:eastAsia="zh-CN"/>
                    </w:rPr>
                    <w:t>间隔</w:t>
                  </w:r>
                  <w:r>
                    <w:rPr>
                      <w:rFonts w:hint="eastAsia"/>
                      <w:color w:val="auto"/>
                      <w:szCs w:val="21"/>
                      <w:highlight w:val="none"/>
                      <w:lang w:val="en-US" w:eastAsia="zh-CN"/>
                    </w:rPr>
                    <w:t>8</w:t>
                  </w:r>
                  <w:bookmarkEnd w:id="21"/>
                  <w:r>
                    <w:rPr>
                      <w:rFonts w:hint="eastAsia"/>
                      <w:color w:val="auto"/>
                      <w:szCs w:val="21"/>
                      <w:highlight w:val="none"/>
                      <w:lang w:val="en-US" w:eastAsia="zh-CN"/>
                    </w:rPr>
                    <w:t>回</w:t>
                  </w:r>
                  <w:r>
                    <w:rPr>
                      <w:rFonts w:hint="eastAsia"/>
                      <w:color w:val="auto"/>
                      <w:szCs w:val="21"/>
                      <w:highlight w:val="none"/>
                      <w:lang w:eastAsia="zh-CN"/>
                    </w:rPr>
                    <w:t>，</w:t>
                  </w:r>
                  <w:r>
                    <w:rPr>
                      <w:rFonts w:hint="eastAsia"/>
                      <w:color w:val="auto"/>
                      <w:szCs w:val="21"/>
                      <w:highlight w:val="none"/>
                      <w:lang w:val="en-US" w:eastAsia="zh-CN"/>
                    </w:rPr>
                    <w:t>10</w:t>
                  </w:r>
                  <w:r>
                    <w:rPr>
                      <w:rFonts w:hint="default"/>
                      <w:color w:val="auto"/>
                      <w:szCs w:val="21"/>
                      <w:highlight w:val="none"/>
                    </w:rPr>
                    <w:t>kV出线</w:t>
                  </w:r>
                  <w:r>
                    <w:rPr>
                      <w:rFonts w:hint="default"/>
                      <w:color w:val="auto"/>
                      <w:szCs w:val="21"/>
                      <w:highlight w:val="none"/>
                      <w:lang w:val="en-US" w:eastAsia="zh-CN"/>
                    </w:rPr>
                    <w:t>间隔</w:t>
                  </w:r>
                  <w:r>
                    <w:rPr>
                      <w:rFonts w:hint="eastAsia"/>
                      <w:color w:val="auto"/>
                      <w:szCs w:val="21"/>
                      <w:highlight w:val="none"/>
                      <w:lang w:val="en-US" w:eastAsia="zh-CN"/>
                    </w:rPr>
                    <w:t>16回；</w:t>
                  </w:r>
                  <w:r>
                    <w:rPr>
                      <w:rFonts w:hint="default"/>
                      <w:color w:val="auto"/>
                      <w:szCs w:val="21"/>
                      <w:highlight w:val="none"/>
                      <w:lang w:val="en-US" w:eastAsia="zh-CN"/>
                    </w:rPr>
                    <w:t>新建</w:t>
                  </w:r>
                  <w:r>
                    <w:rPr>
                      <w:rFonts w:hint="eastAsia"/>
                      <w:color w:val="auto"/>
                      <w:szCs w:val="21"/>
                      <w:highlight w:val="none"/>
                      <w:lang w:val="en-US" w:eastAsia="zh-CN"/>
                    </w:rPr>
                    <w:t>10</w:t>
                  </w:r>
                  <w:r>
                    <w:rPr>
                      <w:rFonts w:hint="default"/>
                      <w:color w:val="auto"/>
                      <w:szCs w:val="21"/>
                      <w:highlight w:val="none"/>
                      <w:lang w:val="en-US" w:eastAsia="zh-CN"/>
                    </w:rPr>
                    <w:t>kV</w:t>
                  </w:r>
                  <w:r>
                    <w:rPr>
                      <w:rFonts w:hint="eastAsia"/>
                      <w:color w:val="auto"/>
                      <w:szCs w:val="21"/>
                      <w:highlight w:val="none"/>
                      <w:lang w:val="en-US" w:eastAsia="zh-CN"/>
                    </w:rPr>
                    <w:t>并联电容器</w:t>
                  </w:r>
                  <w:r>
                    <w:rPr>
                      <w:rFonts w:hint="default"/>
                      <w:color w:val="auto"/>
                      <w:szCs w:val="21"/>
                      <w:highlight w:val="none"/>
                      <w:lang w:val="en-US" w:eastAsia="zh-CN"/>
                    </w:rPr>
                    <w:t>2×（</w:t>
                  </w:r>
                  <w:r>
                    <w:rPr>
                      <w:rFonts w:hint="eastAsia"/>
                      <w:color w:val="auto"/>
                      <w:szCs w:val="21"/>
                      <w:highlight w:val="none"/>
                      <w:lang w:val="en-US" w:eastAsia="zh-CN"/>
                    </w:rPr>
                    <w:t>4+5</w:t>
                  </w:r>
                  <w:r>
                    <w:rPr>
                      <w:rFonts w:hint="default"/>
                      <w:color w:val="auto"/>
                      <w:szCs w:val="21"/>
                      <w:highlight w:val="none"/>
                      <w:lang w:val="en-US" w:eastAsia="zh-CN"/>
                    </w:rPr>
                    <w:t>）Mvar</w:t>
                  </w:r>
                  <w:r>
                    <w:rPr>
                      <w:rFonts w:hint="eastAsia"/>
                      <w:color w:val="auto"/>
                      <w:szCs w:val="21"/>
                      <w:highlight w:val="none"/>
                      <w:lang w:val="en-US" w:eastAsia="zh-CN"/>
                    </w:rPr>
                    <w:t>。</w:t>
                  </w:r>
                </w:p>
              </w:tc>
            </w:tr>
            <w:tr w14:paraId="425C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3" w:type="dxa"/>
                  <w:vAlign w:val="center"/>
                </w:tcPr>
                <w:p w14:paraId="5950077F">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rFonts w:hint="eastAsia"/>
                      <w:b/>
                      <w:bCs/>
                      <w:color w:val="auto"/>
                      <w:szCs w:val="21"/>
                      <w:highlight w:val="none"/>
                      <w:lang w:val="en-US" w:eastAsia="zh-CN"/>
                    </w:rPr>
                    <w:t>新建渝河110千伏变电站~张程变110千伏线路工程</w:t>
                  </w:r>
                </w:p>
              </w:tc>
              <w:tc>
                <w:tcPr>
                  <w:tcW w:w="675" w:type="dxa"/>
                  <w:vAlign w:val="center"/>
                </w:tcPr>
                <w:p w14:paraId="6E3C6E2C">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相关</w:t>
                  </w:r>
                </w:p>
                <w:p w14:paraId="1F5B826D">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装置</w:t>
                  </w:r>
                </w:p>
              </w:tc>
              <w:tc>
                <w:tcPr>
                  <w:tcW w:w="6598" w:type="dxa"/>
                  <w:vAlign w:val="center"/>
                </w:tcPr>
                <w:p w14:paraId="71576F77">
                  <w:pPr>
                    <w:keepNext w:val="0"/>
                    <w:keepLines w:val="0"/>
                    <w:pageBreakBefore w:val="0"/>
                    <w:widowControl w:val="0"/>
                    <w:kinsoku/>
                    <w:wordWrap/>
                    <w:overflowPunct/>
                    <w:topLinePunct w:val="0"/>
                    <w:autoSpaceDE/>
                    <w:autoSpaceDN/>
                    <w:bidi w:val="0"/>
                    <w:jc w:val="left"/>
                    <w:textAlignment w:val="auto"/>
                    <w:rPr>
                      <w:bCs/>
                      <w:color w:val="auto"/>
                      <w:szCs w:val="21"/>
                      <w:highlight w:val="none"/>
                    </w:rPr>
                  </w:pPr>
                  <w:r>
                    <w:rPr>
                      <w:rFonts w:hint="default"/>
                      <w:bCs/>
                      <w:color w:val="auto"/>
                      <w:szCs w:val="21"/>
                      <w:highlight w:val="none"/>
                      <w:lang w:val="en-US" w:eastAsia="zh-CN"/>
                    </w:rPr>
                    <w:t>新建线路全长</w:t>
                  </w:r>
                  <w:r>
                    <w:rPr>
                      <w:rFonts w:hint="eastAsia"/>
                      <w:bCs/>
                      <w:color w:val="auto"/>
                      <w:szCs w:val="21"/>
                      <w:highlight w:val="none"/>
                      <w:lang w:val="en-US" w:eastAsia="zh-CN"/>
                    </w:rPr>
                    <w:t>1</w:t>
                  </w:r>
                  <w:r>
                    <w:rPr>
                      <w:rFonts w:hint="default"/>
                      <w:bCs/>
                      <w:color w:val="auto"/>
                      <w:szCs w:val="21"/>
                      <w:highlight w:val="none"/>
                      <w:lang w:val="en-US" w:eastAsia="zh-CN"/>
                    </w:rPr>
                    <w:t>×</w:t>
                  </w:r>
                  <w:r>
                    <w:rPr>
                      <w:rFonts w:hint="eastAsia"/>
                      <w:bCs/>
                      <w:color w:val="auto"/>
                      <w:szCs w:val="21"/>
                      <w:highlight w:val="none"/>
                      <w:lang w:val="en-US" w:eastAsia="zh-CN"/>
                    </w:rPr>
                    <w:t>14.23</w:t>
                  </w:r>
                  <w:r>
                    <w:rPr>
                      <w:rFonts w:hint="default"/>
                      <w:bCs/>
                      <w:color w:val="auto"/>
                      <w:szCs w:val="21"/>
                      <w:highlight w:val="none"/>
                      <w:lang w:val="en-US" w:eastAsia="zh-CN"/>
                    </w:rPr>
                    <w:t>km，除</w:t>
                  </w:r>
                  <w:r>
                    <w:rPr>
                      <w:rFonts w:hint="eastAsia"/>
                      <w:bCs/>
                      <w:color w:val="auto"/>
                      <w:szCs w:val="21"/>
                      <w:highlight w:val="none"/>
                      <w:lang w:val="en-US" w:eastAsia="zh-CN"/>
                    </w:rPr>
                    <w:t>新建</w:t>
                  </w:r>
                  <w:r>
                    <w:rPr>
                      <w:rFonts w:hint="default"/>
                      <w:bCs/>
                      <w:color w:val="auto"/>
                      <w:szCs w:val="21"/>
                      <w:highlight w:val="none"/>
                      <w:lang w:val="en-US" w:eastAsia="zh-CN"/>
                    </w:rPr>
                    <w:t>张程变出线终端塔采用双回路塔</w:t>
                  </w:r>
                  <w:r>
                    <w:rPr>
                      <w:rFonts w:hint="eastAsia"/>
                      <w:bCs/>
                      <w:color w:val="auto"/>
                      <w:szCs w:val="21"/>
                      <w:highlight w:val="none"/>
                      <w:lang w:val="en-US" w:eastAsia="zh-CN"/>
                    </w:rPr>
                    <w:t>单侧挂线</w:t>
                  </w:r>
                  <w:r>
                    <w:rPr>
                      <w:rFonts w:hint="default"/>
                      <w:bCs/>
                      <w:color w:val="auto"/>
                      <w:szCs w:val="21"/>
                      <w:highlight w:val="none"/>
                      <w:lang w:val="en-US" w:eastAsia="zh-CN"/>
                    </w:rPr>
                    <w:t>外</w:t>
                  </w:r>
                  <w:r>
                    <w:rPr>
                      <w:rFonts w:hint="eastAsia"/>
                      <w:bCs/>
                      <w:color w:val="auto"/>
                      <w:szCs w:val="21"/>
                      <w:highlight w:val="none"/>
                      <w:lang w:val="en-US" w:eastAsia="zh-CN"/>
                    </w:rPr>
                    <w:t>，余下线路均</w:t>
                  </w:r>
                  <w:r>
                    <w:rPr>
                      <w:rFonts w:hint="default"/>
                      <w:bCs/>
                      <w:color w:val="auto"/>
                      <w:szCs w:val="21"/>
                      <w:highlight w:val="none"/>
                      <w:lang w:val="en-US" w:eastAsia="zh-CN"/>
                    </w:rPr>
                    <w:t>采用</w:t>
                  </w:r>
                  <w:r>
                    <w:rPr>
                      <w:rFonts w:hint="eastAsia"/>
                      <w:bCs/>
                      <w:color w:val="auto"/>
                      <w:szCs w:val="21"/>
                      <w:highlight w:val="none"/>
                      <w:lang w:val="en-US" w:eastAsia="zh-CN"/>
                    </w:rPr>
                    <w:t>单回路</w:t>
                  </w:r>
                  <w:r>
                    <w:rPr>
                      <w:rFonts w:hint="default"/>
                      <w:bCs/>
                      <w:color w:val="auto"/>
                      <w:szCs w:val="21"/>
                      <w:highlight w:val="none"/>
                      <w:lang w:val="en-US" w:eastAsia="zh-CN"/>
                    </w:rPr>
                    <w:t>架设</w:t>
                  </w:r>
                  <w:r>
                    <w:rPr>
                      <w:rFonts w:hint="eastAsia"/>
                      <w:bCs/>
                      <w:color w:val="auto"/>
                      <w:szCs w:val="21"/>
                      <w:highlight w:val="none"/>
                      <w:lang w:val="en-US" w:eastAsia="zh-CN"/>
                    </w:rPr>
                    <w:t>；拟</w:t>
                  </w:r>
                  <w:r>
                    <w:rPr>
                      <w:rFonts w:hint="default"/>
                      <w:bCs/>
                      <w:color w:val="auto"/>
                      <w:szCs w:val="21"/>
                      <w:highlight w:val="none"/>
                    </w:rPr>
                    <w:t>建</w:t>
                  </w:r>
                  <w:r>
                    <w:rPr>
                      <w:rFonts w:hint="eastAsia"/>
                      <w:bCs/>
                      <w:color w:val="auto"/>
                      <w:szCs w:val="21"/>
                      <w:highlight w:val="none"/>
                      <w:lang w:val="en-US" w:eastAsia="zh-CN"/>
                    </w:rPr>
                    <w:t>铁塔54</w:t>
                  </w:r>
                  <w:r>
                    <w:rPr>
                      <w:rFonts w:hint="default"/>
                      <w:bCs/>
                      <w:color w:val="auto"/>
                      <w:szCs w:val="21"/>
                      <w:highlight w:val="none"/>
                    </w:rPr>
                    <w:t>基，其中：</w:t>
                  </w:r>
                  <w:r>
                    <w:rPr>
                      <w:rFonts w:hint="default"/>
                      <w:bCs/>
                      <w:color w:val="auto"/>
                      <w:szCs w:val="21"/>
                      <w:highlight w:val="none"/>
                      <w:lang w:val="en-US" w:eastAsia="zh-CN"/>
                    </w:rPr>
                    <w:t>单回路直线塔</w:t>
                  </w:r>
                  <w:r>
                    <w:rPr>
                      <w:rFonts w:hint="eastAsia"/>
                      <w:bCs/>
                      <w:color w:val="auto"/>
                      <w:szCs w:val="21"/>
                      <w:highlight w:val="none"/>
                      <w:lang w:val="en-US" w:eastAsia="zh-CN"/>
                    </w:rPr>
                    <w:t>34</w:t>
                  </w:r>
                  <w:r>
                    <w:rPr>
                      <w:rFonts w:hint="default"/>
                      <w:bCs/>
                      <w:color w:val="auto"/>
                      <w:szCs w:val="21"/>
                      <w:highlight w:val="none"/>
                      <w:lang w:val="en-US" w:eastAsia="zh-CN"/>
                    </w:rPr>
                    <w:t>基，单回路耐张塔</w:t>
                  </w:r>
                  <w:r>
                    <w:rPr>
                      <w:rFonts w:hint="eastAsia"/>
                      <w:bCs/>
                      <w:color w:val="auto"/>
                      <w:szCs w:val="21"/>
                      <w:highlight w:val="none"/>
                      <w:lang w:val="en-US" w:eastAsia="zh-CN"/>
                    </w:rPr>
                    <w:t>19</w:t>
                  </w:r>
                  <w:r>
                    <w:rPr>
                      <w:rFonts w:hint="default"/>
                      <w:bCs/>
                      <w:color w:val="auto"/>
                      <w:szCs w:val="21"/>
                      <w:highlight w:val="none"/>
                      <w:lang w:val="en-US" w:eastAsia="zh-CN"/>
                    </w:rPr>
                    <w:t>基，双回路耐张塔1基</w:t>
                  </w:r>
                  <w:r>
                    <w:rPr>
                      <w:rFonts w:hint="default"/>
                      <w:bCs/>
                      <w:color w:val="auto"/>
                      <w:szCs w:val="21"/>
                      <w:highlight w:val="none"/>
                    </w:rPr>
                    <w:t>。</w:t>
                  </w:r>
                </w:p>
              </w:tc>
            </w:tr>
            <w:tr w14:paraId="125DF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45A2E9FA">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辅助工程</w:t>
                  </w:r>
                </w:p>
              </w:tc>
              <w:tc>
                <w:tcPr>
                  <w:tcW w:w="6598" w:type="dxa"/>
                  <w:vAlign w:val="center"/>
                </w:tcPr>
                <w:p w14:paraId="68D78585">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rPr>
                  </w:pPr>
                  <w:r>
                    <w:rPr>
                      <w:rFonts w:hint="eastAsia"/>
                      <w:color w:val="auto"/>
                      <w:szCs w:val="21"/>
                      <w:highlight w:val="none"/>
                    </w:rPr>
                    <w:t>①</w:t>
                  </w:r>
                  <w:r>
                    <w:rPr>
                      <w:rFonts w:hint="eastAsia"/>
                      <w:color w:val="auto"/>
                      <w:szCs w:val="21"/>
                      <w:highlight w:val="none"/>
                      <w:lang w:val="en-US" w:eastAsia="zh-CN"/>
                    </w:rPr>
                    <w:t>配电装置室：单层钢框架结构，地上一层，建筑高度为5.80m，建筑面积为624.08m</w:t>
                  </w:r>
                  <w:r>
                    <w:rPr>
                      <w:rFonts w:hint="eastAsia"/>
                      <w:color w:val="auto"/>
                      <w:szCs w:val="21"/>
                      <w:highlight w:val="none"/>
                      <w:vertAlign w:val="superscript"/>
                      <w:lang w:val="en-US" w:eastAsia="zh-CN"/>
                    </w:rPr>
                    <w:t>2</w:t>
                  </w:r>
                  <w:r>
                    <w:rPr>
                      <w:rFonts w:hint="eastAsia"/>
                      <w:color w:val="auto"/>
                      <w:szCs w:val="21"/>
                      <w:highlight w:val="none"/>
                      <w:lang w:val="en-US" w:eastAsia="zh-CN"/>
                    </w:rPr>
                    <w:t>；设有35kV/10kV配电室、二次设备室、</w:t>
                  </w:r>
                  <w:r>
                    <w:rPr>
                      <w:rFonts w:hint="default" w:ascii="Times New Roman" w:hAnsi="Times New Roman" w:cs="Times New Roman" w:eastAsiaTheme="minorEastAsia"/>
                      <w:color w:val="auto"/>
                      <w:szCs w:val="21"/>
                      <w:highlight w:val="none"/>
                      <w:lang w:val="en-US" w:eastAsia="zh-CN"/>
                    </w:rPr>
                    <w:t>安全工具室、资料室</w:t>
                  </w:r>
                  <w:r>
                    <w:rPr>
                      <w:rFonts w:hint="eastAsia" w:ascii="Times New Roman" w:hAnsi="Times New Roman" w:cs="Times New Roman" w:eastAsiaTheme="minorEastAsia"/>
                      <w:color w:val="auto"/>
                      <w:szCs w:val="21"/>
                      <w:highlight w:val="none"/>
                      <w:lang w:val="en-US" w:eastAsia="zh-CN"/>
                    </w:rPr>
                    <w:t>。</w:t>
                  </w:r>
                  <w:r>
                    <w:rPr>
                      <w:rFonts w:hint="eastAsia"/>
                      <w:color w:val="auto"/>
                      <w:szCs w:val="21"/>
                      <w:highlight w:val="none"/>
                      <w:lang w:val="en-US" w:eastAsia="zh-CN"/>
                    </w:rPr>
                    <w:t xml:space="preserve"> </w:t>
                  </w:r>
                </w:p>
                <w:p w14:paraId="3ABF0586">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Cs w:val="21"/>
                      <w:highlight w:val="none"/>
                      <w:lang w:val="en-US"/>
                    </w:rPr>
                  </w:pPr>
                  <w:r>
                    <w:rPr>
                      <w:rFonts w:hint="eastAsia"/>
                      <w:color w:val="auto"/>
                      <w:szCs w:val="21"/>
                      <w:highlight w:val="none"/>
                    </w:rPr>
                    <w:t>②</w:t>
                  </w:r>
                  <w:r>
                    <w:rPr>
                      <w:rFonts w:hint="eastAsia"/>
                      <w:color w:val="auto"/>
                      <w:szCs w:val="21"/>
                      <w:highlight w:val="none"/>
                      <w:lang w:val="en-US" w:eastAsia="zh-CN"/>
                    </w:rPr>
                    <w:t>一体化辅助用房：一体化预制舱结构，地上一层，舱体高出地面0.45m，建筑面积为48.00m</w:t>
                  </w:r>
                  <w:r>
                    <w:rPr>
                      <w:rFonts w:hint="eastAsia"/>
                      <w:color w:val="auto"/>
                      <w:szCs w:val="21"/>
                      <w:highlight w:val="none"/>
                      <w:vertAlign w:val="superscript"/>
                      <w:lang w:val="en-US" w:eastAsia="zh-CN"/>
                    </w:rPr>
                    <w:t>2</w:t>
                  </w:r>
                  <w:r>
                    <w:rPr>
                      <w:rFonts w:hint="eastAsia"/>
                      <w:color w:val="auto"/>
                      <w:szCs w:val="21"/>
                      <w:highlight w:val="none"/>
                      <w:lang w:val="en-US" w:eastAsia="zh-CN"/>
                    </w:rPr>
                    <w:t>；设有警卫室、备餐间、卫生间、值班室。</w:t>
                  </w:r>
                </w:p>
                <w:p w14:paraId="2DF9FDB3">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Cs w:val="21"/>
                      <w:highlight w:val="none"/>
                      <w:lang w:val="en-US" w:eastAsia="zh-CN"/>
                    </w:rPr>
                  </w:pPr>
                  <w:r>
                    <w:rPr>
                      <w:rFonts w:hint="default"/>
                      <w:color w:val="auto"/>
                      <w:szCs w:val="21"/>
                      <w:highlight w:val="none"/>
                    </w:rPr>
                    <w:t>③</w:t>
                  </w:r>
                  <w:r>
                    <w:rPr>
                      <w:rFonts w:hint="eastAsia"/>
                      <w:color w:val="auto"/>
                      <w:szCs w:val="21"/>
                      <w:highlight w:val="none"/>
                      <w:lang w:val="en-US" w:eastAsia="zh-CN"/>
                    </w:rPr>
                    <w:t>35kV消弧线圈：本期新建35kV消弧线圈</w:t>
                  </w:r>
                  <w:r>
                    <w:rPr>
                      <w:rFonts w:hint="default"/>
                      <w:color w:val="auto"/>
                      <w:szCs w:val="21"/>
                      <w:highlight w:val="none"/>
                      <w:lang w:val="en-US" w:eastAsia="zh-CN"/>
                    </w:rPr>
                    <w:t>容量为630kVA</w:t>
                  </w:r>
                  <w:r>
                    <w:rPr>
                      <w:rFonts w:hint="eastAsia"/>
                      <w:color w:val="auto"/>
                      <w:szCs w:val="21"/>
                      <w:highlight w:val="none"/>
                      <w:lang w:val="en-US" w:eastAsia="zh-CN"/>
                    </w:rPr>
                    <w:t>。</w:t>
                  </w:r>
                </w:p>
                <w:p w14:paraId="71260E82">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Cs w:val="21"/>
                      <w:highlight w:val="none"/>
                    </w:rPr>
                  </w:pPr>
                  <w:r>
                    <w:rPr>
                      <w:rFonts w:hint="default"/>
                      <w:color w:val="auto"/>
                      <w:szCs w:val="21"/>
                      <w:highlight w:val="none"/>
                    </w:rPr>
                    <w:t>④</w:t>
                  </w:r>
                  <w:r>
                    <w:rPr>
                      <w:rFonts w:hint="eastAsia"/>
                      <w:color w:val="auto"/>
                      <w:szCs w:val="21"/>
                      <w:highlight w:val="none"/>
                      <w:lang w:val="en-US" w:eastAsia="zh-CN"/>
                    </w:rPr>
                    <w:t>10kV接地变</w:t>
                  </w:r>
                  <w:r>
                    <w:rPr>
                      <w:rFonts w:hint="default"/>
                      <w:color w:val="auto"/>
                      <w:szCs w:val="21"/>
                      <w:highlight w:val="none"/>
                      <w:lang w:val="en-US" w:eastAsia="zh-CN"/>
                    </w:rPr>
                    <w:t>：</w:t>
                  </w:r>
                  <w:r>
                    <w:rPr>
                      <w:rFonts w:hint="eastAsia"/>
                      <w:color w:val="auto"/>
                      <w:szCs w:val="21"/>
                      <w:highlight w:val="none"/>
                      <w:lang w:val="en-US" w:eastAsia="zh-CN"/>
                    </w:rPr>
                    <w:t>本期新建10kV接地变消弧线圈成套装置，</w:t>
                  </w:r>
                  <w:r>
                    <w:rPr>
                      <w:rFonts w:hint="default"/>
                      <w:color w:val="auto"/>
                      <w:szCs w:val="21"/>
                      <w:highlight w:val="none"/>
                      <w:lang w:val="en-US" w:eastAsia="zh-CN"/>
                    </w:rPr>
                    <w:t>接地变兼</w:t>
                  </w:r>
                  <w:r>
                    <w:rPr>
                      <w:rFonts w:hint="eastAsia"/>
                      <w:color w:val="auto"/>
                      <w:szCs w:val="21"/>
                      <w:highlight w:val="none"/>
                      <w:lang w:val="en-US" w:eastAsia="zh-CN"/>
                    </w:rPr>
                    <w:t>作</w:t>
                  </w:r>
                  <w:r>
                    <w:rPr>
                      <w:rFonts w:hint="default"/>
                      <w:color w:val="auto"/>
                      <w:szCs w:val="21"/>
                      <w:highlight w:val="none"/>
                      <w:lang w:val="en-US" w:eastAsia="zh-CN"/>
                    </w:rPr>
                    <w:t>站用</w:t>
                  </w:r>
                  <w:r>
                    <w:rPr>
                      <w:rFonts w:hint="eastAsia"/>
                      <w:color w:val="auto"/>
                      <w:szCs w:val="21"/>
                      <w:highlight w:val="none"/>
                      <w:lang w:val="en-US" w:eastAsia="zh-CN"/>
                    </w:rPr>
                    <w:t>变（干式的），</w:t>
                  </w:r>
                  <w:r>
                    <w:rPr>
                      <w:rFonts w:hint="default"/>
                      <w:color w:val="auto"/>
                      <w:szCs w:val="21"/>
                      <w:highlight w:val="none"/>
                      <w:lang w:val="en-US" w:eastAsia="zh-CN"/>
                    </w:rPr>
                    <w:t>容量为800/10-200/0.4kVA，消弧线圈容量630kVA</w:t>
                  </w:r>
                  <w:r>
                    <w:rPr>
                      <w:rFonts w:hint="eastAsia"/>
                      <w:color w:val="auto"/>
                      <w:szCs w:val="21"/>
                      <w:highlight w:val="none"/>
                      <w:lang w:val="en-US" w:eastAsia="zh-CN"/>
                    </w:rPr>
                    <w:t>。</w:t>
                  </w:r>
                </w:p>
                <w:p w14:paraId="082F1C51">
                  <w:pPr>
                    <w:keepNext w:val="0"/>
                    <w:keepLines w:val="0"/>
                    <w:pageBreakBefore w:val="0"/>
                    <w:widowControl w:val="0"/>
                    <w:kinsoku/>
                    <w:wordWrap/>
                    <w:overflowPunct/>
                    <w:topLinePunct w:val="0"/>
                    <w:autoSpaceDE/>
                    <w:autoSpaceDN/>
                    <w:bidi w:val="0"/>
                    <w:adjustRightInd w:val="0"/>
                    <w:snapToGrid w:val="0"/>
                    <w:textAlignment w:val="auto"/>
                    <w:rPr>
                      <w:rFonts w:hint="default"/>
                      <w:bCs/>
                      <w:color w:val="auto"/>
                      <w:szCs w:val="21"/>
                      <w:highlight w:val="none"/>
                      <w:lang w:val="en-US"/>
                    </w:rPr>
                  </w:pPr>
                  <w:r>
                    <w:rPr>
                      <w:rFonts w:hint="default"/>
                      <w:color w:val="auto"/>
                      <w:szCs w:val="21"/>
                      <w:highlight w:val="none"/>
                    </w:rPr>
                    <w:fldChar w:fldCharType="begin"/>
                  </w:r>
                  <w:r>
                    <w:rPr>
                      <w:rFonts w:hint="default"/>
                      <w:color w:val="auto"/>
                      <w:szCs w:val="21"/>
                      <w:highlight w:val="none"/>
                    </w:rPr>
                    <w:instrText xml:space="preserve"> = 5 \* GB3 \* MERGEFORMAT </w:instrText>
                  </w:r>
                  <w:r>
                    <w:rPr>
                      <w:rFonts w:hint="default"/>
                      <w:color w:val="auto"/>
                      <w:szCs w:val="21"/>
                      <w:highlight w:val="none"/>
                    </w:rPr>
                    <w:fldChar w:fldCharType="separate"/>
                  </w:r>
                  <w:r>
                    <w:rPr>
                      <w:rFonts w:hint="default"/>
                      <w:color w:val="auto"/>
                      <w:szCs w:val="21"/>
                      <w:highlight w:val="none"/>
                    </w:rPr>
                    <w:t>⑤</w:t>
                  </w:r>
                  <w:r>
                    <w:rPr>
                      <w:rFonts w:hint="default"/>
                      <w:color w:val="auto"/>
                      <w:szCs w:val="21"/>
                      <w:highlight w:val="none"/>
                    </w:rPr>
                    <w:fldChar w:fldCharType="end"/>
                  </w:r>
                  <w:r>
                    <w:rPr>
                      <w:rFonts w:hint="default"/>
                      <w:color w:val="auto"/>
                      <w:szCs w:val="21"/>
                      <w:highlight w:val="none"/>
                      <w:lang w:val="en-US" w:eastAsia="zh-CN"/>
                    </w:rPr>
                    <w:t>进站道路：引接至站区南侧村道，引接道路长度</w:t>
                  </w:r>
                  <w:r>
                    <w:rPr>
                      <w:rFonts w:hint="eastAsia"/>
                      <w:color w:val="auto"/>
                      <w:szCs w:val="21"/>
                      <w:highlight w:val="none"/>
                      <w:lang w:val="en-US" w:eastAsia="zh-CN"/>
                    </w:rPr>
                    <w:t>约80</w:t>
                  </w:r>
                  <w:r>
                    <w:rPr>
                      <w:rFonts w:hint="default"/>
                      <w:color w:val="auto"/>
                      <w:szCs w:val="21"/>
                      <w:highlight w:val="none"/>
                      <w:lang w:val="en-US" w:eastAsia="zh-CN"/>
                    </w:rPr>
                    <w:t>m。</w:t>
                  </w:r>
                </w:p>
              </w:tc>
            </w:tr>
            <w:tr w14:paraId="5F5B0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514E95F2">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公用工程</w:t>
                  </w:r>
                </w:p>
              </w:tc>
              <w:tc>
                <w:tcPr>
                  <w:tcW w:w="6598" w:type="dxa"/>
                  <w:vAlign w:val="center"/>
                </w:tcPr>
                <w:p w14:paraId="4EDB4964">
                  <w:pPr>
                    <w:keepNext w:val="0"/>
                    <w:keepLines w:val="0"/>
                    <w:pageBreakBefore w:val="0"/>
                    <w:widowControl w:val="0"/>
                    <w:kinsoku/>
                    <w:wordWrap/>
                    <w:overflowPunct/>
                    <w:topLinePunct w:val="0"/>
                    <w:autoSpaceDE/>
                    <w:autoSpaceDN/>
                    <w:bidi w:val="0"/>
                    <w:adjustRightInd w:val="0"/>
                    <w:snapToGrid w:val="0"/>
                    <w:jc w:val="left"/>
                    <w:textAlignment w:val="auto"/>
                    <w:rPr>
                      <w:bCs/>
                      <w:color w:val="auto"/>
                      <w:szCs w:val="21"/>
                      <w:highlight w:val="none"/>
                    </w:rPr>
                  </w:pPr>
                  <w:r>
                    <w:rPr>
                      <w:bCs/>
                      <w:color w:val="auto"/>
                      <w:szCs w:val="21"/>
                      <w:highlight w:val="none"/>
                    </w:rPr>
                    <w:t>①变电站给水：</w:t>
                  </w:r>
                  <w:r>
                    <w:rPr>
                      <w:rFonts w:hint="eastAsia"/>
                      <w:bCs/>
                      <w:color w:val="auto"/>
                      <w:szCs w:val="21"/>
                      <w:highlight w:val="none"/>
                      <w:lang w:val="en-US" w:eastAsia="zh-CN"/>
                    </w:rPr>
                    <w:t>站区生活给水及施工用水引接赵北孝村自来水给水管网，站外供水管长度约200m</w:t>
                  </w:r>
                  <w:r>
                    <w:rPr>
                      <w:bCs/>
                      <w:color w:val="auto"/>
                      <w:szCs w:val="21"/>
                      <w:highlight w:val="none"/>
                    </w:rPr>
                    <w:t>。</w:t>
                  </w:r>
                </w:p>
                <w:p w14:paraId="4EA1478D">
                  <w:pPr>
                    <w:keepNext w:val="0"/>
                    <w:keepLines w:val="0"/>
                    <w:pageBreakBefore w:val="0"/>
                    <w:widowControl w:val="0"/>
                    <w:kinsoku/>
                    <w:wordWrap/>
                    <w:overflowPunct/>
                    <w:topLinePunct w:val="0"/>
                    <w:autoSpaceDE/>
                    <w:autoSpaceDN/>
                    <w:bidi w:val="0"/>
                    <w:adjustRightInd w:val="0"/>
                    <w:snapToGrid w:val="0"/>
                    <w:textAlignment w:val="auto"/>
                    <w:rPr>
                      <w:color w:val="auto"/>
                      <w:kern w:val="0"/>
                      <w:szCs w:val="21"/>
                      <w:highlight w:val="none"/>
                      <w:lang w:bidi="ar"/>
                    </w:rPr>
                  </w:pPr>
                  <w:r>
                    <w:rPr>
                      <w:bCs/>
                      <w:color w:val="auto"/>
                      <w:szCs w:val="21"/>
                      <w:highlight w:val="none"/>
                    </w:rPr>
                    <w:t>②变电站排水：</w:t>
                  </w:r>
                  <w:r>
                    <w:rPr>
                      <w:rFonts w:hint="eastAsia"/>
                      <w:bCs/>
                      <w:color w:val="auto"/>
                      <w:szCs w:val="21"/>
                      <w:highlight w:val="none"/>
                    </w:rPr>
                    <w:t>站</w:t>
                  </w:r>
                  <w:r>
                    <w:rPr>
                      <w:rFonts w:hint="eastAsia"/>
                      <w:bCs/>
                      <w:color w:val="auto"/>
                      <w:szCs w:val="21"/>
                      <w:highlight w:val="none"/>
                      <w:lang w:val="en-US" w:eastAsia="zh-CN"/>
                    </w:rPr>
                    <w:t>区</w:t>
                  </w:r>
                  <w:r>
                    <w:rPr>
                      <w:rFonts w:hint="eastAsia"/>
                      <w:bCs/>
                      <w:color w:val="auto"/>
                      <w:szCs w:val="21"/>
                      <w:highlight w:val="none"/>
                    </w:rPr>
                    <w:t>雨水</w:t>
                  </w:r>
                  <w:r>
                    <w:rPr>
                      <w:rFonts w:hint="eastAsia"/>
                      <w:bCs/>
                      <w:color w:val="auto"/>
                      <w:szCs w:val="21"/>
                      <w:highlight w:val="none"/>
                      <w:lang w:val="en-US" w:eastAsia="zh-CN"/>
                    </w:rPr>
                    <w:t>经站内外雨水排水管排至站外排水沟，站外排水管长度约50m；</w:t>
                  </w:r>
                  <w:r>
                    <w:rPr>
                      <w:rFonts w:hint="eastAsia"/>
                      <w:bCs/>
                      <w:color w:val="auto"/>
                      <w:szCs w:val="21"/>
                      <w:highlight w:val="none"/>
                    </w:rPr>
                    <w:t>生活污水</w:t>
                  </w:r>
                  <w:r>
                    <w:rPr>
                      <w:rFonts w:hint="eastAsia"/>
                      <w:color w:val="auto"/>
                      <w:kern w:val="0"/>
                      <w:szCs w:val="21"/>
                      <w:highlight w:val="none"/>
                      <w:lang w:bidi="ar"/>
                    </w:rPr>
                    <w:t>经化粪池处理后</w:t>
                  </w:r>
                  <w:r>
                    <w:rPr>
                      <w:rFonts w:hint="eastAsia"/>
                      <w:color w:val="auto"/>
                      <w:kern w:val="0"/>
                      <w:szCs w:val="21"/>
                      <w:highlight w:val="none"/>
                      <w:lang w:val="en-US" w:eastAsia="zh-CN" w:bidi="ar"/>
                    </w:rPr>
                    <w:t>定期清掏，不外排</w:t>
                  </w:r>
                  <w:r>
                    <w:rPr>
                      <w:color w:val="auto"/>
                      <w:kern w:val="0"/>
                      <w:szCs w:val="21"/>
                      <w:highlight w:val="none"/>
                      <w:lang w:bidi="ar"/>
                    </w:rPr>
                    <w:t>。</w:t>
                  </w:r>
                </w:p>
                <w:p w14:paraId="5495EC31">
                  <w:pPr>
                    <w:keepNext w:val="0"/>
                    <w:keepLines w:val="0"/>
                    <w:pageBreakBefore w:val="0"/>
                    <w:widowControl w:val="0"/>
                    <w:kinsoku/>
                    <w:wordWrap/>
                    <w:overflowPunct/>
                    <w:topLinePunct w:val="0"/>
                    <w:autoSpaceDE/>
                    <w:autoSpaceDN/>
                    <w:bidi w:val="0"/>
                    <w:adjustRightInd w:val="0"/>
                    <w:snapToGrid w:val="0"/>
                    <w:textAlignment w:val="auto"/>
                    <w:rPr>
                      <w:color w:val="auto"/>
                      <w:szCs w:val="21"/>
                      <w:highlight w:val="none"/>
                    </w:rPr>
                  </w:pPr>
                  <w:r>
                    <w:rPr>
                      <w:rFonts w:hint="eastAsia"/>
                      <w:color w:val="auto"/>
                      <w:szCs w:val="21"/>
                      <w:highlight w:val="none"/>
                      <w:lang w:val="en-US" w:eastAsia="zh-CN"/>
                    </w:rPr>
                    <w:t>③</w:t>
                  </w:r>
                  <w:r>
                    <w:rPr>
                      <w:color w:val="auto"/>
                      <w:szCs w:val="21"/>
                      <w:highlight w:val="none"/>
                    </w:rPr>
                    <w:t>变电站采暖：</w:t>
                  </w:r>
                  <w:r>
                    <w:rPr>
                      <w:rFonts w:hint="eastAsia"/>
                      <w:color w:val="auto"/>
                      <w:szCs w:val="21"/>
                      <w:highlight w:val="none"/>
                      <w:lang w:val="en-US" w:eastAsia="zh-CN"/>
                    </w:rPr>
                    <w:t>二次设备室采用双制式空调结合对流壁挂式电暖器采暖，35kV/10kV配电室采用对流壁挂式电暖气采暖，一体化辅助用房采用电暖气采暖</w:t>
                  </w:r>
                  <w:r>
                    <w:rPr>
                      <w:color w:val="auto"/>
                      <w:szCs w:val="21"/>
                      <w:highlight w:val="none"/>
                    </w:rPr>
                    <w:t>。</w:t>
                  </w:r>
                </w:p>
                <w:p w14:paraId="44B4DF5B">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szCs w:val="21"/>
                      <w:highlight w:val="none"/>
                    </w:rPr>
                  </w:pPr>
                  <w:r>
                    <w:rPr>
                      <w:rFonts w:hint="eastAsia"/>
                      <w:color w:val="auto"/>
                      <w:szCs w:val="21"/>
                      <w:highlight w:val="none"/>
                      <w:lang w:val="en-US" w:eastAsia="zh-CN"/>
                    </w:rPr>
                    <w:t>④</w:t>
                  </w:r>
                  <w:r>
                    <w:rPr>
                      <w:color w:val="auto"/>
                      <w:szCs w:val="21"/>
                      <w:highlight w:val="none"/>
                    </w:rPr>
                    <w:t>变电站通风：</w:t>
                  </w:r>
                  <w:r>
                    <w:rPr>
                      <w:rFonts w:hint="eastAsia"/>
                      <w:color w:val="auto"/>
                      <w:szCs w:val="21"/>
                      <w:highlight w:val="none"/>
                      <w:lang w:val="en-US" w:eastAsia="zh-CN"/>
                    </w:rPr>
                    <w:t>35kV/10kV配电室</w:t>
                  </w:r>
                  <w:r>
                    <w:rPr>
                      <w:rFonts w:hint="eastAsia"/>
                      <w:color w:val="auto"/>
                      <w:szCs w:val="21"/>
                      <w:highlight w:val="none"/>
                    </w:rPr>
                    <w:t>采用机械排风</w:t>
                  </w:r>
                  <w:r>
                    <w:rPr>
                      <w:rFonts w:hint="eastAsia"/>
                      <w:color w:val="auto"/>
                      <w:szCs w:val="21"/>
                      <w:highlight w:val="none"/>
                      <w:lang w:eastAsia="zh-CN"/>
                    </w:rPr>
                    <w:t>，</w:t>
                  </w:r>
                  <w:r>
                    <w:rPr>
                      <w:rFonts w:hint="eastAsia"/>
                      <w:color w:val="auto"/>
                      <w:szCs w:val="21"/>
                      <w:highlight w:val="none"/>
                    </w:rPr>
                    <w:t>二次设备室</w:t>
                  </w:r>
                  <w:r>
                    <w:rPr>
                      <w:rFonts w:hint="eastAsia"/>
                      <w:color w:val="auto"/>
                      <w:szCs w:val="21"/>
                      <w:highlight w:val="none"/>
                      <w:lang w:val="en-US" w:eastAsia="zh-CN"/>
                    </w:rPr>
                    <w:t>和一体化辅助用房</w:t>
                  </w:r>
                  <w:r>
                    <w:rPr>
                      <w:rFonts w:hint="eastAsia"/>
                      <w:color w:val="auto"/>
                      <w:szCs w:val="21"/>
                      <w:highlight w:val="none"/>
                    </w:rPr>
                    <w:t>采用自然通风。</w:t>
                  </w:r>
                </w:p>
                <w:p w14:paraId="26AD949B">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rPr>
                  </w:pPr>
                  <w:r>
                    <w:rPr>
                      <w:rFonts w:hint="eastAsia"/>
                      <w:color w:val="auto"/>
                      <w:szCs w:val="21"/>
                      <w:highlight w:val="none"/>
                      <w:lang w:val="en-US" w:eastAsia="zh-CN"/>
                    </w:rPr>
                    <w:t>⑤消防：</w:t>
                  </w:r>
                  <w:r>
                    <w:rPr>
                      <w:color w:val="auto"/>
                      <w:szCs w:val="21"/>
                      <w:highlight w:val="none"/>
                    </w:rPr>
                    <w:t>主变压器采用化学灭火，配备50kg推车式干粉灭火器</w:t>
                  </w:r>
                  <w:r>
                    <w:rPr>
                      <w:rFonts w:hint="eastAsia"/>
                      <w:color w:val="auto"/>
                      <w:szCs w:val="21"/>
                      <w:highlight w:val="none"/>
                      <w:lang w:val="en-US" w:eastAsia="zh-CN"/>
                    </w:rPr>
                    <w:t>2</w:t>
                  </w:r>
                  <w:r>
                    <w:rPr>
                      <w:color w:val="auto"/>
                      <w:szCs w:val="21"/>
                      <w:highlight w:val="none"/>
                    </w:rPr>
                    <w:t>台</w:t>
                  </w:r>
                  <w:r>
                    <w:rPr>
                      <w:rFonts w:hint="eastAsia"/>
                      <w:color w:val="auto"/>
                      <w:szCs w:val="21"/>
                      <w:highlight w:val="none"/>
                      <w:lang w:eastAsia="zh-CN"/>
                    </w:rPr>
                    <w:t>，</w:t>
                  </w:r>
                  <w:r>
                    <w:rPr>
                      <w:color w:val="auto"/>
                      <w:szCs w:val="21"/>
                      <w:highlight w:val="none"/>
                    </w:rPr>
                    <w:t>主变附近设置</w:t>
                  </w:r>
                  <w:r>
                    <w:rPr>
                      <w:rFonts w:hint="eastAsia"/>
                      <w:color w:val="auto"/>
                      <w:szCs w:val="21"/>
                      <w:highlight w:val="none"/>
                      <w:lang w:val="en-US" w:eastAsia="zh-CN"/>
                    </w:rPr>
                    <w:t>2</w:t>
                  </w:r>
                  <w:r>
                    <w:rPr>
                      <w:color w:val="auto"/>
                      <w:szCs w:val="21"/>
                      <w:highlight w:val="none"/>
                    </w:rPr>
                    <w:t>个消防器材柜、</w:t>
                  </w:r>
                  <w:r>
                    <w:rPr>
                      <w:rFonts w:hint="eastAsia"/>
                      <w:color w:val="auto"/>
                      <w:szCs w:val="21"/>
                      <w:highlight w:val="none"/>
                      <w:lang w:val="en-US" w:eastAsia="zh-CN"/>
                    </w:rPr>
                    <w:t>2</w:t>
                  </w:r>
                  <w:r>
                    <w:rPr>
                      <w:color w:val="auto"/>
                      <w:szCs w:val="21"/>
                      <w:highlight w:val="none"/>
                    </w:rPr>
                    <w:t>个消防沙箱</w:t>
                  </w:r>
                  <w:r>
                    <w:rPr>
                      <w:rFonts w:hint="eastAsia"/>
                      <w:color w:val="auto"/>
                      <w:szCs w:val="21"/>
                      <w:highlight w:val="none"/>
                      <w:lang w:eastAsia="zh-CN"/>
                    </w:rPr>
                    <w:t>；</w:t>
                  </w:r>
                  <w:r>
                    <w:rPr>
                      <w:rFonts w:hint="eastAsia"/>
                      <w:color w:val="auto"/>
                      <w:szCs w:val="21"/>
                      <w:highlight w:val="none"/>
                      <w:lang w:val="en-US" w:eastAsia="zh-CN"/>
                    </w:rPr>
                    <w:t>35kV/10kV配电室</w:t>
                  </w:r>
                  <w:r>
                    <w:rPr>
                      <w:rFonts w:hint="eastAsia"/>
                      <w:color w:val="auto"/>
                      <w:szCs w:val="21"/>
                      <w:highlight w:val="none"/>
                    </w:rPr>
                    <w:t>、二次设备室</w:t>
                  </w:r>
                  <w:r>
                    <w:rPr>
                      <w:rFonts w:hint="eastAsia"/>
                      <w:color w:val="auto"/>
                      <w:szCs w:val="21"/>
                      <w:highlight w:val="none"/>
                      <w:lang w:eastAsia="zh-CN"/>
                    </w:rPr>
                    <w:t>、</w:t>
                  </w:r>
                  <w:r>
                    <w:rPr>
                      <w:rFonts w:hint="eastAsia"/>
                      <w:color w:val="auto"/>
                      <w:szCs w:val="21"/>
                      <w:highlight w:val="none"/>
                      <w:lang w:val="en-US" w:eastAsia="zh-CN"/>
                    </w:rPr>
                    <w:t>电容器场地、接地变场地、110kV设备区</w:t>
                  </w:r>
                  <w:r>
                    <w:rPr>
                      <w:rFonts w:hint="eastAsia"/>
                      <w:color w:val="auto"/>
                      <w:szCs w:val="21"/>
                      <w:highlight w:val="none"/>
                    </w:rPr>
                    <w:t>等场所均设置手提式干粉灭火器。</w:t>
                  </w:r>
                </w:p>
                <w:p w14:paraId="4AF126DD">
                  <w:pPr>
                    <w:keepNext w:val="0"/>
                    <w:keepLines w:val="0"/>
                    <w:pageBreakBefore w:val="0"/>
                    <w:widowControl w:val="0"/>
                    <w:kinsoku/>
                    <w:wordWrap/>
                    <w:overflowPunct/>
                    <w:topLinePunct w:val="0"/>
                    <w:autoSpaceDE/>
                    <w:autoSpaceDN/>
                    <w:bidi w:val="0"/>
                    <w:adjustRightInd w:val="0"/>
                    <w:snapToGrid w:val="0"/>
                    <w:textAlignment w:val="auto"/>
                    <w:rPr>
                      <w:bCs/>
                      <w:color w:val="auto"/>
                      <w:szCs w:val="21"/>
                      <w:highlight w:val="none"/>
                    </w:rPr>
                  </w:pPr>
                  <w:r>
                    <w:rPr>
                      <w:rFonts w:hint="eastAsia"/>
                      <w:color w:val="auto"/>
                      <w:szCs w:val="21"/>
                      <w:highlight w:val="none"/>
                      <w:lang w:val="en-US" w:eastAsia="zh-CN"/>
                    </w:rPr>
                    <w:t>⑥施工</w:t>
                  </w:r>
                  <w:r>
                    <w:rPr>
                      <w:rFonts w:hint="default"/>
                      <w:color w:val="auto"/>
                      <w:szCs w:val="21"/>
                      <w:highlight w:val="none"/>
                      <w:lang w:val="en-US" w:eastAsia="zh-CN"/>
                    </w:rPr>
                    <w:t>电源：施工电源拟从张程变站址西侧约200m杨河变513张程线咸家湾四组公变引接，向北</w:t>
                  </w:r>
                  <w:r>
                    <w:rPr>
                      <w:rFonts w:hint="eastAsia"/>
                      <w:color w:val="auto"/>
                      <w:szCs w:val="21"/>
                      <w:highlight w:val="none"/>
                      <w:lang w:val="en-US" w:eastAsia="zh-CN"/>
                    </w:rPr>
                    <w:t>向东</w:t>
                  </w:r>
                  <w:r>
                    <w:rPr>
                      <w:rFonts w:hint="default"/>
                      <w:color w:val="auto"/>
                      <w:szCs w:val="21"/>
                      <w:highlight w:val="none"/>
                      <w:lang w:val="en-US" w:eastAsia="zh-CN"/>
                    </w:rPr>
                    <w:t>新建10kV架空线路约</w:t>
                  </w:r>
                  <w:r>
                    <w:rPr>
                      <w:rFonts w:hint="eastAsia"/>
                      <w:color w:val="auto"/>
                      <w:szCs w:val="21"/>
                      <w:highlight w:val="none"/>
                      <w:lang w:val="en-US" w:eastAsia="zh-CN"/>
                    </w:rPr>
                    <w:t>626m</w:t>
                  </w:r>
                  <w:r>
                    <w:rPr>
                      <w:rFonts w:hint="default"/>
                      <w:color w:val="auto"/>
                      <w:szCs w:val="21"/>
                      <w:highlight w:val="none"/>
                      <w:lang w:val="en-US" w:eastAsia="zh-CN"/>
                    </w:rPr>
                    <w:t>，导线采用JKLYJ-10-</w:t>
                  </w:r>
                  <w:r>
                    <w:rPr>
                      <w:rFonts w:hint="eastAsia"/>
                      <w:color w:val="auto"/>
                      <w:szCs w:val="21"/>
                      <w:highlight w:val="none"/>
                      <w:lang w:val="en-US" w:eastAsia="zh-CN"/>
                    </w:rPr>
                    <w:t>70型</w:t>
                  </w:r>
                  <w:r>
                    <w:rPr>
                      <w:rFonts w:hint="default"/>
                      <w:color w:val="auto"/>
                      <w:szCs w:val="21"/>
                      <w:highlight w:val="none"/>
                      <w:lang w:val="en-US" w:eastAsia="zh-CN"/>
                    </w:rPr>
                    <w:t>，新建</w:t>
                  </w:r>
                  <w:r>
                    <w:rPr>
                      <w:rFonts w:hint="eastAsia"/>
                      <w:color w:val="auto"/>
                      <w:szCs w:val="21"/>
                      <w:highlight w:val="none"/>
                      <w:lang w:val="en-US" w:eastAsia="zh-CN"/>
                    </w:rPr>
                    <w:t>12m</w:t>
                  </w:r>
                  <w:r>
                    <w:rPr>
                      <w:rFonts w:hint="default"/>
                      <w:color w:val="auto"/>
                      <w:szCs w:val="21"/>
                      <w:highlight w:val="none"/>
                      <w:lang w:val="en-US" w:eastAsia="zh-CN"/>
                    </w:rPr>
                    <w:t>水泥杆</w:t>
                  </w:r>
                  <w:r>
                    <w:rPr>
                      <w:rFonts w:hint="eastAsia"/>
                      <w:color w:val="auto"/>
                      <w:szCs w:val="21"/>
                      <w:highlight w:val="none"/>
                      <w:lang w:val="en-US" w:eastAsia="zh-CN"/>
                    </w:rPr>
                    <w:t>共16</w:t>
                  </w:r>
                  <w:r>
                    <w:rPr>
                      <w:rFonts w:hint="default"/>
                      <w:color w:val="auto"/>
                      <w:szCs w:val="21"/>
                      <w:highlight w:val="none"/>
                      <w:lang w:val="en-US" w:eastAsia="zh-CN"/>
                    </w:rPr>
                    <w:t>基，新建</w:t>
                  </w:r>
                  <w:r>
                    <w:rPr>
                      <w:rFonts w:hint="eastAsia"/>
                      <w:color w:val="auto"/>
                      <w:szCs w:val="21"/>
                      <w:highlight w:val="none"/>
                      <w:lang w:val="en-US" w:eastAsia="zh-CN"/>
                    </w:rPr>
                    <w:t>柱上变压器</w:t>
                  </w:r>
                  <w:r>
                    <w:rPr>
                      <w:rFonts w:hint="default"/>
                      <w:color w:val="auto"/>
                      <w:szCs w:val="21"/>
                      <w:highlight w:val="none"/>
                      <w:lang w:val="en-US" w:eastAsia="zh-CN"/>
                    </w:rPr>
                    <w:t>（容量200kVA）1座。待施工完毕后拆除</w:t>
                  </w:r>
                  <w:r>
                    <w:rPr>
                      <w:rFonts w:hint="eastAsia"/>
                      <w:color w:val="auto"/>
                      <w:szCs w:val="21"/>
                      <w:highlight w:val="none"/>
                      <w:lang w:val="en-US" w:eastAsia="zh-CN"/>
                    </w:rPr>
                    <w:t>，不作为备用电源</w:t>
                  </w:r>
                  <w:r>
                    <w:rPr>
                      <w:rFonts w:hint="default"/>
                      <w:color w:val="auto"/>
                      <w:szCs w:val="21"/>
                      <w:highlight w:val="none"/>
                      <w:lang w:val="en-US" w:eastAsia="zh-CN"/>
                    </w:rPr>
                    <w:t>。</w:t>
                  </w:r>
                </w:p>
              </w:tc>
            </w:tr>
            <w:tr w14:paraId="42FF3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11B01359">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环保工程</w:t>
                  </w:r>
                </w:p>
              </w:tc>
              <w:tc>
                <w:tcPr>
                  <w:tcW w:w="6598" w:type="dxa"/>
                  <w:vAlign w:val="center"/>
                </w:tcPr>
                <w:p w14:paraId="41DEDC7E">
                  <w:pPr>
                    <w:keepNext w:val="0"/>
                    <w:keepLines w:val="0"/>
                    <w:pageBreakBefore w:val="0"/>
                    <w:widowControl w:val="0"/>
                    <w:kinsoku/>
                    <w:wordWrap/>
                    <w:overflowPunct/>
                    <w:topLinePunct w:val="0"/>
                    <w:autoSpaceDE/>
                    <w:autoSpaceDN/>
                    <w:bidi w:val="0"/>
                    <w:adjustRightInd w:val="0"/>
                    <w:snapToGrid w:val="0"/>
                    <w:jc w:val="left"/>
                    <w:textAlignment w:val="auto"/>
                    <w:rPr>
                      <w:color w:val="auto"/>
                      <w:szCs w:val="21"/>
                      <w:highlight w:val="none"/>
                    </w:rPr>
                  </w:pPr>
                  <w:r>
                    <w:rPr>
                      <w:b/>
                      <w:bCs/>
                      <w:color w:val="auto"/>
                      <w:szCs w:val="21"/>
                      <w:highlight w:val="none"/>
                    </w:rPr>
                    <w:t>施工期</w:t>
                  </w:r>
                  <w:r>
                    <w:rPr>
                      <w:color w:val="auto"/>
                      <w:szCs w:val="21"/>
                      <w:highlight w:val="none"/>
                    </w:rPr>
                    <w:t>：</w:t>
                  </w:r>
                </w:p>
                <w:p w14:paraId="52586417">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fldChar w:fldCharType="begin"/>
                  </w:r>
                  <w:r>
                    <w:rPr>
                      <w:rFonts w:hint="eastAsia"/>
                      <w:color w:val="auto"/>
                      <w:szCs w:val="21"/>
                      <w:highlight w:val="none"/>
                      <w:lang w:val="en-US" w:eastAsia="zh-CN"/>
                    </w:rPr>
                    <w:instrText xml:space="preserve"> = 1 \* GB3 \* MERGEFORMAT </w:instrText>
                  </w:r>
                  <w:r>
                    <w:rPr>
                      <w:rFonts w:hint="eastAsia"/>
                      <w:color w:val="auto"/>
                      <w:szCs w:val="21"/>
                      <w:highlight w:val="none"/>
                      <w:lang w:val="en-US" w:eastAsia="zh-CN"/>
                    </w:rPr>
                    <w:fldChar w:fldCharType="separate"/>
                  </w:r>
                  <w:r>
                    <w:rPr>
                      <w:rFonts w:hint="eastAsia"/>
                      <w:color w:val="auto"/>
                      <w:szCs w:val="21"/>
                      <w:highlight w:val="none"/>
                      <w:lang w:val="en-US" w:eastAsia="zh-CN"/>
                    </w:rPr>
                    <w:t>①</w:t>
                  </w:r>
                  <w:r>
                    <w:rPr>
                      <w:rFonts w:hint="eastAsia"/>
                      <w:color w:val="auto"/>
                      <w:szCs w:val="21"/>
                      <w:highlight w:val="none"/>
                      <w:lang w:val="en-US" w:eastAsia="zh-CN"/>
                    </w:rPr>
                    <w:fldChar w:fldCharType="end"/>
                  </w:r>
                  <w:r>
                    <w:rPr>
                      <w:rFonts w:hint="eastAsia"/>
                      <w:color w:val="auto"/>
                      <w:szCs w:val="21"/>
                      <w:highlight w:val="none"/>
                      <w:lang w:val="en-US" w:eastAsia="zh-CN"/>
                    </w:rPr>
                    <w:t>扬尘：变电站设置施工围挡，项目采取洒水抑尘，土方苫盖、运输车辆苫盖等措施。</w:t>
                  </w:r>
                </w:p>
                <w:p w14:paraId="64B837E0">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fldChar w:fldCharType="begin"/>
                  </w:r>
                  <w:r>
                    <w:rPr>
                      <w:rFonts w:hint="eastAsia"/>
                      <w:color w:val="auto"/>
                      <w:szCs w:val="21"/>
                      <w:highlight w:val="none"/>
                      <w:lang w:val="en-US" w:eastAsia="zh-CN"/>
                    </w:rPr>
                    <w:instrText xml:space="preserve"> = 2 \* GB3 \* MERGEFORMAT </w:instrText>
                  </w:r>
                  <w:r>
                    <w:rPr>
                      <w:rFonts w:hint="eastAsia"/>
                      <w:color w:val="auto"/>
                      <w:szCs w:val="21"/>
                      <w:highlight w:val="none"/>
                      <w:lang w:val="en-US" w:eastAsia="zh-CN"/>
                    </w:rPr>
                    <w:fldChar w:fldCharType="separate"/>
                  </w:r>
                  <w:r>
                    <w:rPr>
                      <w:rFonts w:hint="eastAsia"/>
                      <w:color w:val="auto"/>
                      <w:szCs w:val="21"/>
                      <w:highlight w:val="none"/>
                      <w:lang w:val="en-US" w:eastAsia="zh-CN"/>
                    </w:rPr>
                    <w:t>②</w:t>
                  </w:r>
                  <w:r>
                    <w:rPr>
                      <w:rFonts w:hint="eastAsia"/>
                      <w:color w:val="auto"/>
                      <w:szCs w:val="21"/>
                      <w:highlight w:val="none"/>
                      <w:lang w:val="en-US" w:eastAsia="zh-CN"/>
                    </w:rPr>
                    <w:fldChar w:fldCharType="end"/>
                  </w:r>
                  <w:r>
                    <w:rPr>
                      <w:rFonts w:hint="eastAsia"/>
                      <w:color w:val="auto"/>
                      <w:szCs w:val="21"/>
                      <w:highlight w:val="none"/>
                      <w:lang w:val="en-US" w:eastAsia="zh-CN"/>
                    </w:rPr>
                    <w:t>污水：项目均采用商品混凝土，不产生施工废水；</w:t>
                  </w:r>
                  <w:r>
                    <w:rPr>
                      <w:rFonts w:hint="eastAsia" w:cs="Times New Roman"/>
                      <w:color w:val="auto"/>
                      <w:spacing w:val="0"/>
                      <w:w w:val="100"/>
                      <w:position w:val="0"/>
                      <w:sz w:val="21"/>
                      <w:szCs w:val="21"/>
                      <w:highlight w:val="none"/>
                      <w:lang w:val="en-US" w:eastAsia="zh-CN"/>
                    </w:rPr>
                    <w:t>施工营地</w:t>
                  </w:r>
                  <w:r>
                    <w:rPr>
                      <w:rFonts w:hint="default" w:ascii="Times New Roman" w:hAnsi="Times New Roman" w:eastAsia="宋体" w:cs="Times New Roman"/>
                      <w:color w:val="auto"/>
                      <w:spacing w:val="0"/>
                      <w:w w:val="100"/>
                      <w:position w:val="0"/>
                      <w:sz w:val="21"/>
                      <w:szCs w:val="21"/>
                      <w:highlight w:val="none"/>
                    </w:rPr>
                    <w:t>施工人员</w:t>
                  </w:r>
                  <w:r>
                    <w:rPr>
                      <w:rFonts w:hint="eastAsia" w:cs="Times New Roman"/>
                      <w:color w:val="auto"/>
                      <w:spacing w:val="0"/>
                      <w:w w:val="100"/>
                      <w:position w:val="0"/>
                      <w:sz w:val="21"/>
                      <w:szCs w:val="21"/>
                      <w:highlight w:val="none"/>
                      <w:lang w:val="en-US" w:eastAsia="zh-CN"/>
                    </w:rPr>
                    <w:t>产生的生活污水经化粪池处理后定期清掏，不外排</w:t>
                  </w:r>
                  <w:r>
                    <w:rPr>
                      <w:rFonts w:hint="eastAsia"/>
                      <w:color w:val="auto"/>
                      <w:szCs w:val="21"/>
                      <w:highlight w:val="none"/>
                      <w:lang w:val="en-US" w:eastAsia="zh-CN"/>
                    </w:rPr>
                    <w:t>。</w:t>
                  </w:r>
                </w:p>
                <w:p w14:paraId="623E2E15">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fldChar w:fldCharType="begin"/>
                  </w:r>
                  <w:r>
                    <w:rPr>
                      <w:rFonts w:hint="eastAsia"/>
                      <w:color w:val="auto"/>
                      <w:szCs w:val="21"/>
                      <w:highlight w:val="none"/>
                      <w:lang w:val="en-US" w:eastAsia="zh-CN"/>
                    </w:rPr>
                    <w:instrText xml:space="preserve"> = 3 \* GB3 \* MERGEFORMAT </w:instrText>
                  </w:r>
                  <w:r>
                    <w:rPr>
                      <w:rFonts w:hint="eastAsia"/>
                      <w:color w:val="auto"/>
                      <w:szCs w:val="21"/>
                      <w:highlight w:val="none"/>
                      <w:lang w:val="en-US" w:eastAsia="zh-CN"/>
                    </w:rPr>
                    <w:fldChar w:fldCharType="separate"/>
                  </w:r>
                  <w:r>
                    <w:rPr>
                      <w:rFonts w:hint="eastAsia"/>
                      <w:color w:val="auto"/>
                      <w:szCs w:val="21"/>
                      <w:highlight w:val="none"/>
                      <w:lang w:val="en-US" w:eastAsia="zh-CN"/>
                    </w:rPr>
                    <w:t>③</w:t>
                  </w:r>
                  <w:r>
                    <w:rPr>
                      <w:rFonts w:hint="eastAsia"/>
                      <w:color w:val="auto"/>
                      <w:szCs w:val="21"/>
                      <w:highlight w:val="none"/>
                      <w:lang w:val="en-US" w:eastAsia="zh-CN"/>
                    </w:rPr>
                    <w:fldChar w:fldCharType="end"/>
                  </w:r>
                  <w:r>
                    <w:rPr>
                      <w:rFonts w:hint="eastAsia"/>
                      <w:color w:val="auto"/>
                      <w:szCs w:val="21"/>
                      <w:highlight w:val="none"/>
                      <w:lang w:val="en-US" w:eastAsia="zh-CN"/>
                    </w:rPr>
                    <w:t>噪声：变电站设置施工围挡，项目选用低噪声设备，加强设备保养。</w:t>
                  </w:r>
                </w:p>
                <w:p w14:paraId="2DF8DA27">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fldChar w:fldCharType="begin"/>
                  </w:r>
                  <w:r>
                    <w:rPr>
                      <w:rFonts w:hint="eastAsia"/>
                      <w:color w:val="auto"/>
                      <w:szCs w:val="21"/>
                      <w:highlight w:val="none"/>
                      <w:lang w:val="en-US" w:eastAsia="zh-CN"/>
                    </w:rPr>
                    <w:instrText xml:space="preserve"> = 4 \* GB3 \* MERGEFORMAT </w:instrText>
                  </w:r>
                  <w:r>
                    <w:rPr>
                      <w:rFonts w:hint="eastAsia"/>
                      <w:color w:val="auto"/>
                      <w:szCs w:val="21"/>
                      <w:highlight w:val="none"/>
                      <w:lang w:val="en-US" w:eastAsia="zh-CN"/>
                    </w:rPr>
                    <w:fldChar w:fldCharType="separate"/>
                  </w:r>
                  <w:r>
                    <w:rPr>
                      <w:rFonts w:hint="eastAsia"/>
                      <w:color w:val="auto"/>
                      <w:szCs w:val="21"/>
                      <w:highlight w:val="none"/>
                      <w:lang w:val="en-US" w:eastAsia="zh-CN"/>
                    </w:rPr>
                    <w:t>④</w:t>
                  </w:r>
                  <w:r>
                    <w:rPr>
                      <w:rFonts w:hint="eastAsia"/>
                      <w:color w:val="auto"/>
                      <w:szCs w:val="21"/>
                      <w:highlight w:val="none"/>
                      <w:lang w:val="en-US" w:eastAsia="zh-CN"/>
                    </w:rPr>
                    <w:fldChar w:fldCharType="end"/>
                  </w:r>
                  <w:r>
                    <w:rPr>
                      <w:rFonts w:hint="eastAsia"/>
                      <w:color w:val="auto"/>
                      <w:szCs w:val="21"/>
                      <w:highlight w:val="none"/>
                      <w:lang w:val="en-US" w:eastAsia="zh-CN"/>
                    </w:rPr>
                    <w:t>固废：施工营地施工人员产生的生活垃圾集中分类收集，定期清运至附近垃圾收集点，由环卫部门统一清运；拆除10千伏的水泥杆、导线、地线等可回收建材由建设单位及时回收处置；拆除的塔基基础、废包装材料等建筑垃圾，运往政府部门指定的地点处置。</w:t>
                  </w:r>
                </w:p>
                <w:p w14:paraId="2AE2FA8D">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fldChar w:fldCharType="begin"/>
                  </w:r>
                  <w:r>
                    <w:rPr>
                      <w:rFonts w:hint="eastAsia"/>
                      <w:color w:val="auto"/>
                      <w:szCs w:val="21"/>
                      <w:highlight w:val="none"/>
                      <w:lang w:val="en-US" w:eastAsia="zh-CN"/>
                    </w:rPr>
                    <w:instrText xml:space="preserve"> = 5 \* GB3 \* MERGEFORMAT </w:instrText>
                  </w:r>
                  <w:r>
                    <w:rPr>
                      <w:rFonts w:hint="eastAsia"/>
                      <w:color w:val="auto"/>
                      <w:szCs w:val="21"/>
                      <w:highlight w:val="none"/>
                      <w:lang w:val="en-US" w:eastAsia="zh-CN"/>
                    </w:rPr>
                    <w:fldChar w:fldCharType="separate"/>
                  </w:r>
                  <w:r>
                    <w:rPr>
                      <w:rFonts w:hint="eastAsia"/>
                      <w:color w:val="auto"/>
                      <w:szCs w:val="21"/>
                      <w:highlight w:val="none"/>
                      <w:lang w:val="en-US" w:eastAsia="zh-CN"/>
                    </w:rPr>
                    <w:t>⑤</w:t>
                  </w:r>
                  <w:r>
                    <w:rPr>
                      <w:rFonts w:hint="eastAsia"/>
                      <w:color w:val="auto"/>
                      <w:szCs w:val="21"/>
                      <w:highlight w:val="none"/>
                      <w:lang w:val="en-US" w:eastAsia="zh-CN"/>
                    </w:rPr>
                    <w:fldChar w:fldCharType="end"/>
                  </w:r>
                  <w:r>
                    <w:rPr>
                      <w:rFonts w:hint="eastAsia"/>
                      <w:color w:val="auto"/>
                      <w:szCs w:val="21"/>
                      <w:highlight w:val="none"/>
                      <w:lang w:val="en-US" w:eastAsia="zh-CN"/>
                    </w:rPr>
                    <w:t>生态：表土剥离、表土回填，旱地、乔木林地、灌木林地、其他林地</w:t>
                  </w:r>
                  <w:r>
                    <w:rPr>
                      <w:rFonts w:hint="default" w:ascii="Times New Roman" w:hAnsi="Times New Roman" w:eastAsia="宋体" w:cs="Times New Roman"/>
                      <w:color w:val="auto"/>
                      <w:spacing w:val="0"/>
                      <w:w w:val="100"/>
                      <w:kern w:val="0"/>
                      <w:position w:val="0"/>
                      <w:sz w:val="21"/>
                      <w:szCs w:val="21"/>
                      <w:highlight w:val="none"/>
                      <w:lang w:val="en-US" w:eastAsia="zh-CN"/>
                    </w:rPr>
                    <w:t>补偿</w:t>
                  </w:r>
                  <w:r>
                    <w:rPr>
                      <w:rFonts w:hint="eastAsia" w:cs="Times New Roman"/>
                      <w:color w:val="auto"/>
                      <w:spacing w:val="0"/>
                      <w:w w:val="100"/>
                      <w:kern w:val="0"/>
                      <w:position w:val="0"/>
                      <w:sz w:val="21"/>
                      <w:szCs w:val="21"/>
                      <w:highlight w:val="none"/>
                      <w:lang w:val="en-US" w:eastAsia="zh-CN"/>
                    </w:rPr>
                    <w:t>及植被</w:t>
                  </w:r>
                  <w:r>
                    <w:rPr>
                      <w:rFonts w:hint="eastAsia"/>
                      <w:color w:val="auto"/>
                      <w:szCs w:val="21"/>
                      <w:highlight w:val="none"/>
                      <w:lang w:val="en-US" w:eastAsia="zh-CN"/>
                    </w:rPr>
                    <w:t>恢复、生态监测等措施。</w:t>
                  </w:r>
                </w:p>
                <w:p w14:paraId="4945C854">
                  <w:pPr>
                    <w:keepNext w:val="0"/>
                    <w:keepLines w:val="0"/>
                    <w:pageBreakBefore w:val="0"/>
                    <w:widowControl w:val="0"/>
                    <w:kinsoku/>
                    <w:wordWrap/>
                    <w:overflowPunct/>
                    <w:topLinePunct w:val="0"/>
                    <w:autoSpaceDE/>
                    <w:autoSpaceDN/>
                    <w:bidi w:val="0"/>
                    <w:adjustRightInd w:val="0"/>
                    <w:snapToGrid w:val="0"/>
                    <w:textAlignment w:val="auto"/>
                    <w:rPr>
                      <w:rFonts w:hint="eastAsia"/>
                      <w:b/>
                      <w:color w:val="auto"/>
                      <w:szCs w:val="21"/>
                      <w:highlight w:val="none"/>
                    </w:rPr>
                  </w:pPr>
                  <w:r>
                    <w:rPr>
                      <w:rFonts w:hint="eastAsia"/>
                      <w:b/>
                      <w:color w:val="auto"/>
                      <w:szCs w:val="21"/>
                      <w:highlight w:val="none"/>
                    </w:rPr>
                    <w:t>运行期：</w:t>
                  </w:r>
                </w:p>
                <w:p w14:paraId="79583E9B">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t>①污水：站区生活污水经化粪池</w:t>
                  </w:r>
                  <w:r>
                    <w:rPr>
                      <w:rFonts w:hint="eastAsia"/>
                      <w:color w:val="auto"/>
                      <w:kern w:val="0"/>
                      <w:szCs w:val="21"/>
                      <w:highlight w:val="none"/>
                      <w:lang w:eastAsia="zh-CN" w:bidi="ar"/>
                    </w:rPr>
                    <w:t>（</w:t>
                  </w:r>
                  <w:r>
                    <w:rPr>
                      <w:rFonts w:hint="eastAsia"/>
                      <w:color w:val="auto"/>
                      <w:kern w:val="0"/>
                      <w:szCs w:val="21"/>
                      <w:highlight w:val="none"/>
                      <w:lang w:val="en-US" w:eastAsia="zh-CN" w:bidi="ar"/>
                    </w:rPr>
                    <w:t>10m</w:t>
                  </w:r>
                  <w:r>
                    <w:rPr>
                      <w:rFonts w:hint="eastAsia"/>
                      <w:color w:val="auto"/>
                      <w:kern w:val="0"/>
                      <w:szCs w:val="21"/>
                      <w:highlight w:val="none"/>
                      <w:vertAlign w:val="superscript"/>
                      <w:lang w:val="en-US" w:eastAsia="zh-CN" w:bidi="ar"/>
                    </w:rPr>
                    <w:t>3</w:t>
                  </w:r>
                  <w:r>
                    <w:rPr>
                      <w:rFonts w:hint="eastAsia"/>
                      <w:color w:val="auto"/>
                      <w:kern w:val="0"/>
                      <w:szCs w:val="21"/>
                      <w:highlight w:val="none"/>
                      <w:lang w:eastAsia="zh-CN" w:bidi="ar"/>
                    </w:rPr>
                    <w:t>）</w:t>
                  </w:r>
                  <w:r>
                    <w:rPr>
                      <w:rFonts w:hint="eastAsia"/>
                      <w:color w:val="auto"/>
                      <w:szCs w:val="21"/>
                      <w:highlight w:val="none"/>
                      <w:lang w:val="en-US" w:eastAsia="zh-CN"/>
                    </w:rPr>
                    <w:t>处理后定期清掏，不外排。</w:t>
                  </w:r>
                </w:p>
                <w:p w14:paraId="3C42B28D">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t>②固废：生活垃圾集中分类收集，定期清运至附近垃圾收集点，由环卫部门统一清运；事故油设事故油池收集后交由有资质的单位处置；报废的免维护蓄电池交由有资质的单位置换后回收处置。</w:t>
                  </w:r>
                </w:p>
                <w:p w14:paraId="45295091">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t>③</w:t>
                  </w:r>
                  <w:r>
                    <w:rPr>
                      <w:rFonts w:hint="default" w:ascii="Times New Roman" w:hAnsi="Times New Roman" w:cs="Times New Roman"/>
                      <w:b w:val="0"/>
                      <w:bCs w:val="0"/>
                      <w:color w:val="auto"/>
                      <w:sz w:val="21"/>
                      <w:szCs w:val="21"/>
                      <w:highlight w:val="none"/>
                      <w:lang w:val="en-US" w:eastAsia="zh-CN"/>
                    </w:rPr>
                    <w:t>环境风险</w:t>
                  </w:r>
                  <w:r>
                    <w:rPr>
                      <w:rFonts w:hint="eastAsia" w:cs="Times New Roman"/>
                      <w:b w:val="0"/>
                      <w:bCs w:val="0"/>
                      <w:color w:val="auto"/>
                      <w:sz w:val="21"/>
                      <w:szCs w:val="21"/>
                      <w:highlight w:val="none"/>
                      <w:lang w:val="en-US" w:eastAsia="zh-CN"/>
                    </w:rPr>
                    <w:t>：</w:t>
                  </w:r>
                  <w:r>
                    <w:rPr>
                      <w:rFonts w:hint="eastAsia"/>
                      <w:color w:val="auto"/>
                      <w:szCs w:val="21"/>
                      <w:highlight w:val="none"/>
                      <w:lang w:val="en-US" w:eastAsia="zh-CN"/>
                    </w:rPr>
                    <w:t>主变压器下设置事故油坑（</w:t>
                  </w:r>
                  <w:r>
                    <w:rPr>
                      <w:rFonts w:hint="eastAsia" w:cs="Times New Roman"/>
                      <w:b w:val="0"/>
                      <w:bCs w:val="0"/>
                      <w:color w:val="auto"/>
                      <w:sz w:val="21"/>
                      <w:szCs w:val="21"/>
                      <w:highlight w:val="none"/>
                      <w:lang w:val="en-US" w:eastAsia="zh-CN"/>
                    </w:rPr>
                    <w:t>18</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color w:val="auto"/>
                      <w:szCs w:val="21"/>
                      <w:highlight w:val="none"/>
                      <w:lang w:val="en-US" w:eastAsia="zh-CN"/>
                    </w:rPr>
                    <w:t>），站内设置事故油池（</w:t>
                  </w:r>
                  <w:r>
                    <w:rPr>
                      <w:rFonts w:hint="eastAsia" w:ascii="Times New Roman" w:hAnsi="Times New Roman" w:cs="Times New Roman"/>
                      <w:b w:val="0"/>
                      <w:bCs w:val="0"/>
                      <w:color w:val="auto"/>
                      <w:sz w:val="21"/>
                      <w:szCs w:val="21"/>
                      <w:highlight w:val="none"/>
                      <w:lang w:val="en-US" w:eastAsia="zh-CN"/>
                    </w:rPr>
                    <w:t>25m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color w:val="auto"/>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产生的事故油经事故油坑排入事故油池。</w:t>
                  </w:r>
                  <w:r>
                    <w:rPr>
                      <w:rFonts w:hint="default" w:ascii="Times New Roman" w:hAnsi="Times New Roman" w:cs="Times New Roman"/>
                      <w:color w:val="auto"/>
                      <w:sz w:val="21"/>
                      <w:szCs w:val="21"/>
                      <w:highlight w:val="none"/>
                      <w:lang w:val="en-US" w:eastAsia="zh-CN"/>
                    </w:rPr>
                    <w:t>变电站</w:t>
                  </w:r>
                  <w:r>
                    <w:rPr>
                      <w:rFonts w:hint="eastAsia" w:ascii="Times New Roman" w:hAnsi="Times New Roman" w:cs="Times New Roman"/>
                      <w:color w:val="auto"/>
                      <w:sz w:val="21"/>
                      <w:szCs w:val="21"/>
                      <w:highlight w:val="none"/>
                      <w:lang w:val="en-US" w:eastAsia="zh-CN"/>
                    </w:rPr>
                    <w:t>单台主</w:t>
                  </w:r>
                  <w:r>
                    <w:rPr>
                      <w:rFonts w:hint="default" w:ascii="Times New Roman" w:hAnsi="Times New Roman" w:cs="Times New Roman"/>
                      <w:color w:val="auto"/>
                      <w:sz w:val="21"/>
                      <w:szCs w:val="21"/>
                      <w:highlight w:val="none"/>
                      <w:lang w:val="en-US" w:eastAsia="zh-CN"/>
                    </w:rPr>
                    <w:t>变压器设备最大绝缘油质量</w:t>
                  </w:r>
                  <w:r>
                    <w:rPr>
                      <w:rFonts w:hint="eastAsia" w:ascii="Times New Roman" w:hAnsi="Times New Roman" w:cs="Times New Roman"/>
                      <w:color w:val="auto"/>
                      <w:sz w:val="21"/>
                      <w:szCs w:val="21"/>
                      <w:highlight w:val="none"/>
                      <w:lang w:val="en-US" w:eastAsia="zh-CN"/>
                    </w:rPr>
                    <w:t>约</w:t>
                  </w:r>
                  <w:r>
                    <w:rPr>
                      <w:rFonts w:hint="default" w:ascii="Times New Roman" w:hAnsi="Times New Roman" w:cs="Times New Roman"/>
                      <w:color w:val="auto"/>
                      <w:sz w:val="21"/>
                      <w:szCs w:val="21"/>
                      <w:highlight w:val="none"/>
                      <w:lang w:val="en-US" w:eastAsia="zh-CN"/>
                    </w:rPr>
                    <w:t>为</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t（密度约为0.8</w:t>
                  </w:r>
                  <w:r>
                    <w:rPr>
                      <w:rFonts w:hint="eastAsia" w:ascii="Times New Roman" w:hAnsi="Times New Roman" w:cs="Times New Roman"/>
                      <w:color w:val="auto"/>
                      <w:sz w:val="21"/>
                      <w:szCs w:val="21"/>
                      <w:highlight w:val="none"/>
                      <w:lang w:val="en-US" w:eastAsia="zh-CN"/>
                    </w:rPr>
                    <w:t>95</w:t>
                  </w:r>
                  <w:r>
                    <w:rPr>
                      <w:rFonts w:hint="default" w:ascii="Times New Roman" w:hAnsi="Times New Roman" w:cs="Times New Roman"/>
                      <w:color w:val="auto"/>
                      <w:sz w:val="21"/>
                      <w:szCs w:val="21"/>
                      <w:highlight w:val="none"/>
                      <w:lang w:val="en-US" w:eastAsia="zh-CN"/>
                    </w:rPr>
                    <w:t>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），折算体积约为</w:t>
                  </w:r>
                  <w:r>
                    <w:rPr>
                      <w:rFonts w:hint="eastAsia" w:ascii="Times New Roman" w:hAnsi="Times New Roman" w:cs="Times New Roman"/>
                      <w:color w:val="auto"/>
                      <w:sz w:val="21"/>
                      <w:szCs w:val="21"/>
                      <w:highlight w:val="none"/>
                      <w:lang w:val="en-US" w:eastAsia="zh-CN"/>
                    </w:rPr>
                    <w:t>23.5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，事故油池容积</w:t>
                  </w:r>
                  <w:r>
                    <w:rPr>
                      <w:rFonts w:hint="eastAsia"/>
                      <w:color w:val="auto"/>
                      <w:szCs w:val="21"/>
                      <w:highlight w:val="none"/>
                      <w:lang w:val="en-US" w:eastAsia="zh-CN"/>
                    </w:rPr>
                    <w:t>（25</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color w:val="auto"/>
                      <w:szCs w:val="21"/>
                      <w:highlight w:val="none"/>
                      <w:lang w:val="en-US" w:eastAsia="zh-CN"/>
                    </w:rPr>
                    <w:t>）</w:t>
                  </w:r>
                  <w:r>
                    <w:rPr>
                      <w:rFonts w:hint="eastAsia" w:ascii="Times New Roman" w:hAnsi="Times New Roman" w:cs="Times New Roman"/>
                      <w:color w:val="auto"/>
                      <w:sz w:val="21"/>
                      <w:szCs w:val="21"/>
                      <w:highlight w:val="none"/>
                      <w:lang w:val="en-US" w:eastAsia="zh-CN"/>
                    </w:rPr>
                    <w:t>满足最大</w:t>
                  </w:r>
                  <w:r>
                    <w:rPr>
                      <w:rFonts w:hint="eastAsia" w:cs="Times New Roman"/>
                      <w:color w:val="auto"/>
                      <w:sz w:val="21"/>
                      <w:szCs w:val="21"/>
                      <w:highlight w:val="none"/>
                      <w:lang w:val="en-US" w:eastAsia="zh-CN"/>
                    </w:rPr>
                    <w:t>单台</w:t>
                  </w:r>
                  <w:r>
                    <w:rPr>
                      <w:rFonts w:hint="eastAsia" w:ascii="Times New Roman" w:hAnsi="Times New Roman" w:cs="Times New Roman"/>
                      <w:color w:val="auto"/>
                      <w:sz w:val="21"/>
                      <w:szCs w:val="21"/>
                      <w:highlight w:val="none"/>
                      <w:lang w:val="en-US" w:eastAsia="zh-CN"/>
                    </w:rPr>
                    <w:t>主变压器100%油量要求</w:t>
                  </w:r>
                  <w:r>
                    <w:rPr>
                      <w:rFonts w:hint="eastAsia" w:cs="Times New Roman"/>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主变压器下事故油坑有效容积</w:t>
                  </w:r>
                  <w:r>
                    <w:rPr>
                      <w:rFonts w:hint="eastAsia"/>
                      <w:color w:val="auto"/>
                      <w:szCs w:val="21"/>
                      <w:highlight w:val="none"/>
                      <w:lang w:val="en-US" w:eastAsia="zh-CN"/>
                    </w:rPr>
                    <w:t>（</w:t>
                  </w:r>
                  <w:r>
                    <w:rPr>
                      <w:rFonts w:hint="eastAsia" w:cs="Times New Roman"/>
                      <w:b w:val="0"/>
                      <w:bCs w:val="0"/>
                      <w:color w:val="auto"/>
                      <w:sz w:val="21"/>
                      <w:szCs w:val="21"/>
                      <w:highlight w:val="none"/>
                      <w:lang w:val="en-US" w:eastAsia="zh-CN"/>
                    </w:rPr>
                    <w:t>18</w:t>
                  </w:r>
                  <w:r>
                    <w:rPr>
                      <w:rFonts w:hint="eastAsia" w:ascii="Times New Roman" w:hAnsi="Times New Roman" w:cs="Times New Roman"/>
                      <w:b w:val="0"/>
                      <w:bCs w:val="0"/>
                      <w:color w:val="auto"/>
                      <w:sz w:val="21"/>
                      <w:szCs w:val="21"/>
                      <w:highlight w:val="none"/>
                      <w:lang w:val="en-US" w:eastAsia="zh-CN"/>
                    </w:rPr>
                    <w:t>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color w:val="auto"/>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满足单台含油设备20%含油量体积要求。</w:t>
                  </w:r>
                  <w:r>
                    <w:rPr>
                      <w:rFonts w:hint="default" w:ascii="Times New Roman" w:hAnsi="Times New Roman" w:cs="Times New Roman"/>
                      <w:color w:val="auto"/>
                      <w:kern w:val="0"/>
                      <w:sz w:val="21"/>
                      <w:szCs w:val="21"/>
                      <w:highlight w:val="none"/>
                      <w:lang w:val="en-US" w:eastAsia="zh-CN" w:bidi="ar"/>
                    </w:rPr>
                    <w:t>事故油坑、事故油池均</w:t>
                  </w:r>
                  <w:r>
                    <w:rPr>
                      <w:rFonts w:hint="eastAsia" w:ascii="Times New Roman" w:hAnsi="Times New Roman" w:cs="Times New Roman"/>
                      <w:color w:val="auto"/>
                      <w:kern w:val="0"/>
                      <w:sz w:val="21"/>
                      <w:szCs w:val="21"/>
                      <w:highlight w:val="none"/>
                      <w:lang w:val="en-US" w:eastAsia="zh-CN" w:bidi="ar"/>
                    </w:rPr>
                    <w:t>采取</w:t>
                  </w:r>
                  <w:r>
                    <w:rPr>
                      <w:rFonts w:hint="default" w:ascii="Times New Roman" w:hAnsi="Times New Roman" w:cs="Times New Roman"/>
                      <w:color w:val="auto"/>
                      <w:kern w:val="0"/>
                      <w:sz w:val="21"/>
                      <w:szCs w:val="21"/>
                      <w:highlight w:val="none"/>
                      <w:lang w:val="en-US" w:eastAsia="zh-CN" w:bidi="ar"/>
                    </w:rPr>
                    <w:t>防渗</w:t>
                  </w:r>
                  <w:r>
                    <w:rPr>
                      <w:rFonts w:hint="eastAsia" w:ascii="Times New Roman" w:hAnsi="Times New Roman" w:cs="Times New Roman"/>
                      <w:color w:val="auto"/>
                      <w:kern w:val="0"/>
                      <w:sz w:val="21"/>
                      <w:szCs w:val="21"/>
                      <w:highlight w:val="none"/>
                      <w:lang w:val="en-US" w:eastAsia="zh-CN" w:bidi="ar"/>
                    </w:rPr>
                    <w:t>措施</w:t>
                  </w:r>
                  <w:r>
                    <w:rPr>
                      <w:rFonts w:hint="default" w:ascii="Times New Roman" w:hAnsi="Times New Roman" w:eastAsia="宋体" w:cs="Times New Roman"/>
                      <w:color w:val="auto"/>
                      <w:kern w:val="0"/>
                      <w:sz w:val="21"/>
                      <w:szCs w:val="21"/>
                      <w:highlight w:val="none"/>
                      <w:lang w:val="en-US" w:eastAsia="zh-CN" w:bidi="ar"/>
                    </w:rPr>
                    <w:t>。</w:t>
                  </w:r>
                </w:p>
                <w:p w14:paraId="60B2B60F">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bCs/>
                      <w:color w:val="auto"/>
                      <w:szCs w:val="21"/>
                      <w:highlight w:val="none"/>
                      <w:lang w:val="en-US" w:eastAsia="zh-CN"/>
                    </w:rPr>
                  </w:pPr>
                  <w:r>
                    <w:rPr>
                      <w:rFonts w:hint="eastAsia"/>
                      <w:color w:val="auto"/>
                      <w:szCs w:val="21"/>
                      <w:highlight w:val="none"/>
                      <w:lang w:val="en-US" w:eastAsia="zh-CN"/>
                    </w:rPr>
                    <w:t>④电磁环境</w:t>
                  </w:r>
                  <w:r>
                    <w:rPr>
                      <w:rFonts w:hint="default"/>
                      <w:color w:val="auto"/>
                      <w:szCs w:val="21"/>
                      <w:highlight w:val="none"/>
                      <w:lang w:val="en-US" w:eastAsia="zh-CN"/>
                    </w:rPr>
                    <w:t>：</w:t>
                  </w:r>
                  <w:r>
                    <w:rPr>
                      <w:rFonts w:hint="default" w:ascii="Times New Roman" w:hAnsi="Times New Roman" w:cs="Times New Roman" w:eastAsiaTheme="minorEastAsia"/>
                      <w:b w:val="0"/>
                      <w:bCs w:val="0"/>
                      <w:color w:val="auto"/>
                      <w:szCs w:val="21"/>
                      <w:highlight w:val="none"/>
                      <w:lang w:val="en-US" w:eastAsia="zh-CN"/>
                    </w:rPr>
                    <w:t>杆塔警示标志</w:t>
                  </w:r>
                  <w:r>
                    <w:rPr>
                      <w:rFonts w:hint="default"/>
                      <w:color w:val="auto"/>
                      <w:szCs w:val="21"/>
                      <w:highlight w:val="none"/>
                      <w:lang w:val="en-US" w:eastAsia="zh-CN"/>
                    </w:rPr>
                    <w:t>。</w:t>
                  </w:r>
                </w:p>
              </w:tc>
            </w:tr>
            <w:tr w14:paraId="2F4FF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5EB896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b/>
                      <w:color w:val="auto"/>
                      <w:szCs w:val="21"/>
                      <w:highlight w:val="none"/>
                      <w:lang w:val="en-US" w:eastAsia="zh-CN"/>
                    </w:rPr>
                  </w:pPr>
                  <w:r>
                    <w:rPr>
                      <w:rFonts w:hint="eastAsia"/>
                      <w:b/>
                      <w:color w:val="auto"/>
                      <w:szCs w:val="21"/>
                      <w:highlight w:val="none"/>
                      <w:lang w:val="en-US" w:eastAsia="zh-CN"/>
                    </w:rPr>
                    <w:t>依托工程</w:t>
                  </w:r>
                </w:p>
              </w:tc>
              <w:tc>
                <w:tcPr>
                  <w:tcW w:w="6598" w:type="dxa"/>
                  <w:vAlign w:val="center"/>
                </w:tcPr>
                <w:p w14:paraId="1E2918CC">
                  <w:pPr>
                    <w:keepNext w:val="0"/>
                    <w:keepLines w:val="0"/>
                    <w:pageBreakBefore w:val="0"/>
                    <w:widowControl w:val="0"/>
                    <w:kinsoku/>
                    <w:wordWrap/>
                    <w:overflowPunct/>
                    <w:topLinePunct w:val="0"/>
                    <w:autoSpaceDE/>
                    <w:autoSpaceDN/>
                    <w:bidi w:val="0"/>
                    <w:adjustRightInd w:val="0"/>
                    <w:snapToGrid w:val="0"/>
                    <w:textAlignment w:val="auto"/>
                    <w:rPr>
                      <w:rFonts w:hint="eastAsia"/>
                      <w:color w:val="auto"/>
                      <w:szCs w:val="21"/>
                      <w:highlight w:val="none"/>
                      <w:lang w:val="en-US" w:eastAsia="zh-CN"/>
                    </w:rPr>
                  </w:pPr>
                  <w:r>
                    <w:rPr>
                      <w:rFonts w:hint="eastAsia"/>
                      <w:color w:val="auto"/>
                      <w:szCs w:val="21"/>
                      <w:highlight w:val="none"/>
                      <w:lang w:val="en-US" w:eastAsia="zh-CN"/>
                    </w:rPr>
                    <w:t>①渝河110千伏变电站110千伏间隔改造工程：本期接入渝河110千伏变电站原将渝线（2Y）现有间隔，本期利旧。</w:t>
                  </w:r>
                </w:p>
                <w:p w14:paraId="347EDE91">
                  <w:pPr>
                    <w:keepNext w:val="0"/>
                    <w:keepLines w:val="0"/>
                    <w:pageBreakBefore w:val="0"/>
                    <w:widowControl w:val="0"/>
                    <w:kinsoku/>
                    <w:wordWrap/>
                    <w:overflowPunct/>
                    <w:topLinePunct w:val="0"/>
                    <w:autoSpaceDE/>
                    <w:autoSpaceDN/>
                    <w:bidi w:val="0"/>
                    <w:adjustRightInd w:val="0"/>
                    <w:snapToGrid w:val="0"/>
                    <w:textAlignment w:val="auto"/>
                    <w:rPr>
                      <w:rFonts w:hint="default"/>
                      <w:color w:val="auto"/>
                      <w:szCs w:val="21"/>
                      <w:highlight w:val="none"/>
                      <w:lang w:val="en-US" w:eastAsia="zh-CN"/>
                    </w:rPr>
                  </w:pPr>
                  <w:r>
                    <w:rPr>
                      <w:rFonts w:hint="default" w:ascii="Times New Roman" w:hAnsi="Times New Roman" w:cs="Times New Roman"/>
                      <w:color w:val="auto"/>
                      <w:szCs w:val="21"/>
                      <w:highlight w:val="none"/>
                      <w:lang w:val="en-US" w:eastAsia="zh-CN"/>
                    </w:rPr>
                    <w:t>②</w:t>
                  </w:r>
                  <w:r>
                    <w:rPr>
                      <w:rFonts w:hint="eastAsia" w:ascii="Times New Roman" w:hAnsi="Times New Roman" w:cs="Times New Roman"/>
                      <w:color w:val="auto"/>
                      <w:szCs w:val="21"/>
                      <w:highlight w:val="none"/>
                      <w:lang w:val="en-US" w:eastAsia="zh-CN"/>
                    </w:rPr>
                    <w:t>原110千伏将渝线利旧段：</w:t>
                  </w:r>
                  <w:r>
                    <w:rPr>
                      <w:rFonts w:hint="default" w:ascii="Times New Roman" w:hAnsi="Times New Roman" w:cs="Times New Roman"/>
                      <w:color w:val="auto"/>
                      <w:szCs w:val="21"/>
                      <w:highlight w:val="none"/>
                      <w:lang w:val="en-US" w:eastAsia="zh-CN"/>
                    </w:rPr>
                    <w:t>本期利旧原将渝线1.6km，利旧段导线采用</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×JL3/G1A</w:t>
                  </w:r>
                  <w:r>
                    <w:rPr>
                      <w:rFonts w:hint="eastAsia" w:cs="Times New Roman"/>
                      <w:color w:val="auto"/>
                      <w:szCs w:val="21"/>
                      <w:highlight w:val="none"/>
                      <w:lang w:val="en-US" w:eastAsia="zh-CN"/>
                    </w:rPr>
                    <w:t>-</w:t>
                  </w:r>
                  <w:r>
                    <w:rPr>
                      <w:rFonts w:hint="default" w:ascii="Times New Roman" w:hAnsi="Times New Roman" w:cs="Times New Roman"/>
                      <w:color w:val="auto"/>
                      <w:szCs w:val="21"/>
                      <w:highlight w:val="none"/>
                      <w:lang w:val="en-US" w:eastAsia="zh-CN"/>
                    </w:rPr>
                    <w:t>300/40-24/7型高导电率钢芯铝绞线，地线采用两根12芯OPGW光纤复合架空地线。</w:t>
                  </w:r>
                </w:p>
              </w:tc>
            </w:tr>
            <w:tr w14:paraId="3A47B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8" w:type="dxa"/>
                  <w:gridSpan w:val="2"/>
                  <w:vAlign w:val="center"/>
                </w:tcPr>
                <w:p w14:paraId="541B6200">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highlight w:val="none"/>
                    </w:rPr>
                  </w:pPr>
                  <w:r>
                    <w:rPr>
                      <w:b/>
                      <w:color w:val="auto"/>
                      <w:szCs w:val="21"/>
                      <w:highlight w:val="none"/>
                    </w:rPr>
                    <w:t>临时工程</w:t>
                  </w:r>
                </w:p>
              </w:tc>
              <w:tc>
                <w:tcPr>
                  <w:tcW w:w="6598" w:type="dxa"/>
                  <w:vAlign w:val="center"/>
                </w:tcPr>
                <w:p w14:paraId="398B8EAA">
                  <w:pPr>
                    <w:keepNext w:val="0"/>
                    <w:keepLines w:val="0"/>
                    <w:pageBreakBefore w:val="0"/>
                    <w:widowControl w:val="0"/>
                    <w:kinsoku/>
                    <w:wordWrap/>
                    <w:overflowPunct/>
                    <w:topLinePunct w:val="0"/>
                    <w:autoSpaceDE/>
                    <w:autoSpaceDN/>
                    <w:bidi w:val="0"/>
                    <w:adjustRightInd w:val="0"/>
                    <w:snapToGrid w:val="0"/>
                    <w:jc w:val="left"/>
                    <w:textAlignment w:val="auto"/>
                    <w:rPr>
                      <w:color w:val="auto"/>
                      <w:highlight w:val="none"/>
                    </w:rPr>
                  </w:pPr>
                  <w:r>
                    <w:rPr>
                      <w:color w:val="auto"/>
                      <w:highlight w:val="none"/>
                    </w:rPr>
                    <w:t>①施工营地：</w:t>
                  </w:r>
                  <w:r>
                    <w:rPr>
                      <w:rFonts w:hint="default" w:ascii="Times New Roman" w:hAnsi="Times New Roman" w:cs="Times New Roman"/>
                      <w:b w:val="0"/>
                      <w:bCs w:val="0"/>
                      <w:color w:val="auto"/>
                      <w:sz w:val="21"/>
                      <w:szCs w:val="21"/>
                      <w:highlight w:val="none"/>
                      <w:lang w:val="en-US" w:eastAsia="zh-CN"/>
                    </w:rPr>
                    <w:t>本项目拟在变电站</w:t>
                  </w:r>
                  <w:r>
                    <w:rPr>
                      <w:rFonts w:hint="eastAsia" w:cs="Times New Roman"/>
                      <w:b w:val="0"/>
                      <w:bCs w:val="0"/>
                      <w:color w:val="auto"/>
                      <w:sz w:val="21"/>
                      <w:szCs w:val="21"/>
                      <w:highlight w:val="none"/>
                      <w:lang w:val="en-US" w:eastAsia="zh-CN"/>
                    </w:rPr>
                    <w:t>西侧设置</w:t>
                  </w:r>
                  <w:r>
                    <w:rPr>
                      <w:rFonts w:hint="default" w:ascii="Times New Roman" w:hAnsi="Times New Roman" w:cs="Times New Roman"/>
                      <w:b w:val="0"/>
                      <w:bCs w:val="0"/>
                      <w:color w:val="auto"/>
                      <w:sz w:val="21"/>
                      <w:szCs w:val="21"/>
                      <w:highlight w:val="none"/>
                      <w:lang w:val="en-US" w:eastAsia="zh-CN"/>
                    </w:rPr>
                    <w:t>施工营地1处，</w:t>
                  </w:r>
                  <w:r>
                    <w:rPr>
                      <w:color w:val="auto"/>
                      <w:highlight w:val="none"/>
                    </w:rPr>
                    <w:t>用于施工材料堆放、施工人员生活、办公使用，</w:t>
                  </w:r>
                  <w:r>
                    <w:rPr>
                      <w:rFonts w:hint="eastAsia"/>
                      <w:color w:val="auto"/>
                      <w:highlight w:val="none"/>
                    </w:rPr>
                    <w:t>占地面积</w:t>
                  </w:r>
                  <w:r>
                    <w:rPr>
                      <w:rFonts w:hint="eastAsia"/>
                      <w:color w:val="auto"/>
                      <w:highlight w:val="none"/>
                      <w:lang w:val="en-US" w:eastAsia="zh-CN"/>
                    </w:rPr>
                    <w:t>1.2437</w:t>
                  </w:r>
                  <w:r>
                    <w:rPr>
                      <w:rFonts w:hint="eastAsia"/>
                      <w:color w:val="auto"/>
                      <w:highlight w:val="none"/>
                    </w:rPr>
                    <w:t>hm</w:t>
                  </w:r>
                  <w:r>
                    <w:rPr>
                      <w:rFonts w:hint="eastAsia"/>
                      <w:color w:val="auto"/>
                      <w:highlight w:val="none"/>
                      <w:vertAlign w:val="superscript"/>
                    </w:rPr>
                    <w:t>2</w:t>
                  </w:r>
                  <w:r>
                    <w:rPr>
                      <w:rFonts w:hint="eastAsia"/>
                      <w:color w:val="auto"/>
                      <w:highlight w:val="none"/>
                    </w:rPr>
                    <w:t>。</w:t>
                  </w:r>
                </w:p>
                <w:p w14:paraId="5882A591">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spacing w:val="0"/>
                      <w:w w:val="100"/>
                      <w:kern w:val="0"/>
                      <w:position w:val="0"/>
                      <w:sz w:val="21"/>
                      <w:szCs w:val="21"/>
                      <w:highlight w:val="none"/>
                      <w:lang w:bidi="ar"/>
                    </w:rPr>
                  </w:pPr>
                  <w:r>
                    <w:rPr>
                      <w:color w:val="auto"/>
                      <w:highlight w:val="none"/>
                    </w:rPr>
                    <w:t>②</w:t>
                  </w:r>
                  <w:r>
                    <w:rPr>
                      <w:rFonts w:hint="eastAsia" w:cs="Times New Roman"/>
                      <w:color w:val="auto"/>
                      <w:spacing w:val="0"/>
                      <w:w w:val="100"/>
                      <w:kern w:val="0"/>
                      <w:position w:val="0"/>
                      <w:sz w:val="21"/>
                      <w:szCs w:val="21"/>
                      <w:highlight w:val="none"/>
                      <w:lang w:val="en-US" w:eastAsia="zh-CN" w:bidi="ar"/>
                    </w:rPr>
                    <w:t>站外管线临时占地：站外供水、排水管线占地面积0.08</w:t>
                  </w:r>
                  <w:r>
                    <w:rPr>
                      <w:rFonts w:hint="eastAsia" w:cs="Times New Roman"/>
                      <w:color w:val="auto"/>
                      <w:spacing w:val="0"/>
                      <w:w w:val="100"/>
                      <w:position w:val="0"/>
                      <w:sz w:val="21"/>
                      <w:szCs w:val="21"/>
                      <w:highlight w:val="none"/>
                      <w:lang w:val="en-US" w:eastAsia="zh-CN"/>
                    </w:rPr>
                    <w:t>hm</w:t>
                  </w:r>
                  <w:r>
                    <w:rPr>
                      <w:rFonts w:hint="eastAsia" w:cs="Times New Roman"/>
                      <w:color w:val="auto"/>
                      <w:spacing w:val="0"/>
                      <w:w w:val="100"/>
                      <w:position w:val="0"/>
                      <w:sz w:val="21"/>
                      <w:szCs w:val="21"/>
                      <w:highlight w:val="none"/>
                      <w:vertAlign w:val="superscript"/>
                      <w:lang w:val="en-US" w:eastAsia="zh-CN"/>
                    </w:rPr>
                    <w:t>2</w:t>
                  </w:r>
                  <w:r>
                    <w:rPr>
                      <w:rFonts w:hint="default" w:ascii="Times New Roman" w:hAnsi="Times New Roman" w:eastAsia="宋体" w:cs="Times New Roman"/>
                      <w:color w:val="auto"/>
                      <w:spacing w:val="0"/>
                      <w:w w:val="100"/>
                      <w:kern w:val="0"/>
                      <w:position w:val="0"/>
                      <w:sz w:val="21"/>
                      <w:szCs w:val="21"/>
                      <w:highlight w:val="none"/>
                      <w:lang w:bidi="ar"/>
                    </w:rPr>
                    <w:t>。</w:t>
                  </w:r>
                </w:p>
                <w:p w14:paraId="39ECE27B">
                  <w:pPr>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ascii="Times New Roman" w:hAnsi="Times New Roman" w:cs="Times New Roman"/>
                      <w:color w:val="auto"/>
                      <w:sz w:val="21"/>
                      <w:szCs w:val="21"/>
                      <w:highlight w:val="none"/>
                      <w:lang w:val="en-US" w:eastAsia="zh-CN"/>
                    </w:rPr>
                    <w:t>③</w:t>
                  </w:r>
                  <w:r>
                    <w:rPr>
                      <w:color w:val="auto"/>
                      <w:highlight w:val="none"/>
                    </w:rPr>
                    <w:t>塔基施工场地：塔基区仅限于塔基基础施工以及杆塔架设的临时堆放场地等施工场地占地范围内，塔基基础施工临时场地以单个塔基为单位零星布置在塔基区附近。</w:t>
                  </w:r>
                </w:p>
                <w:p w14:paraId="4FB9508A">
                  <w:pPr>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color w:val="auto"/>
                      <w:szCs w:val="21"/>
                      <w:highlight w:val="none"/>
                    </w:rPr>
                    <w:t>④</w:t>
                  </w:r>
                  <w:r>
                    <w:rPr>
                      <w:color w:val="auto"/>
                      <w:highlight w:val="none"/>
                    </w:rPr>
                    <w:t>牵张场：为满足施工放线需要，输电线路沿线需利用牵张场地，牵张场应避开植被密集区域设置</w:t>
                  </w:r>
                  <w:r>
                    <w:rPr>
                      <w:rFonts w:hint="eastAsia"/>
                      <w:color w:val="auto"/>
                      <w:highlight w:val="none"/>
                      <w:lang w:eastAsia="zh-CN"/>
                    </w:rPr>
                    <w:t>；</w:t>
                  </w:r>
                  <w:r>
                    <w:rPr>
                      <w:rFonts w:hint="eastAsia"/>
                      <w:color w:val="auto"/>
                      <w:highlight w:val="none"/>
                      <w:lang w:val="en-US" w:eastAsia="zh-CN"/>
                    </w:rPr>
                    <w:t>输电</w:t>
                  </w:r>
                  <w:r>
                    <w:rPr>
                      <w:color w:val="auto"/>
                      <w:highlight w:val="none"/>
                    </w:rPr>
                    <w:t>线路在跨越电力线</w:t>
                  </w:r>
                  <w:r>
                    <w:rPr>
                      <w:color w:val="auto"/>
                      <w:kern w:val="0"/>
                      <w:szCs w:val="21"/>
                      <w:highlight w:val="none"/>
                      <w:lang w:bidi="ar"/>
                    </w:rPr>
                    <w:t>路、道路等需要设置跨越场。</w:t>
                  </w:r>
                  <w:r>
                    <w:rPr>
                      <w:rFonts w:hint="eastAsia"/>
                      <w:color w:val="auto"/>
                      <w:kern w:val="0"/>
                      <w:szCs w:val="21"/>
                      <w:highlight w:val="none"/>
                      <w:lang w:val="en-US" w:eastAsia="zh-CN" w:bidi="ar"/>
                    </w:rPr>
                    <w:t>本项目无需设置跨越场，本次牵张场</w:t>
                  </w:r>
                  <w:r>
                    <w:rPr>
                      <w:color w:val="auto"/>
                      <w:highlight w:val="none"/>
                    </w:rPr>
                    <w:t>布设</w:t>
                  </w:r>
                  <w:r>
                    <w:rPr>
                      <w:rFonts w:hint="eastAsia"/>
                      <w:color w:val="auto"/>
                      <w:highlight w:val="none"/>
                      <w:lang w:val="en-US" w:eastAsia="zh-CN"/>
                    </w:rPr>
                    <w:t>7</w:t>
                  </w:r>
                  <w:r>
                    <w:rPr>
                      <w:color w:val="auto"/>
                      <w:highlight w:val="none"/>
                    </w:rPr>
                    <w:t>处</w:t>
                  </w:r>
                  <w:r>
                    <w:rPr>
                      <w:rFonts w:hint="eastAsia"/>
                      <w:color w:val="auto"/>
                      <w:highlight w:val="none"/>
                      <w:lang w:eastAsia="zh-CN"/>
                    </w:rPr>
                    <w:t>，</w:t>
                  </w:r>
                  <w:r>
                    <w:rPr>
                      <w:rFonts w:hint="eastAsia"/>
                      <w:color w:val="auto"/>
                      <w:kern w:val="0"/>
                      <w:szCs w:val="21"/>
                      <w:highlight w:val="none"/>
                      <w:lang w:val="en-US" w:eastAsia="zh-CN" w:bidi="ar"/>
                    </w:rPr>
                    <w:t>总</w:t>
                  </w:r>
                  <w:r>
                    <w:rPr>
                      <w:color w:val="auto"/>
                      <w:kern w:val="0"/>
                      <w:szCs w:val="21"/>
                      <w:highlight w:val="none"/>
                      <w:lang w:bidi="ar"/>
                    </w:rPr>
                    <w:t>占地面积</w:t>
                  </w:r>
                  <w:r>
                    <w:rPr>
                      <w:rFonts w:hint="eastAsia"/>
                      <w:color w:val="auto"/>
                      <w:kern w:val="0"/>
                      <w:szCs w:val="21"/>
                      <w:highlight w:val="none"/>
                      <w:lang w:val="en-US" w:eastAsia="zh-CN" w:bidi="ar"/>
                    </w:rPr>
                    <w:t>0.42</w:t>
                  </w:r>
                  <w:r>
                    <w:rPr>
                      <w:rFonts w:hint="eastAsia"/>
                      <w:color w:val="auto"/>
                      <w:kern w:val="0"/>
                      <w:szCs w:val="21"/>
                      <w:highlight w:val="none"/>
                      <w:lang w:bidi="ar"/>
                    </w:rPr>
                    <w:t>h</w:t>
                  </w:r>
                  <w:r>
                    <w:rPr>
                      <w:color w:val="auto"/>
                      <w:kern w:val="0"/>
                      <w:szCs w:val="21"/>
                      <w:highlight w:val="none"/>
                      <w:lang w:bidi="ar"/>
                    </w:rPr>
                    <w:t>m</w:t>
                  </w:r>
                  <w:r>
                    <w:rPr>
                      <w:color w:val="auto"/>
                      <w:kern w:val="0"/>
                      <w:szCs w:val="21"/>
                      <w:highlight w:val="none"/>
                      <w:vertAlign w:val="superscript"/>
                      <w:lang w:bidi="ar"/>
                    </w:rPr>
                    <w:t>2</w:t>
                  </w:r>
                  <w:r>
                    <w:rPr>
                      <w:color w:val="auto"/>
                      <w:kern w:val="0"/>
                      <w:szCs w:val="21"/>
                      <w:highlight w:val="none"/>
                      <w:lang w:bidi="ar"/>
                    </w:rPr>
                    <w:t>。</w:t>
                  </w:r>
                </w:p>
                <w:p w14:paraId="1EABA78E">
                  <w:pPr>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lang w:val="en-US" w:eastAsia="zh-CN"/>
                    </w:rPr>
                    <w:t>⑤</w:t>
                  </w:r>
                  <w:r>
                    <w:rPr>
                      <w:color w:val="auto"/>
                      <w:kern w:val="0"/>
                      <w:szCs w:val="21"/>
                      <w:highlight w:val="none"/>
                      <w:lang w:bidi="ar"/>
                    </w:rPr>
                    <w:t>施工便道</w:t>
                  </w:r>
                  <w:r>
                    <w:rPr>
                      <w:color w:val="auto"/>
                      <w:highlight w:val="none"/>
                    </w:rPr>
                    <w:t>：根据施工现场道路现状，</w:t>
                  </w:r>
                  <w:r>
                    <w:rPr>
                      <w:rFonts w:hint="eastAsia"/>
                      <w:color w:val="auto"/>
                      <w:highlight w:val="none"/>
                    </w:rPr>
                    <w:t>尽量</w:t>
                  </w:r>
                  <w:r>
                    <w:rPr>
                      <w:color w:val="auto"/>
                      <w:highlight w:val="none"/>
                    </w:rPr>
                    <w:t>利用现有道路，在不具备施工运输条件的区域，设置施工便道</w:t>
                  </w:r>
                  <w:r>
                    <w:rPr>
                      <w:rFonts w:hint="eastAsia"/>
                      <w:color w:val="auto"/>
                      <w:highlight w:val="none"/>
                      <w:lang w:eastAsia="zh-CN"/>
                    </w:rPr>
                    <w:t>。</w:t>
                  </w:r>
                  <w:r>
                    <w:rPr>
                      <w:rFonts w:hint="eastAsia"/>
                      <w:color w:val="auto"/>
                      <w:highlight w:val="none"/>
                      <w:lang w:val="en-US" w:eastAsia="zh-CN"/>
                    </w:rPr>
                    <w:t>本项目施工便道长约7.08km、</w:t>
                  </w:r>
                  <w:r>
                    <w:rPr>
                      <w:color w:val="auto"/>
                      <w:highlight w:val="none"/>
                    </w:rPr>
                    <w:t>宽</w:t>
                  </w:r>
                  <w:r>
                    <w:rPr>
                      <w:rFonts w:hint="eastAsia"/>
                      <w:color w:val="auto"/>
                      <w:highlight w:val="none"/>
                      <w:lang w:val="en-US" w:eastAsia="zh-CN"/>
                    </w:rPr>
                    <w:t>3.5</w:t>
                  </w:r>
                  <w:r>
                    <w:rPr>
                      <w:color w:val="auto"/>
                      <w:highlight w:val="none"/>
                    </w:rPr>
                    <w:t>m，占地面积</w:t>
                  </w:r>
                  <w:r>
                    <w:rPr>
                      <w:rFonts w:hint="eastAsia"/>
                      <w:color w:val="auto"/>
                      <w:highlight w:val="none"/>
                      <w:lang w:val="en-US" w:eastAsia="zh-CN"/>
                    </w:rPr>
                    <w:t>2.4782</w:t>
                  </w:r>
                  <w:r>
                    <w:rPr>
                      <w:color w:val="auto"/>
                      <w:highlight w:val="none"/>
                    </w:rPr>
                    <w:t>hm</w:t>
                  </w:r>
                  <w:r>
                    <w:rPr>
                      <w:color w:val="auto"/>
                      <w:highlight w:val="none"/>
                      <w:vertAlign w:val="superscript"/>
                    </w:rPr>
                    <w:t>2</w:t>
                  </w:r>
                  <w:r>
                    <w:rPr>
                      <w:color w:val="auto"/>
                      <w:highlight w:val="none"/>
                    </w:rPr>
                    <w:t>。</w:t>
                  </w:r>
                </w:p>
              </w:tc>
            </w:tr>
          </w:tbl>
          <w:p w14:paraId="76EFE0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b/>
                <w:color w:val="auto"/>
                <w:sz w:val="24"/>
                <w:highlight w:val="none"/>
                <w:lang w:val="en-US" w:eastAsia="zh-CN"/>
              </w:rPr>
            </w:pPr>
            <w:r>
              <w:rPr>
                <w:rFonts w:hint="default" w:ascii="Times New Roman" w:hAnsi="Times New Roman" w:eastAsia="宋体" w:cs="Times New Roman"/>
                <w:b/>
                <w:color w:val="auto"/>
                <w:kern w:val="2"/>
                <w:sz w:val="24"/>
                <w:szCs w:val="24"/>
                <w:highlight w:val="none"/>
                <w:lang w:val="en-US" w:eastAsia="zh-CN" w:bidi="ar-SA"/>
              </w:rPr>
              <w:t>3、</w:t>
            </w:r>
            <w:r>
              <w:rPr>
                <w:rFonts w:hint="eastAsia"/>
                <w:b/>
                <w:color w:val="auto"/>
                <w:sz w:val="24"/>
                <w:highlight w:val="none"/>
                <w:lang w:val="en-US" w:eastAsia="zh-CN"/>
              </w:rPr>
              <w:t>导线安全距离</w:t>
            </w:r>
          </w:p>
          <w:p w14:paraId="0E013F1D">
            <w:pPr>
              <w:spacing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本项目线路对地距离和交叉跨越距离以满足《110kV~750kV架空输电线路设计规范》（GB50545-2010）的要求</w:t>
            </w:r>
            <w:r>
              <w:rPr>
                <w:rFonts w:hint="eastAsia" w:cs="Times New Roman"/>
                <w:color w:val="auto"/>
                <w:sz w:val="24"/>
                <w:highlight w:val="none"/>
                <w:lang w:val="en-US" w:eastAsia="zh-CN"/>
              </w:rPr>
              <w:t>进行设计</w:t>
            </w:r>
            <w:r>
              <w:rPr>
                <w:rFonts w:hint="default" w:ascii="Times New Roman" w:hAnsi="Times New Roman" w:cs="Times New Roman"/>
                <w:color w:val="auto"/>
                <w:sz w:val="24"/>
                <w:highlight w:val="none"/>
              </w:rPr>
              <w:t>，并结合现场实际情况，导线对地和交叉跨越安全距离见表2-</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w:t>
            </w:r>
          </w:p>
          <w:p w14:paraId="55B0A39A">
            <w:pPr>
              <w:keepNext w:val="0"/>
              <w:keepLines w:val="0"/>
              <w:pageBreakBefore w:val="0"/>
              <w:widowControl/>
              <w:kinsoku/>
              <w:wordWrap/>
              <w:overflowPunct/>
              <w:topLinePunct w:val="0"/>
              <w:autoSpaceDE/>
              <w:autoSpaceDN/>
              <w:bidi w:val="0"/>
              <w:adjustRightInd/>
              <w:snapToGrid/>
              <w:spacing w:line="360" w:lineRule="auto"/>
              <w:jc w:val="right"/>
              <w:textAlignment w:val="auto"/>
              <w:rPr>
                <w:rFonts w:hint="default" w:ascii="Times New Roman" w:hAnsi="Times New Roman" w:eastAsia="黑体" w:cs="Times New Roman"/>
                <w:b/>
                <w:color w:val="auto"/>
                <w:sz w:val="24"/>
                <w:highlight w:val="none"/>
              </w:rPr>
            </w:pPr>
            <w:r>
              <w:rPr>
                <w:rFonts w:hint="eastAsia" w:ascii="Times New Roman" w:hAnsi="Times New Roman" w:eastAsia="黑体" w:cs="Times New Roman"/>
                <w:b/>
                <w:bCs/>
                <w:color w:val="auto"/>
                <w:spacing w:val="-11"/>
                <w:sz w:val="24"/>
                <w:highlight w:val="none"/>
                <w:lang w:val="en-US" w:eastAsia="zh-CN"/>
              </w:rPr>
              <w:t xml:space="preserve">   </w:t>
            </w:r>
            <w:r>
              <w:rPr>
                <w:rFonts w:hint="default" w:ascii="Times New Roman" w:hAnsi="Times New Roman" w:eastAsia="黑体" w:cs="Times New Roman"/>
                <w:b/>
                <w:bCs/>
                <w:color w:val="auto"/>
                <w:spacing w:val="-11"/>
                <w:sz w:val="24"/>
                <w:highlight w:val="none"/>
              </w:rPr>
              <w:t>表2-</w:t>
            </w:r>
            <w:r>
              <w:rPr>
                <w:rFonts w:hint="eastAsia" w:eastAsia="黑体" w:cs="Times New Roman"/>
                <w:b/>
                <w:bCs/>
                <w:color w:val="auto"/>
                <w:spacing w:val="-11"/>
                <w:sz w:val="24"/>
                <w:highlight w:val="none"/>
                <w:lang w:val="en-US" w:eastAsia="zh-CN"/>
              </w:rPr>
              <w:t>2</w:t>
            </w:r>
            <w:r>
              <w:rPr>
                <w:rFonts w:hint="default" w:ascii="Times New Roman" w:hAnsi="Times New Roman" w:eastAsia="黑体" w:cs="Times New Roman"/>
                <w:b/>
                <w:bCs/>
                <w:color w:val="auto"/>
                <w:spacing w:val="-11"/>
                <w:sz w:val="24"/>
                <w:highlight w:val="none"/>
              </w:rPr>
              <w:t xml:space="preserve">  导线对地和交叉跨越安全距离</w:t>
            </w:r>
            <w:r>
              <w:rPr>
                <w:rFonts w:hint="eastAsia" w:eastAsia="黑体" w:cs="Times New Roman"/>
                <w:b/>
                <w:bCs/>
                <w:color w:val="auto"/>
                <w:spacing w:val="-11"/>
                <w:sz w:val="24"/>
                <w:highlight w:val="none"/>
                <w:lang w:val="en-US" w:eastAsia="zh-CN"/>
              </w:rPr>
              <w:t xml:space="preserve">    </w:t>
            </w:r>
            <w:r>
              <w:rPr>
                <w:rFonts w:hint="default" w:ascii="Times New Roman" w:hAnsi="Times New Roman" w:eastAsia="黑体" w:cs="Times New Roman"/>
                <w:b/>
                <w:color w:val="auto"/>
                <w:sz w:val="24"/>
                <w:highlight w:val="none"/>
              </w:rPr>
              <w:t xml:space="preserve">          </w:t>
            </w:r>
            <w:r>
              <w:rPr>
                <w:rFonts w:hint="default" w:ascii="Times New Roman" w:hAnsi="Times New Roman" w:eastAsia="黑体" w:cs="Times New Roman"/>
                <w:bCs/>
                <w:color w:val="auto"/>
                <w:sz w:val="24"/>
                <w:highlight w:val="none"/>
              </w:rPr>
              <w:t>单位：m</w:t>
            </w:r>
          </w:p>
          <w:tbl>
            <w:tblPr>
              <w:tblStyle w:val="28"/>
              <w:tblW w:w="87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30"/>
              <w:gridCol w:w="2370"/>
              <w:gridCol w:w="4192"/>
            </w:tblGrid>
            <w:tr w14:paraId="41745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2" w:type="dxa"/>
                  <w:noWrap w:val="0"/>
                  <w:vAlign w:val="center"/>
                </w:tcPr>
                <w:p w14:paraId="51734F67">
                  <w:pPr>
                    <w:pStyle w:val="42"/>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1530" w:type="dxa"/>
                  <w:noWrap w:val="0"/>
                  <w:vAlign w:val="center"/>
                </w:tcPr>
                <w:p w14:paraId="4280E944">
                  <w:pPr>
                    <w:pStyle w:val="42"/>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被跨越物名称</w:t>
                  </w:r>
                </w:p>
              </w:tc>
              <w:tc>
                <w:tcPr>
                  <w:tcW w:w="2370" w:type="dxa"/>
                  <w:noWrap w:val="0"/>
                  <w:vAlign w:val="center"/>
                </w:tcPr>
                <w:p w14:paraId="435B8A4A">
                  <w:pPr>
                    <w:pStyle w:val="42"/>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设计</w:t>
                  </w:r>
                  <w:r>
                    <w:rPr>
                      <w:rFonts w:hint="default" w:ascii="Times New Roman" w:hAnsi="Times New Roman" w:eastAsia="宋体" w:cs="Times New Roman"/>
                      <w:b/>
                      <w:bCs w:val="0"/>
                      <w:color w:val="auto"/>
                      <w:sz w:val="21"/>
                      <w:szCs w:val="21"/>
                      <w:highlight w:val="none"/>
                      <w:lang w:eastAsia="zh-CN"/>
                    </w:rPr>
                    <w:t>要求</w:t>
                  </w:r>
                  <w:r>
                    <w:rPr>
                      <w:rFonts w:hint="default" w:ascii="Times New Roman" w:hAnsi="Times New Roman" w:eastAsia="宋体" w:cs="Times New Roman"/>
                      <w:b/>
                      <w:bCs w:val="0"/>
                      <w:color w:val="auto"/>
                      <w:sz w:val="21"/>
                      <w:szCs w:val="21"/>
                      <w:highlight w:val="none"/>
                    </w:rPr>
                    <w:t>最小对地距离</w:t>
                  </w:r>
                </w:p>
              </w:tc>
              <w:tc>
                <w:tcPr>
                  <w:tcW w:w="4192" w:type="dxa"/>
                  <w:noWrap w:val="0"/>
                  <w:vAlign w:val="center"/>
                </w:tcPr>
                <w:p w14:paraId="60B0E5E8">
                  <w:pPr>
                    <w:pStyle w:val="42"/>
                    <w:spacing w:line="240" w:lineRule="auto"/>
                    <w:ind w:firstLine="0" w:firstLineChars="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备注</w:t>
                  </w:r>
                </w:p>
              </w:tc>
            </w:tr>
            <w:tr w14:paraId="003EF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E57576B">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30" w:type="dxa"/>
                  <w:noWrap w:val="0"/>
                  <w:vAlign w:val="center"/>
                </w:tcPr>
                <w:p w14:paraId="19570DCC">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居民区</w:t>
                  </w:r>
                </w:p>
              </w:tc>
              <w:tc>
                <w:tcPr>
                  <w:tcW w:w="2370" w:type="dxa"/>
                  <w:noWrap w:val="0"/>
                  <w:vAlign w:val="center"/>
                </w:tcPr>
                <w:p w14:paraId="60D6E54E">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7.</w:t>
                  </w:r>
                  <w:r>
                    <w:rPr>
                      <w:rFonts w:hint="default" w:ascii="Times New Roman" w:hAnsi="Times New Roman" w:eastAsia="宋体" w:cs="Times New Roman"/>
                      <w:color w:val="auto"/>
                      <w:sz w:val="21"/>
                      <w:szCs w:val="21"/>
                      <w:highlight w:val="none"/>
                      <w:lang w:val="en-US" w:eastAsia="zh-CN"/>
                    </w:rPr>
                    <w:t>0</w:t>
                  </w:r>
                </w:p>
              </w:tc>
              <w:tc>
                <w:tcPr>
                  <w:tcW w:w="4192" w:type="dxa"/>
                  <w:noWrap w:val="0"/>
                  <w:vAlign w:val="center"/>
                </w:tcPr>
                <w:p w14:paraId="63C8542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经</w:t>
                  </w:r>
                  <w:r>
                    <w:rPr>
                      <w:rFonts w:hint="default" w:ascii="Times New Roman" w:hAnsi="Times New Roman" w:cs="Times New Roman"/>
                      <w:color w:val="auto"/>
                      <w:sz w:val="21"/>
                      <w:szCs w:val="21"/>
                      <w:highlight w:val="none"/>
                      <w:lang w:val="en-US" w:eastAsia="zh-CN"/>
                    </w:rPr>
                    <w:t>与设计单位沟通确认，本项目输电线路</w:t>
                  </w:r>
                  <w:r>
                    <w:rPr>
                      <w:rFonts w:hint="eastAsia" w:ascii="Times New Roman" w:hAnsi="Times New Roman" w:cs="Times New Roman"/>
                      <w:color w:val="auto"/>
                      <w:sz w:val="21"/>
                      <w:szCs w:val="21"/>
                      <w:highlight w:val="none"/>
                      <w:lang w:val="en-US" w:eastAsia="zh-CN"/>
                    </w:rPr>
                    <w:t>经过环境保护目标处时设计</w:t>
                  </w:r>
                  <w:r>
                    <w:rPr>
                      <w:rFonts w:hint="default" w:ascii="Times New Roman" w:hAnsi="Times New Roman" w:cs="Times New Roman"/>
                      <w:color w:val="auto"/>
                      <w:sz w:val="21"/>
                      <w:szCs w:val="21"/>
                      <w:highlight w:val="none"/>
                      <w:lang w:val="en-US" w:eastAsia="zh-CN"/>
                    </w:rPr>
                    <w:t>导线最低对地高度</w:t>
                  </w:r>
                  <w:r>
                    <w:rPr>
                      <w:rFonts w:hint="eastAsia" w:ascii="Times New Roman" w:hAnsi="Times New Roman" w:cs="Times New Roman"/>
                      <w:color w:val="auto"/>
                      <w:sz w:val="21"/>
                      <w:szCs w:val="21"/>
                      <w:highlight w:val="none"/>
                      <w:lang w:val="en-US" w:eastAsia="zh-CN"/>
                    </w:rPr>
                    <w:t>约10</w:t>
                  </w:r>
                  <w:r>
                    <w:rPr>
                      <w:rFonts w:hint="default"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lang w:val="en-US" w:eastAsia="zh-CN"/>
                    </w:rPr>
                    <w:t>。</w:t>
                  </w:r>
                </w:p>
              </w:tc>
            </w:tr>
            <w:tr w14:paraId="40669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3EDC106B">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30" w:type="dxa"/>
                  <w:noWrap w:val="0"/>
                  <w:vAlign w:val="center"/>
                </w:tcPr>
                <w:p w14:paraId="32A28479">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非居民区</w:t>
                  </w:r>
                </w:p>
              </w:tc>
              <w:tc>
                <w:tcPr>
                  <w:tcW w:w="2370" w:type="dxa"/>
                  <w:noWrap w:val="0"/>
                  <w:vAlign w:val="center"/>
                </w:tcPr>
                <w:p w14:paraId="6FCFBE89">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0</w:t>
                  </w:r>
                </w:p>
              </w:tc>
              <w:tc>
                <w:tcPr>
                  <w:tcW w:w="4192" w:type="dxa"/>
                  <w:noWrap w:val="0"/>
                  <w:vAlign w:val="center"/>
                </w:tcPr>
                <w:p w14:paraId="74ADFF4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经与设计单位沟通确认，本项目输电线路在实际架设过程中，导线最低对地高度约10m。</w:t>
                  </w:r>
                </w:p>
              </w:tc>
            </w:tr>
            <w:tr w14:paraId="4D24E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1DCCF9CD">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30" w:type="dxa"/>
                  <w:noWrap w:val="0"/>
                  <w:vAlign w:val="center"/>
                </w:tcPr>
                <w:p w14:paraId="34494BC2">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w:t>
                  </w:r>
                </w:p>
              </w:tc>
              <w:tc>
                <w:tcPr>
                  <w:tcW w:w="2370" w:type="dxa"/>
                  <w:noWrap w:val="0"/>
                  <w:vAlign w:val="center"/>
                </w:tcPr>
                <w:p w14:paraId="24DBAB48">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w:t>
                  </w:r>
                </w:p>
              </w:tc>
              <w:tc>
                <w:tcPr>
                  <w:tcW w:w="4192" w:type="dxa"/>
                  <w:noWrap w:val="0"/>
                  <w:vAlign w:val="center"/>
                </w:tcPr>
                <w:p w14:paraId="1E02A82F">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eastAsia="宋体" w:cs="Times New Roman"/>
                      <w:color w:val="auto"/>
                      <w:sz w:val="21"/>
                      <w:szCs w:val="21"/>
                      <w:highlight w:val="none"/>
                      <w:lang w:val="en-US" w:eastAsia="zh-CN"/>
                    </w:rPr>
                    <w:t>/</w:t>
                  </w:r>
                </w:p>
              </w:tc>
            </w:tr>
            <w:tr w14:paraId="2105D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4FF0E993">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530" w:type="dxa"/>
                  <w:noWrap w:val="0"/>
                  <w:vAlign w:val="center"/>
                </w:tcPr>
                <w:p w14:paraId="206095DF">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交通困难地区</w:t>
                  </w:r>
                </w:p>
              </w:tc>
              <w:tc>
                <w:tcPr>
                  <w:tcW w:w="2370" w:type="dxa"/>
                  <w:noWrap w:val="0"/>
                  <w:vAlign w:val="center"/>
                </w:tcPr>
                <w:p w14:paraId="05DA76E0">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0</w:t>
                  </w:r>
                </w:p>
              </w:tc>
              <w:tc>
                <w:tcPr>
                  <w:tcW w:w="4192" w:type="dxa"/>
                  <w:noWrap w:val="0"/>
                  <w:vAlign w:val="center"/>
                </w:tcPr>
                <w:p w14:paraId="5C80F79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仿宋_GB2312" w:cs="Times New Roman"/>
                      <w:i w:val="0"/>
                      <w:iCs w:val="0"/>
                      <w:color w:val="auto"/>
                      <w:kern w:val="2"/>
                      <w:sz w:val="21"/>
                      <w:szCs w:val="21"/>
                      <w:highlight w:val="none"/>
                      <w:u w:val="none"/>
                      <w:lang w:val="en-US" w:eastAsia="zh-CN" w:bidi="ar"/>
                    </w:rPr>
                    <w:t>/</w:t>
                  </w:r>
                </w:p>
              </w:tc>
            </w:tr>
            <w:tr w14:paraId="493D1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6CAF7AF0">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530" w:type="dxa"/>
                  <w:shd w:val="clear" w:color="auto" w:fill="auto"/>
                  <w:noWrap w:val="0"/>
                  <w:vAlign w:val="center"/>
                </w:tcPr>
                <w:p w14:paraId="08B6B2A0">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公路</w:t>
                  </w:r>
                </w:p>
              </w:tc>
              <w:tc>
                <w:tcPr>
                  <w:tcW w:w="2370" w:type="dxa"/>
                  <w:shd w:val="clear" w:color="auto" w:fill="auto"/>
                  <w:noWrap w:val="0"/>
                  <w:vAlign w:val="center"/>
                </w:tcPr>
                <w:p w14:paraId="3B11EFC0">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.0</w:t>
                  </w:r>
                </w:p>
              </w:tc>
              <w:tc>
                <w:tcPr>
                  <w:tcW w:w="4192" w:type="dxa"/>
                  <w:noWrap w:val="0"/>
                  <w:vAlign w:val="center"/>
                </w:tcPr>
                <w:p w14:paraId="0D2B5ED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w:t>
                  </w:r>
                </w:p>
              </w:tc>
            </w:tr>
            <w:tr w14:paraId="77F5A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EE8790B">
                  <w:pPr>
                    <w:pStyle w:val="42"/>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30" w:type="dxa"/>
                  <w:shd w:val="clear" w:color="auto" w:fill="auto"/>
                  <w:noWrap w:val="0"/>
                  <w:vAlign w:val="center"/>
                </w:tcPr>
                <w:p w14:paraId="1C6132CB">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电力线</w:t>
                  </w:r>
                </w:p>
              </w:tc>
              <w:tc>
                <w:tcPr>
                  <w:tcW w:w="2370" w:type="dxa"/>
                  <w:shd w:val="clear" w:color="auto" w:fill="auto"/>
                  <w:noWrap w:val="0"/>
                  <w:vAlign w:val="center"/>
                </w:tcPr>
                <w:p w14:paraId="55D80DD8">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w:t>
                  </w:r>
                </w:p>
              </w:tc>
              <w:tc>
                <w:tcPr>
                  <w:tcW w:w="4192" w:type="dxa"/>
                  <w:shd w:val="clear" w:color="auto" w:fill="auto"/>
                  <w:noWrap w:val="0"/>
                  <w:vAlign w:val="center"/>
                </w:tcPr>
                <w:p w14:paraId="08FE25F1">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110千伏及以下线路</w:t>
                  </w:r>
                </w:p>
              </w:tc>
            </w:tr>
            <w:tr w14:paraId="1B4A6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465CF9E8">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7</w:t>
                  </w:r>
                </w:p>
              </w:tc>
              <w:tc>
                <w:tcPr>
                  <w:tcW w:w="1530" w:type="dxa"/>
                  <w:shd w:val="clear" w:color="auto" w:fill="auto"/>
                  <w:noWrap w:val="0"/>
                  <w:vAlign w:val="center"/>
                </w:tcPr>
                <w:p w14:paraId="6869CA3A">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弱电</w:t>
                  </w:r>
                  <w:r>
                    <w:rPr>
                      <w:rFonts w:hint="eastAsia" w:ascii="Times New Roman" w:hAnsi="Times New Roman" w:eastAsia="宋体" w:cs="Times New Roman"/>
                      <w:color w:val="auto"/>
                      <w:kern w:val="2"/>
                      <w:sz w:val="21"/>
                      <w:szCs w:val="21"/>
                      <w:highlight w:val="none"/>
                      <w:lang w:val="en-US" w:eastAsia="zh-CN" w:bidi="ar-SA"/>
                    </w:rPr>
                    <w:t>线</w:t>
                  </w:r>
                </w:p>
              </w:tc>
              <w:tc>
                <w:tcPr>
                  <w:tcW w:w="2370" w:type="dxa"/>
                  <w:shd w:val="clear" w:color="auto" w:fill="auto"/>
                  <w:noWrap w:val="0"/>
                  <w:vAlign w:val="center"/>
                </w:tcPr>
                <w:p w14:paraId="334C68B9">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4192" w:type="dxa"/>
                  <w:noWrap w:val="0"/>
                  <w:vAlign w:val="center"/>
                </w:tcPr>
                <w:p w14:paraId="7059A382">
                  <w:pPr>
                    <w:pStyle w:val="42"/>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tc>
            </w:tr>
            <w:tr w14:paraId="318FD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70111240">
                  <w:pPr>
                    <w:pStyle w:val="42"/>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8</w:t>
                  </w:r>
                </w:p>
              </w:tc>
              <w:tc>
                <w:tcPr>
                  <w:tcW w:w="1530" w:type="dxa"/>
                  <w:shd w:val="clear" w:color="auto" w:fill="auto"/>
                  <w:noWrap w:val="0"/>
                  <w:vAlign w:val="center"/>
                </w:tcPr>
                <w:p w14:paraId="23EA16B2">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树木</w:t>
                  </w:r>
                </w:p>
              </w:tc>
              <w:tc>
                <w:tcPr>
                  <w:tcW w:w="2370" w:type="dxa"/>
                  <w:shd w:val="clear" w:color="auto" w:fill="auto"/>
                  <w:noWrap w:val="0"/>
                  <w:vAlign w:val="center"/>
                </w:tcPr>
                <w:p w14:paraId="1116DF92">
                  <w:pPr>
                    <w:pStyle w:val="4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r>
                    <w:rPr>
                      <w:rFonts w:hint="default" w:ascii="Times New Roman" w:hAnsi="Times New Roman" w:eastAsia="宋体" w:cs="Times New Roman"/>
                      <w:color w:val="auto"/>
                      <w:sz w:val="21"/>
                      <w:szCs w:val="21"/>
                      <w:highlight w:val="none"/>
                      <w:lang w:val="en-US" w:eastAsia="zh-CN"/>
                    </w:rPr>
                    <w:t>0</w:t>
                  </w:r>
                </w:p>
              </w:tc>
              <w:tc>
                <w:tcPr>
                  <w:tcW w:w="4192" w:type="dxa"/>
                  <w:noWrap w:val="0"/>
                  <w:vAlign w:val="center"/>
                </w:tcPr>
                <w:p w14:paraId="32D9E5E5">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仿宋_GB2312" w:cs="Times New Roman"/>
                      <w:i w:val="0"/>
                      <w:iCs w:val="0"/>
                      <w:color w:val="auto"/>
                      <w:kern w:val="2"/>
                      <w:sz w:val="21"/>
                      <w:szCs w:val="21"/>
                      <w:highlight w:val="none"/>
                      <w:u w:val="none"/>
                      <w:lang w:val="en-US" w:eastAsia="zh-CN" w:bidi="ar"/>
                    </w:rPr>
                    <w:t>/</w:t>
                  </w:r>
                </w:p>
              </w:tc>
            </w:tr>
            <w:tr w14:paraId="2E91D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76099AC">
                  <w:pPr>
                    <w:pStyle w:val="4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530" w:type="dxa"/>
                  <w:noWrap w:val="0"/>
                  <w:vAlign w:val="center"/>
                </w:tcPr>
                <w:p w14:paraId="1629EE0C">
                  <w:pPr>
                    <w:pStyle w:val="4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经济作物</w:t>
                  </w:r>
                </w:p>
              </w:tc>
              <w:tc>
                <w:tcPr>
                  <w:tcW w:w="2370" w:type="dxa"/>
                  <w:noWrap w:val="0"/>
                  <w:vAlign w:val="center"/>
                </w:tcPr>
                <w:p w14:paraId="483B3CBC">
                  <w:pPr>
                    <w:pStyle w:val="4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3.0</w:t>
                  </w:r>
                </w:p>
              </w:tc>
              <w:tc>
                <w:tcPr>
                  <w:tcW w:w="4192" w:type="dxa"/>
                  <w:noWrap w:val="0"/>
                  <w:vAlign w:val="center"/>
                </w:tcPr>
                <w:p w14:paraId="1A3BBB1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仿宋_GB2312" w:cs="Times New Roman"/>
                      <w:i w:val="0"/>
                      <w:iCs w:val="0"/>
                      <w:color w:val="auto"/>
                      <w:kern w:val="2"/>
                      <w:sz w:val="21"/>
                      <w:szCs w:val="21"/>
                      <w:highlight w:val="none"/>
                      <w:u w:val="none"/>
                      <w:lang w:val="en-US" w:eastAsia="zh-CN" w:bidi="ar"/>
                    </w:rPr>
                    <w:t>/</w:t>
                  </w:r>
                </w:p>
              </w:tc>
            </w:tr>
          </w:tbl>
          <w:p w14:paraId="10CFA9E4">
            <w:pPr>
              <w:numPr>
                <w:ilvl w:val="0"/>
                <w:numId w:val="0"/>
              </w:numPr>
              <w:spacing w:line="360" w:lineRule="auto"/>
              <w:ind w:firstLine="482" w:firstLineChars="200"/>
              <w:jc w:val="left"/>
              <w:rPr>
                <w:b/>
                <w:color w:val="auto"/>
                <w:sz w:val="24"/>
                <w:highlight w:val="none"/>
              </w:rPr>
            </w:pPr>
            <w:r>
              <w:rPr>
                <w:rFonts w:ascii="Times New Roman" w:hAnsi="Times New Roman" w:eastAsia="宋体" w:cs="Times New Roman"/>
                <w:b/>
                <w:color w:val="auto"/>
                <w:kern w:val="2"/>
                <w:sz w:val="24"/>
                <w:szCs w:val="24"/>
                <w:highlight w:val="none"/>
                <w:lang w:val="en-US" w:eastAsia="zh-CN" w:bidi="ar-SA"/>
              </w:rPr>
              <w:t>4、</w:t>
            </w:r>
            <w:r>
              <w:rPr>
                <w:b/>
                <w:color w:val="auto"/>
                <w:sz w:val="24"/>
                <w:highlight w:val="none"/>
              </w:rPr>
              <w:t>主要交叉跨越</w:t>
            </w:r>
          </w:p>
          <w:p w14:paraId="29246243">
            <w:pPr>
              <w:numPr>
                <w:ilvl w:val="0"/>
                <w:numId w:val="0"/>
              </w:numPr>
              <w:spacing w:line="360" w:lineRule="auto"/>
              <w:ind w:firstLine="480" w:firstLineChars="200"/>
              <w:jc w:val="left"/>
              <w:rPr>
                <w:b/>
                <w:color w:val="auto"/>
                <w:sz w:val="24"/>
                <w:highlight w:val="none"/>
              </w:rPr>
            </w:pPr>
            <w:r>
              <w:rPr>
                <w:rFonts w:hint="default" w:ascii="Times New Roman" w:hAnsi="Times New Roman" w:cs="Times New Roman" w:eastAsiaTheme="minorEastAsia"/>
                <w:color w:val="auto"/>
                <w:sz w:val="24"/>
                <w:highlight w:val="none"/>
              </w:rPr>
              <w:t>本项目线路主要交叉跨越情况见表2-3。</w:t>
            </w:r>
          </w:p>
          <w:p w14:paraId="73DA7EED">
            <w:pPr>
              <w:pStyle w:val="18"/>
              <w:spacing w:line="360" w:lineRule="auto"/>
              <w:jc w:val="center"/>
              <w:rPr>
                <w:rFonts w:hint="eastAsia" w:eastAsia="黑体"/>
                <w:color w:val="auto"/>
                <w:highlight w:val="none"/>
                <w:lang w:val="en-US" w:eastAsia="zh-CN"/>
              </w:rPr>
            </w:pPr>
            <w:r>
              <w:rPr>
                <w:rFonts w:hint="eastAsia" w:eastAsia="黑体"/>
                <w:b/>
                <w:color w:val="auto"/>
                <w:sz w:val="24"/>
                <w:szCs w:val="24"/>
                <w:highlight w:val="none"/>
              </w:rPr>
              <w:t>表2-</w:t>
            </w:r>
            <w:r>
              <w:rPr>
                <w:rFonts w:hint="eastAsia" w:eastAsia="黑体"/>
                <w:b/>
                <w:color w:val="auto"/>
                <w:sz w:val="24"/>
                <w:szCs w:val="24"/>
                <w:highlight w:val="none"/>
                <w:lang w:val="en-US" w:eastAsia="zh-CN"/>
              </w:rPr>
              <w:t>3</w:t>
            </w:r>
            <w:r>
              <w:rPr>
                <w:rFonts w:hint="eastAsia" w:eastAsia="黑体"/>
                <w:b/>
                <w:color w:val="auto"/>
                <w:sz w:val="24"/>
                <w:szCs w:val="24"/>
                <w:highlight w:val="none"/>
              </w:rPr>
              <w:t xml:space="preserve"> </w:t>
            </w:r>
            <w:r>
              <w:rPr>
                <w:rFonts w:hint="eastAsia" w:eastAsia="黑体"/>
                <w:b/>
                <w:color w:val="auto"/>
                <w:sz w:val="24"/>
                <w:szCs w:val="24"/>
                <w:highlight w:val="none"/>
                <w:lang w:val="en-US" w:eastAsia="zh-CN"/>
              </w:rPr>
              <w:t xml:space="preserve"> </w:t>
            </w:r>
            <w:r>
              <w:rPr>
                <w:rFonts w:hint="eastAsia" w:eastAsia="黑体"/>
                <w:b/>
                <w:color w:val="auto"/>
                <w:sz w:val="24"/>
                <w:szCs w:val="24"/>
                <w:highlight w:val="none"/>
              </w:rPr>
              <w:t>项目主要交叉跨越</w:t>
            </w:r>
            <w:r>
              <w:rPr>
                <w:rFonts w:hint="eastAsia" w:eastAsia="黑体"/>
                <w:b/>
                <w:color w:val="auto"/>
                <w:sz w:val="24"/>
                <w:szCs w:val="24"/>
                <w:highlight w:val="none"/>
                <w:lang w:val="en-US" w:eastAsia="zh-CN"/>
              </w:rPr>
              <w:t>情况</w:t>
            </w:r>
          </w:p>
          <w:tbl>
            <w:tblPr>
              <w:tblStyle w:val="29"/>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4"/>
              <w:gridCol w:w="2895"/>
              <w:gridCol w:w="2968"/>
            </w:tblGrid>
            <w:tr w14:paraId="0D823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vAlign w:val="center"/>
                </w:tcPr>
                <w:p w14:paraId="20443B17">
                  <w:pPr>
                    <w:jc w:val="center"/>
                    <w:rPr>
                      <w:b/>
                      <w:bCs/>
                      <w:color w:val="auto"/>
                      <w:highlight w:val="none"/>
                    </w:rPr>
                  </w:pPr>
                  <w:r>
                    <w:rPr>
                      <w:rFonts w:hint="eastAsia"/>
                      <w:b/>
                      <w:bCs/>
                      <w:color w:val="auto"/>
                      <w:highlight w:val="none"/>
                    </w:rPr>
                    <w:t>交叉跨越</w:t>
                  </w:r>
                  <w:r>
                    <w:rPr>
                      <w:rFonts w:hint="eastAsia"/>
                      <w:b/>
                      <w:bCs/>
                      <w:color w:val="auto"/>
                      <w:highlight w:val="none"/>
                      <w:lang w:val="en-US" w:eastAsia="zh-CN"/>
                    </w:rPr>
                    <w:t>物</w:t>
                  </w:r>
                  <w:r>
                    <w:rPr>
                      <w:rFonts w:hint="eastAsia"/>
                      <w:b/>
                      <w:bCs/>
                      <w:color w:val="auto"/>
                      <w:highlight w:val="none"/>
                    </w:rPr>
                    <w:t>名称</w:t>
                  </w:r>
                </w:p>
              </w:tc>
              <w:tc>
                <w:tcPr>
                  <w:tcW w:w="2895" w:type="dxa"/>
                  <w:tcBorders>
                    <w:tl2br w:val="nil"/>
                    <w:tr2bl w:val="nil"/>
                  </w:tcBorders>
                  <w:vAlign w:val="center"/>
                </w:tcPr>
                <w:p w14:paraId="749BB7E5">
                  <w:pPr>
                    <w:jc w:val="center"/>
                    <w:rPr>
                      <w:b/>
                      <w:bCs/>
                      <w:color w:val="auto"/>
                      <w:highlight w:val="none"/>
                    </w:rPr>
                  </w:pPr>
                  <w:r>
                    <w:rPr>
                      <w:rFonts w:hint="eastAsia"/>
                      <w:b/>
                      <w:bCs/>
                      <w:color w:val="auto"/>
                      <w:highlight w:val="none"/>
                    </w:rPr>
                    <w:t>次数</w:t>
                  </w:r>
                </w:p>
              </w:tc>
              <w:tc>
                <w:tcPr>
                  <w:tcW w:w="2968" w:type="dxa"/>
                  <w:tcBorders>
                    <w:tl2br w:val="nil"/>
                    <w:tr2bl w:val="nil"/>
                  </w:tcBorders>
                  <w:vAlign w:val="center"/>
                </w:tcPr>
                <w:p w14:paraId="14EAC487">
                  <w:pPr>
                    <w:jc w:val="center"/>
                    <w:rPr>
                      <w:b/>
                      <w:bCs/>
                      <w:color w:val="auto"/>
                      <w:highlight w:val="none"/>
                    </w:rPr>
                  </w:pPr>
                  <w:r>
                    <w:rPr>
                      <w:rFonts w:hint="eastAsia"/>
                      <w:b/>
                      <w:bCs/>
                      <w:color w:val="auto"/>
                      <w:highlight w:val="none"/>
                    </w:rPr>
                    <w:t>备注</w:t>
                  </w:r>
                </w:p>
              </w:tc>
            </w:tr>
            <w:tr w14:paraId="38526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vAlign w:val="center"/>
                </w:tcPr>
                <w:p w14:paraId="70AEE62C">
                  <w:pPr>
                    <w:adjustRightInd w:val="0"/>
                    <w:snapToGrid w:val="0"/>
                    <w:jc w:val="center"/>
                    <w:textAlignment w:val="baseline"/>
                    <w:rPr>
                      <w:rFonts w:hint="eastAsia"/>
                      <w:b/>
                      <w:bCs/>
                      <w:color w:val="auto"/>
                      <w:highlight w:val="none"/>
                    </w:rPr>
                  </w:pPr>
                  <w:r>
                    <w:rPr>
                      <w:rFonts w:hint="eastAsia" w:ascii="Times New Roman" w:hAnsi="Times New Roman" w:eastAsia="宋体" w:cs="Times New Roman"/>
                      <w:b w:val="0"/>
                      <w:color w:val="auto"/>
                      <w:kern w:val="0"/>
                      <w:sz w:val="21"/>
                      <w:highlight w:val="none"/>
                      <w:lang w:val="en-US" w:eastAsia="zh-CN"/>
                    </w:rPr>
                    <w:t>35kV风电线路</w:t>
                  </w:r>
                </w:p>
              </w:tc>
              <w:tc>
                <w:tcPr>
                  <w:tcW w:w="2895" w:type="dxa"/>
                  <w:tcBorders>
                    <w:tl2br w:val="nil"/>
                    <w:tr2bl w:val="nil"/>
                  </w:tcBorders>
                  <w:vAlign w:val="center"/>
                </w:tcPr>
                <w:p w14:paraId="7ECBBD8D">
                  <w:pPr>
                    <w:jc w:val="center"/>
                    <w:rPr>
                      <w:rFonts w:hint="eastAsia"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2</w:t>
                  </w:r>
                </w:p>
              </w:tc>
              <w:tc>
                <w:tcPr>
                  <w:tcW w:w="2968" w:type="dxa"/>
                  <w:tcBorders>
                    <w:tl2br w:val="nil"/>
                    <w:tr2bl w:val="nil"/>
                  </w:tcBorders>
                  <w:vAlign w:val="center"/>
                </w:tcPr>
                <w:p w14:paraId="0036DF3F">
                  <w:pPr>
                    <w:jc w:val="center"/>
                    <w:rPr>
                      <w:rFonts w:hint="eastAsia" w:eastAsia="宋体"/>
                      <w:b w:val="0"/>
                      <w:bCs w:val="0"/>
                      <w:color w:val="auto"/>
                      <w:highlight w:val="none"/>
                      <w:vertAlign w:val="baseline"/>
                      <w:lang w:val="en-US" w:eastAsia="zh-CN"/>
                    </w:rPr>
                  </w:pPr>
                  <w:r>
                    <w:rPr>
                      <w:rFonts w:hint="eastAsia"/>
                      <w:b w:val="0"/>
                      <w:bCs w:val="0"/>
                      <w:color w:val="auto"/>
                      <w:highlight w:val="none"/>
                      <w:vertAlign w:val="baseline"/>
                      <w:lang w:val="en-US" w:eastAsia="zh-CN"/>
                    </w:rPr>
                    <w:t>跨越</w:t>
                  </w:r>
                </w:p>
              </w:tc>
            </w:tr>
            <w:tr w14:paraId="15CB9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shd w:val="clear" w:color="auto" w:fill="auto"/>
                  <w:vAlign w:val="center"/>
                </w:tcPr>
                <w:p w14:paraId="5894EA65">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default" w:ascii="Times New Roman" w:hAnsi="Times New Roman" w:eastAsia="宋体" w:cs="Times New Roman"/>
                      <w:b w:val="0"/>
                      <w:color w:val="auto"/>
                      <w:kern w:val="0"/>
                      <w:sz w:val="21"/>
                      <w:highlight w:val="none"/>
                      <w:lang w:val="en-US" w:eastAsia="zh-CN"/>
                    </w:rPr>
                    <w:t>10kV</w:t>
                  </w:r>
                </w:p>
              </w:tc>
              <w:tc>
                <w:tcPr>
                  <w:tcW w:w="2895" w:type="dxa"/>
                  <w:tcBorders>
                    <w:tl2br w:val="nil"/>
                    <w:tr2bl w:val="nil"/>
                  </w:tcBorders>
                  <w:shd w:val="clear" w:color="auto" w:fill="auto"/>
                  <w:vAlign w:val="center"/>
                </w:tcPr>
                <w:p w14:paraId="63F11010">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highlight w:val="none"/>
                      <w:lang w:val="en-US" w:eastAsia="zh-CN"/>
                    </w:rPr>
                    <w:t>5</w:t>
                  </w:r>
                </w:p>
              </w:tc>
              <w:tc>
                <w:tcPr>
                  <w:tcW w:w="2968" w:type="dxa"/>
                  <w:tcBorders>
                    <w:tl2br w:val="nil"/>
                    <w:tr2bl w:val="nil"/>
                  </w:tcBorders>
                  <w:vAlign w:val="center"/>
                </w:tcPr>
                <w:p w14:paraId="32021AD1">
                  <w:pPr>
                    <w:jc w:val="center"/>
                    <w:rPr>
                      <w:color w:val="auto"/>
                      <w:highlight w:val="none"/>
                    </w:rPr>
                  </w:pPr>
                  <w:r>
                    <w:rPr>
                      <w:rFonts w:hint="eastAsia"/>
                      <w:color w:val="auto"/>
                      <w:highlight w:val="none"/>
                      <w:lang w:val="en-US" w:eastAsia="zh-CN"/>
                    </w:rPr>
                    <w:t>跨越</w:t>
                  </w:r>
                </w:p>
              </w:tc>
            </w:tr>
            <w:tr w14:paraId="5ACA0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shd w:val="clear" w:color="auto" w:fill="auto"/>
                  <w:vAlign w:val="center"/>
                </w:tcPr>
                <w:p w14:paraId="3E95C3B4">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default" w:ascii="Times New Roman" w:hAnsi="Times New Roman" w:eastAsia="宋体" w:cs="Times New Roman"/>
                      <w:b w:val="0"/>
                      <w:color w:val="auto"/>
                      <w:kern w:val="0"/>
                      <w:sz w:val="21"/>
                      <w:highlight w:val="none"/>
                      <w:lang w:val="en-US" w:eastAsia="zh-CN"/>
                    </w:rPr>
                    <w:t>220/280V</w:t>
                  </w:r>
                </w:p>
              </w:tc>
              <w:tc>
                <w:tcPr>
                  <w:tcW w:w="2895" w:type="dxa"/>
                  <w:tcBorders>
                    <w:tl2br w:val="nil"/>
                    <w:tr2bl w:val="nil"/>
                  </w:tcBorders>
                  <w:shd w:val="clear" w:color="auto" w:fill="auto"/>
                  <w:vAlign w:val="center"/>
                </w:tcPr>
                <w:p w14:paraId="1281B014">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default" w:ascii="Times New Roman" w:hAnsi="Times New Roman" w:eastAsia="宋体" w:cs="Times New Roman"/>
                      <w:b w:val="0"/>
                      <w:color w:val="auto"/>
                      <w:kern w:val="0"/>
                      <w:sz w:val="21"/>
                      <w:highlight w:val="none"/>
                      <w:lang w:val="en-US" w:eastAsia="zh-CN"/>
                    </w:rPr>
                    <w:t>3</w:t>
                  </w:r>
                </w:p>
              </w:tc>
              <w:tc>
                <w:tcPr>
                  <w:tcW w:w="2968" w:type="dxa"/>
                  <w:tcBorders>
                    <w:tl2br w:val="nil"/>
                    <w:tr2bl w:val="nil"/>
                  </w:tcBorders>
                  <w:vAlign w:val="center"/>
                </w:tcPr>
                <w:p w14:paraId="144CA105">
                  <w:pPr>
                    <w:jc w:val="center"/>
                    <w:rPr>
                      <w:color w:val="auto"/>
                      <w:highlight w:val="none"/>
                    </w:rPr>
                  </w:pPr>
                  <w:r>
                    <w:rPr>
                      <w:rFonts w:hint="eastAsia"/>
                      <w:color w:val="auto"/>
                      <w:highlight w:val="none"/>
                      <w:lang w:val="en-US" w:eastAsia="zh-CN"/>
                    </w:rPr>
                    <w:t>跨越</w:t>
                  </w:r>
                </w:p>
              </w:tc>
            </w:tr>
            <w:tr w14:paraId="49C62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shd w:val="clear" w:color="auto" w:fill="auto"/>
                  <w:vAlign w:val="center"/>
                </w:tcPr>
                <w:p w14:paraId="13951692">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default" w:ascii="Times New Roman" w:hAnsi="Times New Roman" w:eastAsia="宋体" w:cs="Times New Roman"/>
                      <w:b w:val="0"/>
                      <w:color w:val="auto"/>
                      <w:kern w:val="0"/>
                      <w:sz w:val="21"/>
                      <w:highlight w:val="none"/>
                      <w:lang w:val="en-US" w:eastAsia="zh-CN"/>
                    </w:rPr>
                    <w:t>通信线</w:t>
                  </w:r>
                </w:p>
              </w:tc>
              <w:tc>
                <w:tcPr>
                  <w:tcW w:w="2895" w:type="dxa"/>
                  <w:tcBorders>
                    <w:tl2br w:val="nil"/>
                    <w:tr2bl w:val="nil"/>
                  </w:tcBorders>
                  <w:shd w:val="clear" w:color="auto" w:fill="auto"/>
                  <w:vAlign w:val="center"/>
                </w:tcPr>
                <w:p w14:paraId="598FA4A5">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highlight w:val="none"/>
                      <w:lang w:val="en-US" w:eastAsia="zh-CN"/>
                    </w:rPr>
                    <w:t>9</w:t>
                  </w:r>
                </w:p>
              </w:tc>
              <w:tc>
                <w:tcPr>
                  <w:tcW w:w="2968" w:type="dxa"/>
                  <w:tcBorders>
                    <w:tl2br w:val="nil"/>
                    <w:tr2bl w:val="nil"/>
                  </w:tcBorders>
                  <w:vAlign w:val="center"/>
                </w:tcPr>
                <w:p w14:paraId="76AC4453">
                  <w:pPr>
                    <w:jc w:val="center"/>
                    <w:rPr>
                      <w:color w:val="auto"/>
                      <w:highlight w:val="none"/>
                    </w:rPr>
                  </w:pPr>
                  <w:r>
                    <w:rPr>
                      <w:rFonts w:hint="eastAsia"/>
                      <w:color w:val="auto"/>
                      <w:highlight w:val="none"/>
                      <w:lang w:val="en-US" w:eastAsia="zh-CN"/>
                    </w:rPr>
                    <w:t>跨越</w:t>
                  </w:r>
                </w:p>
              </w:tc>
            </w:tr>
            <w:tr w14:paraId="59AB2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shd w:val="clear" w:color="auto" w:fill="auto"/>
                  <w:vAlign w:val="center"/>
                </w:tcPr>
                <w:p w14:paraId="104864BF">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default" w:ascii="Times New Roman" w:hAnsi="Times New Roman" w:eastAsia="宋体" w:cs="Times New Roman"/>
                      <w:b w:val="0"/>
                      <w:color w:val="auto"/>
                      <w:kern w:val="0"/>
                      <w:sz w:val="21"/>
                      <w:highlight w:val="none"/>
                      <w:lang w:val="en-US" w:eastAsia="zh-CN"/>
                    </w:rPr>
                    <w:t>硬化公路</w:t>
                  </w:r>
                </w:p>
              </w:tc>
              <w:tc>
                <w:tcPr>
                  <w:tcW w:w="2895" w:type="dxa"/>
                  <w:tcBorders>
                    <w:tl2br w:val="nil"/>
                    <w:tr2bl w:val="nil"/>
                  </w:tcBorders>
                  <w:shd w:val="clear" w:color="auto" w:fill="auto"/>
                  <w:vAlign w:val="center"/>
                </w:tcPr>
                <w:p w14:paraId="7EACCD8A">
                  <w:pPr>
                    <w:adjustRightInd w:val="0"/>
                    <w:snapToGrid w:val="0"/>
                    <w:jc w:val="center"/>
                    <w:textAlignment w:val="baseline"/>
                    <w:rPr>
                      <w:rFonts w:hint="default" w:ascii="Times New Roman" w:hAnsi="Times New Roman" w:eastAsia="宋体" w:cs="Times New Roman"/>
                      <w:b w:val="0"/>
                      <w:color w:val="auto"/>
                      <w:kern w:val="0"/>
                      <w:sz w:val="21"/>
                      <w:szCs w:val="24"/>
                      <w:highlight w:val="none"/>
                      <w:lang w:val="en-US" w:eastAsia="zh-CN" w:bidi="ar-SA"/>
                    </w:rPr>
                  </w:pPr>
                  <w:r>
                    <w:rPr>
                      <w:rFonts w:hint="eastAsia" w:cs="Times New Roman"/>
                      <w:b w:val="0"/>
                      <w:color w:val="auto"/>
                      <w:kern w:val="0"/>
                      <w:sz w:val="21"/>
                      <w:highlight w:val="none"/>
                      <w:lang w:val="en-US" w:eastAsia="zh-CN"/>
                    </w:rPr>
                    <w:t>16</w:t>
                  </w:r>
                </w:p>
              </w:tc>
              <w:tc>
                <w:tcPr>
                  <w:tcW w:w="2968" w:type="dxa"/>
                  <w:tcBorders>
                    <w:tl2br w:val="nil"/>
                    <w:tr2bl w:val="nil"/>
                  </w:tcBorders>
                  <w:vAlign w:val="center"/>
                </w:tcPr>
                <w:p w14:paraId="3CAB629A">
                  <w:pPr>
                    <w:jc w:val="center"/>
                    <w:rPr>
                      <w:rFonts w:hint="default" w:eastAsia="宋体"/>
                      <w:color w:val="auto"/>
                      <w:highlight w:val="none"/>
                      <w:lang w:val="en-US" w:eastAsia="zh-CN"/>
                    </w:rPr>
                  </w:pPr>
                  <w:r>
                    <w:rPr>
                      <w:rFonts w:hint="eastAsia"/>
                      <w:color w:val="auto"/>
                      <w:highlight w:val="none"/>
                      <w:lang w:val="en-US" w:eastAsia="zh-CN"/>
                    </w:rPr>
                    <w:t>跨越</w:t>
                  </w:r>
                </w:p>
              </w:tc>
            </w:tr>
            <w:tr w14:paraId="7ED66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4" w:type="dxa"/>
                  <w:tcBorders>
                    <w:tl2br w:val="nil"/>
                    <w:tr2bl w:val="nil"/>
                  </w:tcBorders>
                  <w:shd w:val="clear" w:color="auto" w:fill="auto"/>
                  <w:vAlign w:val="center"/>
                </w:tcPr>
                <w:p w14:paraId="0E432D26">
                  <w:pPr>
                    <w:adjustRightInd w:val="0"/>
                    <w:snapToGrid w:val="0"/>
                    <w:jc w:val="center"/>
                    <w:textAlignment w:val="baseline"/>
                    <w:rPr>
                      <w:rFonts w:hint="default" w:ascii="Times New Roman" w:hAnsi="Times New Roman" w:eastAsia="宋体" w:cs="Times New Roman"/>
                      <w:b w:val="0"/>
                      <w:color w:val="auto"/>
                      <w:kern w:val="0"/>
                      <w:sz w:val="21"/>
                      <w:highlight w:val="none"/>
                      <w:lang w:val="en-US" w:eastAsia="zh-CN"/>
                    </w:rPr>
                  </w:pPr>
                  <w:r>
                    <w:rPr>
                      <w:rFonts w:hint="default" w:ascii="Times New Roman" w:hAnsi="Times New Roman" w:eastAsia="宋体" w:cs="Times New Roman"/>
                      <w:b w:val="0"/>
                      <w:color w:val="auto"/>
                      <w:kern w:val="0"/>
                      <w:sz w:val="21"/>
                      <w:highlight w:val="none"/>
                      <w:lang w:val="en-US" w:eastAsia="zh-CN"/>
                    </w:rPr>
                    <w:t>筛子河及其他冲沟等</w:t>
                  </w:r>
                </w:p>
              </w:tc>
              <w:tc>
                <w:tcPr>
                  <w:tcW w:w="2895" w:type="dxa"/>
                  <w:tcBorders>
                    <w:tl2br w:val="nil"/>
                    <w:tr2bl w:val="nil"/>
                  </w:tcBorders>
                  <w:shd w:val="clear" w:color="auto" w:fill="auto"/>
                  <w:vAlign w:val="center"/>
                </w:tcPr>
                <w:p w14:paraId="37E08523">
                  <w:pPr>
                    <w:adjustRightInd w:val="0"/>
                    <w:snapToGrid w:val="0"/>
                    <w:jc w:val="center"/>
                    <w:textAlignment w:val="baseline"/>
                    <w:rPr>
                      <w:rFonts w:hint="default" w:cs="Times New Roman"/>
                      <w:b w:val="0"/>
                      <w:color w:val="auto"/>
                      <w:kern w:val="0"/>
                      <w:sz w:val="21"/>
                      <w:highlight w:val="none"/>
                      <w:lang w:val="en-US" w:eastAsia="zh-CN"/>
                    </w:rPr>
                  </w:pPr>
                  <w:r>
                    <w:rPr>
                      <w:rFonts w:hint="eastAsia" w:cs="Times New Roman"/>
                      <w:b w:val="0"/>
                      <w:color w:val="auto"/>
                      <w:kern w:val="0"/>
                      <w:sz w:val="21"/>
                      <w:highlight w:val="none"/>
                      <w:lang w:val="en-US" w:eastAsia="zh-CN"/>
                    </w:rPr>
                    <w:t>5</w:t>
                  </w:r>
                </w:p>
              </w:tc>
              <w:tc>
                <w:tcPr>
                  <w:tcW w:w="2968" w:type="dxa"/>
                  <w:tcBorders>
                    <w:tl2br w:val="nil"/>
                    <w:tr2bl w:val="nil"/>
                  </w:tcBorders>
                  <w:vAlign w:val="center"/>
                </w:tcPr>
                <w:p w14:paraId="42386F33">
                  <w:pPr>
                    <w:jc w:val="center"/>
                    <w:rPr>
                      <w:rFonts w:hint="default"/>
                      <w:color w:val="auto"/>
                      <w:highlight w:val="none"/>
                      <w:lang w:val="en-US" w:eastAsia="zh-CN"/>
                    </w:rPr>
                  </w:pPr>
                  <w:r>
                    <w:rPr>
                      <w:rFonts w:hint="eastAsia"/>
                      <w:color w:val="auto"/>
                      <w:highlight w:val="none"/>
                      <w:lang w:val="en-US" w:eastAsia="zh-CN"/>
                    </w:rPr>
                    <w:t>一档跨越</w:t>
                  </w:r>
                </w:p>
              </w:tc>
            </w:tr>
          </w:tbl>
          <w:p w14:paraId="28B6C05E">
            <w:pPr>
              <w:spacing w:line="360" w:lineRule="auto"/>
              <w:ind w:firstLine="482" w:firstLineChars="200"/>
              <w:rPr>
                <w:b/>
                <w:color w:val="auto"/>
                <w:sz w:val="24"/>
                <w:highlight w:val="none"/>
              </w:rPr>
            </w:pPr>
            <w:r>
              <w:rPr>
                <w:rFonts w:hint="eastAsia"/>
                <w:b/>
                <w:color w:val="auto"/>
                <w:sz w:val="24"/>
                <w:highlight w:val="none"/>
                <w:lang w:val="en-US" w:eastAsia="zh-CN"/>
              </w:rPr>
              <w:t>5</w:t>
            </w:r>
            <w:r>
              <w:rPr>
                <w:b/>
                <w:color w:val="auto"/>
                <w:sz w:val="24"/>
                <w:highlight w:val="none"/>
              </w:rPr>
              <w:t>、导线和地线</w:t>
            </w:r>
          </w:p>
          <w:p w14:paraId="05FEA966">
            <w:pPr>
              <w:spacing w:line="360" w:lineRule="auto"/>
              <w:ind w:firstLine="480" w:firstLineChars="200"/>
              <w:rPr>
                <w:color w:val="auto"/>
                <w:sz w:val="24"/>
                <w:highlight w:val="none"/>
              </w:rPr>
            </w:pPr>
            <w:r>
              <w:rPr>
                <w:rFonts w:hint="eastAsia"/>
                <w:bCs/>
                <w:color w:val="auto"/>
                <w:sz w:val="24"/>
                <w:highlight w:val="none"/>
                <w:lang w:val="en-US" w:eastAsia="zh-CN"/>
              </w:rPr>
              <w:t>本项目导线采用</w:t>
            </w:r>
            <w:r>
              <w:rPr>
                <w:rFonts w:hint="default" w:ascii="Times New Roman" w:hAnsi="Times New Roman" w:cs="Times New Roman"/>
                <w:bCs/>
                <w:color w:val="auto"/>
                <w:sz w:val="24"/>
                <w:highlight w:val="none"/>
                <w:lang w:val="en-US" w:eastAsia="zh-CN"/>
              </w:rPr>
              <w:t>1×</w:t>
            </w:r>
            <w:r>
              <w:rPr>
                <w:rFonts w:hint="eastAsia"/>
                <w:bCs/>
                <w:color w:val="auto"/>
                <w:sz w:val="24"/>
                <w:highlight w:val="none"/>
                <w:lang w:val="en-US" w:eastAsia="zh-CN"/>
              </w:rPr>
              <w:t>JL3/G1A-300/40-24/7钢芯高导电率铝绞线，地线1根采用48芯OPGW光纤复合架空地线，1根采用JLB20A-100铝包钢绞线</w:t>
            </w:r>
            <w:r>
              <w:rPr>
                <w:rFonts w:hint="eastAsia"/>
                <w:bCs/>
                <w:color w:val="auto"/>
                <w:sz w:val="24"/>
                <w:highlight w:val="none"/>
              </w:rPr>
              <w:t>。</w:t>
            </w:r>
          </w:p>
          <w:p w14:paraId="15B559F7">
            <w:pPr>
              <w:spacing w:line="360" w:lineRule="auto"/>
              <w:ind w:firstLine="482" w:firstLineChars="200"/>
              <w:jc w:val="left"/>
              <w:rPr>
                <w:b/>
                <w:color w:val="auto"/>
                <w:sz w:val="24"/>
                <w:highlight w:val="none"/>
              </w:rPr>
            </w:pPr>
            <w:r>
              <w:rPr>
                <w:rFonts w:hint="eastAsia"/>
                <w:b/>
                <w:color w:val="auto"/>
                <w:sz w:val="24"/>
                <w:highlight w:val="none"/>
                <w:lang w:val="en-US" w:eastAsia="zh-CN"/>
              </w:rPr>
              <w:t>6</w:t>
            </w:r>
            <w:r>
              <w:rPr>
                <w:b/>
                <w:color w:val="auto"/>
                <w:sz w:val="24"/>
                <w:highlight w:val="none"/>
              </w:rPr>
              <w:t>、杆塔型式和基础型式</w:t>
            </w:r>
          </w:p>
          <w:p w14:paraId="34EFC1B3">
            <w:pPr>
              <w:spacing w:line="360" w:lineRule="auto"/>
              <w:ind w:firstLine="480" w:firstLineChars="200"/>
              <w:rPr>
                <w:rFonts w:eastAsia="黑体"/>
                <w:bCs/>
                <w:color w:val="auto"/>
                <w:sz w:val="24"/>
                <w:highlight w:val="none"/>
              </w:rPr>
            </w:pPr>
            <w:r>
              <w:rPr>
                <w:bCs/>
                <w:color w:val="auto"/>
                <w:sz w:val="24"/>
                <w:highlight w:val="none"/>
              </w:rPr>
              <w:t>本项目</w:t>
            </w:r>
            <w:r>
              <w:rPr>
                <w:rFonts w:hint="eastAsia"/>
                <w:bCs/>
                <w:color w:val="auto"/>
                <w:sz w:val="24"/>
                <w:highlight w:val="none"/>
                <w:lang w:val="en-US" w:eastAsia="zh-CN"/>
              </w:rPr>
              <w:t>拟</w:t>
            </w:r>
            <w:r>
              <w:rPr>
                <w:rFonts w:hint="default"/>
                <w:bCs/>
                <w:color w:val="auto"/>
                <w:sz w:val="24"/>
                <w:highlight w:val="none"/>
              </w:rPr>
              <w:t>建</w:t>
            </w:r>
            <w:r>
              <w:rPr>
                <w:rFonts w:hint="eastAsia"/>
                <w:bCs/>
                <w:color w:val="auto"/>
                <w:sz w:val="24"/>
                <w:highlight w:val="none"/>
                <w:lang w:val="en-US" w:eastAsia="zh-CN"/>
              </w:rPr>
              <w:t>铁塔54</w:t>
            </w:r>
            <w:r>
              <w:rPr>
                <w:rFonts w:hint="default"/>
                <w:bCs/>
                <w:color w:val="auto"/>
                <w:sz w:val="24"/>
                <w:highlight w:val="none"/>
              </w:rPr>
              <w:t>基，其中：</w:t>
            </w:r>
            <w:r>
              <w:rPr>
                <w:rFonts w:hint="default"/>
                <w:bCs/>
                <w:color w:val="auto"/>
                <w:sz w:val="24"/>
                <w:highlight w:val="none"/>
                <w:lang w:val="en-US" w:eastAsia="zh-CN"/>
              </w:rPr>
              <w:t>单回路直线塔</w:t>
            </w:r>
            <w:r>
              <w:rPr>
                <w:rFonts w:hint="eastAsia"/>
                <w:bCs/>
                <w:color w:val="auto"/>
                <w:sz w:val="24"/>
                <w:highlight w:val="none"/>
                <w:lang w:val="en-US" w:eastAsia="zh-CN"/>
              </w:rPr>
              <w:t>34</w:t>
            </w:r>
            <w:r>
              <w:rPr>
                <w:rFonts w:hint="default"/>
                <w:bCs/>
                <w:color w:val="auto"/>
                <w:sz w:val="24"/>
                <w:highlight w:val="none"/>
                <w:lang w:val="en-US" w:eastAsia="zh-CN"/>
              </w:rPr>
              <w:t>基，单回路耐张塔</w:t>
            </w:r>
            <w:r>
              <w:rPr>
                <w:rFonts w:hint="eastAsia"/>
                <w:bCs/>
                <w:color w:val="auto"/>
                <w:sz w:val="24"/>
                <w:highlight w:val="none"/>
                <w:lang w:val="en-US" w:eastAsia="zh-CN"/>
              </w:rPr>
              <w:t>19</w:t>
            </w:r>
            <w:r>
              <w:rPr>
                <w:rFonts w:hint="default"/>
                <w:bCs/>
                <w:color w:val="auto"/>
                <w:sz w:val="24"/>
                <w:highlight w:val="none"/>
                <w:lang w:val="en-US" w:eastAsia="zh-CN"/>
              </w:rPr>
              <w:t>基，双回路耐张塔1基</w:t>
            </w:r>
            <w:r>
              <w:rPr>
                <w:bCs/>
                <w:color w:val="auto"/>
                <w:sz w:val="24"/>
                <w:highlight w:val="none"/>
              </w:rPr>
              <w:t>。根据沿线地形地貌特征、地质条件，结合环境保护、水土保持等要求，本项目</w:t>
            </w:r>
            <w:r>
              <w:rPr>
                <w:rFonts w:hint="eastAsia"/>
                <w:bCs/>
                <w:color w:val="auto"/>
                <w:sz w:val="24"/>
                <w:highlight w:val="none"/>
                <w:lang w:val="en-US" w:eastAsia="zh-CN"/>
              </w:rPr>
              <w:t>均</w:t>
            </w:r>
            <w:r>
              <w:rPr>
                <w:bCs/>
                <w:color w:val="auto"/>
                <w:sz w:val="24"/>
                <w:highlight w:val="none"/>
              </w:rPr>
              <w:t>采用</w:t>
            </w:r>
            <w:r>
              <w:rPr>
                <w:rFonts w:hint="eastAsia"/>
                <w:bCs/>
                <w:color w:val="auto"/>
                <w:sz w:val="24"/>
                <w:highlight w:val="none"/>
                <w:lang w:val="en-US" w:eastAsia="zh-CN"/>
              </w:rPr>
              <w:t>挖孔桩基础</w:t>
            </w:r>
            <w:r>
              <w:rPr>
                <w:bCs/>
                <w:color w:val="auto"/>
                <w:sz w:val="24"/>
                <w:highlight w:val="none"/>
              </w:rPr>
              <w:t>。本项目杆塔、基础</w:t>
            </w:r>
            <w:r>
              <w:rPr>
                <w:rFonts w:hint="eastAsia"/>
                <w:bCs/>
                <w:color w:val="auto"/>
                <w:sz w:val="24"/>
                <w:highlight w:val="none"/>
                <w:lang w:val="en-US" w:eastAsia="zh-CN"/>
              </w:rPr>
              <w:t>分别</w:t>
            </w:r>
            <w:r>
              <w:rPr>
                <w:bCs/>
                <w:color w:val="auto"/>
                <w:sz w:val="24"/>
                <w:highlight w:val="none"/>
              </w:rPr>
              <w:t>见</w:t>
            </w:r>
            <w:r>
              <w:rPr>
                <w:b/>
                <w:bCs w:val="0"/>
                <w:color w:val="auto"/>
                <w:sz w:val="24"/>
                <w:highlight w:val="none"/>
              </w:rPr>
              <w:t>附图</w:t>
            </w:r>
            <w:r>
              <w:rPr>
                <w:rFonts w:hint="eastAsia"/>
                <w:b/>
                <w:bCs w:val="0"/>
                <w:color w:val="auto"/>
                <w:sz w:val="24"/>
                <w:highlight w:val="none"/>
                <w:lang w:val="en-US" w:eastAsia="zh-CN"/>
              </w:rPr>
              <w:t>2-2</w:t>
            </w:r>
            <w:r>
              <w:rPr>
                <w:rFonts w:hint="eastAsia"/>
                <w:bCs/>
                <w:color w:val="auto"/>
                <w:sz w:val="24"/>
                <w:highlight w:val="none"/>
              </w:rPr>
              <w:t>、</w:t>
            </w:r>
            <w:r>
              <w:rPr>
                <w:rFonts w:hint="eastAsia"/>
                <w:b/>
                <w:bCs w:val="0"/>
                <w:color w:val="auto"/>
                <w:sz w:val="24"/>
                <w:highlight w:val="none"/>
              </w:rPr>
              <w:t>附图</w:t>
            </w:r>
            <w:r>
              <w:rPr>
                <w:rFonts w:hint="eastAsia"/>
                <w:b/>
                <w:bCs w:val="0"/>
                <w:color w:val="auto"/>
                <w:sz w:val="24"/>
                <w:highlight w:val="none"/>
                <w:lang w:val="en-US" w:eastAsia="zh-CN"/>
              </w:rPr>
              <w:t>2-3</w:t>
            </w:r>
            <w:r>
              <w:rPr>
                <w:bCs/>
                <w:color w:val="auto"/>
                <w:sz w:val="24"/>
                <w:highlight w:val="none"/>
              </w:rPr>
              <w:t>。</w:t>
            </w:r>
          </w:p>
          <w:p w14:paraId="39451568">
            <w:pPr>
              <w:spacing w:line="360" w:lineRule="auto"/>
              <w:ind w:firstLine="482" w:firstLineChars="200"/>
              <w:rPr>
                <w:bCs/>
                <w:color w:val="auto"/>
                <w:sz w:val="24"/>
                <w:highlight w:val="none"/>
              </w:rPr>
            </w:pPr>
            <w:r>
              <w:rPr>
                <w:rFonts w:hint="eastAsia"/>
                <w:b/>
                <w:color w:val="auto"/>
                <w:sz w:val="24"/>
                <w:highlight w:val="none"/>
                <w:lang w:val="en-US" w:eastAsia="zh-CN"/>
              </w:rPr>
              <w:t>7</w:t>
            </w:r>
            <w:r>
              <w:rPr>
                <w:rFonts w:hint="eastAsia"/>
                <w:b/>
                <w:color w:val="auto"/>
                <w:sz w:val="24"/>
                <w:highlight w:val="none"/>
              </w:rPr>
              <w:t>、项目占地</w:t>
            </w:r>
          </w:p>
          <w:p w14:paraId="06D6EE63">
            <w:pPr>
              <w:spacing w:line="360" w:lineRule="auto"/>
              <w:ind w:firstLine="480" w:firstLineChars="200"/>
              <w:rPr>
                <w:rFonts w:hint="eastAsia" w:eastAsia="黑体"/>
                <w:b/>
                <w:color w:val="auto"/>
                <w:sz w:val="24"/>
                <w:highlight w:val="none"/>
              </w:rPr>
            </w:pPr>
            <w:r>
              <w:rPr>
                <w:rFonts w:hint="eastAsia"/>
                <w:bCs/>
                <w:color w:val="auto"/>
                <w:sz w:val="24"/>
                <w:highlight w:val="none"/>
                <w:lang w:val="en-US" w:eastAsia="zh-CN"/>
              </w:rPr>
              <w:t>本项目不设置跨越场，</w:t>
            </w:r>
            <w:bookmarkStart w:id="22" w:name="_Toc32402"/>
            <w:r>
              <w:rPr>
                <w:rFonts w:hint="default" w:ascii="Times New Roman" w:hAnsi="Times New Roman" w:cs="Times New Roman" w:eastAsiaTheme="minorEastAsia"/>
                <w:color w:val="auto"/>
                <w:sz w:val="24"/>
                <w:highlight w:val="none"/>
              </w:rPr>
              <w:t>项目建设区占地包括永久占地和临时占地，永久占地包括新建变电站站区、</w:t>
            </w:r>
            <w:r>
              <w:rPr>
                <w:rFonts w:hint="eastAsia" w:cs="Times New Roman" w:eastAsiaTheme="minorEastAsia"/>
                <w:color w:val="auto"/>
                <w:sz w:val="24"/>
                <w:highlight w:val="none"/>
                <w:lang w:val="en-US" w:eastAsia="zh-CN"/>
              </w:rPr>
              <w:t>110千伏</w:t>
            </w:r>
            <w:r>
              <w:rPr>
                <w:rFonts w:hint="default" w:ascii="Times New Roman" w:hAnsi="Times New Roman" w:cs="Times New Roman" w:eastAsiaTheme="minorEastAsia"/>
                <w:color w:val="auto"/>
                <w:sz w:val="24"/>
                <w:highlight w:val="none"/>
              </w:rPr>
              <w:t>输电线路塔基区等；临时占地包括施工</w:t>
            </w:r>
            <w:r>
              <w:rPr>
                <w:rFonts w:hint="eastAsia" w:ascii="Times New Roman" w:hAnsi="Times New Roman" w:cs="Times New Roman" w:eastAsiaTheme="minorEastAsia"/>
                <w:color w:val="auto"/>
                <w:sz w:val="24"/>
                <w:highlight w:val="none"/>
                <w:lang w:val="en-US" w:eastAsia="zh-CN"/>
              </w:rPr>
              <w:t>营地</w:t>
            </w:r>
            <w:r>
              <w:rPr>
                <w:rFonts w:hint="eastAsia"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站外供水及排水管线</w:t>
            </w:r>
            <w:r>
              <w:rPr>
                <w:rFonts w:hint="eastAsia" w:ascii="Times New Roman" w:hAnsi="Times New Roman" w:cs="Times New Roman" w:eastAsiaTheme="minorEastAsia"/>
                <w:color w:val="auto"/>
                <w:sz w:val="24"/>
                <w:highlight w:val="none"/>
                <w:lang w:val="en-US" w:eastAsia="zh-CN"/>
              </w:rPr>
              <w:t>以及</w:t>
            </w:r>
            <w:r>
              <w:rPr>
                <w:rFonts w:hint="default" w:ascii="Times New Roman" w:hAnsi="Times New Roman" w:cs="Times New Roman" w:eastAsiaTheme="minorEastAsia"/>
                <w:color w:val="auto"/>
                <w:sz w:val="24"/>
                <w:highlight w:val="none"/>
              </w:rPr>
              <w:t>输电线路塔基</w:t>
            </w:r>
            <w:r>
              <w:rPr>
                <w:rFonts w:hint="eastAsia" w:ascii="Times New Roman" w:hAnsi="Times New Roman" w:cs="Times New Roman" w:eastAsiaTheme="minorEastAsia"/>
                <w:color w:val="auto"/>
                <w:sz w:val="24"/>
                <w:highlight w:val="none"/>
                <w:lang w:val="en-US" w:eastAsia="zh-CN"/>
              </w:rPr>
              <w:t>临时</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区域</w:t>
            </w:r>
            <w:r>
              <w:rPr>
                <w:rFonts w:hint="eastAsia" w:cs="Times New Roman" w:eastAsiaTheme="minorEastAsia"/>
                <w:color w:val="auto"/>
                <w:sz w:val="24"/>
                <w:highlight w:val="none"/>
                <w:lang w:val="en-US" w:eastAsia="zh-CN"/>
              </w:rPr>
              <w:t>（含</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rPr>
              <w:t>、牵张场</w:t>
            </w:r>
            <w:r>
              <w:rPr>
                <w:rFonts w:hint="eastAsia"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便道</w:t>
            </w:r>
            <w:r>
              <w:rPr>
                <w:rFonts w:hint="default" w:ascii="Times New Roman" w:hAnsi="Times New Roman" w:cs="Times New Roman" w:eastAsiaTheme="minorEastAsia"/>
                <w:color w:val="auto"/>
                <w:sz w:val="24"/>
                <w:highlight w:val="none"/>
              </w:rPr>
              <w:t>等。</w:t>
            </w:r>
            <w:r>
              <w:rPr>
                <w:rFonts w:hint="eastAsia" w:cs="Times New Roman" w:eastAsiaTheme="minorEastAsia"/>
                <w:b/>
                <w:bCs/>
                <w:color w:val="auto"/>
                <w:sz w:val="24"/>
                <w:highlight w:val="none"/>
                <w:lang w:val="en-US" w:eastAsia="zh-CN"/>
              </w:rPr>
              <w:t>根据本项目土地复垦相关资料</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rPr>
              <w:t>本</w:t>
            </w:r>
            <w:r>
              <w:rPr>
                <w:rFonts w:hint="eastAsia" w:ascii="Times New Roman" w:hAnsi="Times New Roman" w:cs="Times New Roman" w:eastAsiaTheme="minorEastAsia"/>
                <w:color w:val="auto"/>
                <w:sz w:val="24"/>
                <w:highlight w:val="none"/>
                <w:lang w:val="en-US" w:eastAsia="zh-CN"/>
              </w:rPr>
              <w:t>项目</w:t>
            </w:r>
            <w:r>
              <w:rPr>
                <w:rFonts w:hint="eastAsia" w:cs="Times New Roman" w:eastAsiaTheme="minorEastAsia"/>
                <w:color w:val="auto"/>
                <w:sz w:val="24"/>
                <w:highlight w:val="none"/>
                <w:lang w:val="en-US" w:eastAsia="zh-CN"/>
              </w:rPr>
              <w:t>总</w:t>
            </w:r>
            <w:r>
              <w:rPr>
                <w:rFonts w:hint="default" w:ascii="Times New Roman" w:hAnsi="Times New Roman" w:cs="Times New Roman" w:eastAsiaTheme="minorEastAsia"/>
                <w:color w:val="auto"/>
                <w:sz w:val="24"/>
                <w:highlight w:val="none"/>
              </w:rPr>
              <w:t>占地面积</w:t>
            </w:r>
            <w:r>
              <w:rPr>
                <w:rFonts w:hint="eastAsia" w:cs="Times New Roman" w:eastAsiaTheme="minorEastAsia"/>
                <w:color w:val="auto"/>
                <w:sz w:val="24"/>
                <w:highlight w:val="none"/>
                <w:lang w:val="en-US" w:eastAsia="zh-CN"/>
              </w:rPr>
              <w:t>7.5598</w:t>
            </w:r>
            <w:r>
              <w:rPr>
                <w:rFonts w:hint="default" w:ascii="Times New Roman" w:hAnsi="Times New Roman" w:cs="Times New Roman" w:eastAsiaTheme="minorEastAsia"/>
                <w:color w:val="auto"/>
                <w:sz w:val="24"/>
                <w:highlight w:val="none"/>
              </w:rPr>
              <w:t>hm</w:t>
            </w:r>
            <w:r>
              <w:rPr>
                <w:rFonts w:hint="default" w:ascii="Times New Roman" w:hAnsi="Times New Roman" w:cs="Times New Roman" w:eastAsiaTheme="minorEastAsia"/>
                <w:color w:val="auto"/>
                <w:sz w:val="24"/>
                <w:highlight w:val="none"/>
                <w:vertAlign w:val="superscript"/>
              </w:rPr>
              <w:t>2</w:t>
            </w:r>
            <w:r>
              <w:rPr>
                <w:rFonts w:hint="default" w:ascii="Times New Roman" w:hAnsi="Times New Roman" w:cs="Times New Roman" w:eastAsiaTheme="minorEastAsia"/>
                <w:color w:val="auto"/>
                <w:sz w:val="24"/>
                <w:highlight w:val="none"/>
              </w:rPr>
              <w:t>，其中永久占地</w:t>
            </w:r>
            <w:r>
              <w:rPr>
                <w:rFonts w:hint="eastAsia" w:ascii="Times New Roman" w:hAnsi="Times New Roman" w:eastAsia="宋体" w:cs="Times New Roman"/>
                <w:color w:val="auto"/>
                <w:spacing w:val="0"/>
                <w:w w:val="100"/>
                <w:position w:val="0"/>
                <w:sz w:val="24"/>
                <w:szCs w:val="24"/>
                <w:highlight w:val="none"/>
                <w:lang w:val="en-US" w:eastAsia="zh-CN"/>
              </w:rPr>
              <w:t>0.</w:t>
            </w:r>
            <w:r>
              <w:rPr>
                <w:rFonts w:hint="eastAsia" w:cs="Times New Roman"/>
                <w:color w:val="auto"/>
                <w:spacing w:val="0"/>
                <w:w w:val="100"/>
                <w:position w:val="0"/>
                <w:sz w:val="24"/>
                <w:szCs w:val="24"/>
                <w:highlight w:val="none"/>
                <w:lang w:val="en-US" w:eastAsia="zh-CN"/>
              </w:rPr>
              <w:t>8978</w:t>
            </w:r>
            <w:r>
              <w:rPr>
                <w:rFonts w:hint="default" w:ascii="Times New Roman" w:hAnsi="Times New Roman" w:eastAsia="宋体" w:cs="Times New Roman"/>
                <w:color w:val="auto"/>
                <w:spacing w:val="0"/>
                <w:w w:val="100"/>
                <w:position w:val="0"/>
                <w:sz w:val="24"/>
                <w:szCs w:val="24"/>
                <w:highlight w:val="none"/>
              </w:rPr>
              <w:t>hm</w:t>
            </w:r>
            <w:r>
              <w:rPr>
                <w:rFonts w:hint="default" w:ascii="Times New Roman" w:hAnsi="Times New Roman" w:eastAsia="宋体" w:cs="Times New Roman"/>
                <w:color w:val="auto"/>
                <w:spacing w:val="0"/>
                <w:w w:val="100"/>
                <w:position w:val="0"/>
                <w:sz w:val="24"/>
                <w:szCs w:val="24"/>
                <w:highlight w:val="none"/>
                <w:vertAlign w:val="superscript"/>
              </w:rPr>
              <w:t>2</w:t>
            </w:r>
            <w:r>
              <w:rPr>
                <w:rFonts w:hint="eastAsia"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临时占地</w:t>
            </w:r>
            <w:r>
              <w:rPr>
                <w:rFonts w:hint="eastAsia" w:cs="Times New Roman" w:eastAsiaTheme="minorEastAsia"/>
                <w:color w:val="auto"/>
                <w:sz w:val="24"/>
                <w:highlight w:val="none"/>
                <w:lang w:val="en-US" w:eastAsia="zh-CN"/>
              </w:rPr>
              <w:t>6.662</w:t>
            </w:r>
            <w:r>
              <w:rPr>
                <w:rFonts w:hint="default" w:ascii="Times New Roman" w:hAnsi="Times New Roman" w:cs="Times New Roman" w:eastAsiaTheme="minorEastAsia"/>
                <w:color w:val="auto"/>
                <w:sz w:val="24"/>
                <w:highlight w:val="none"/>
              </w:rPr>
              <w:t>hm</w:t>
            </w:r>
            <w:r>
              <w:rPr>
                <w:rFonts w:hint="default" w:ascii="Times New Roman" w:hAnsi="Times New Roman" w:cs="Times New Roman" w:eastAsiaTheme="minorEastAsia"/>
                <w:color w:val="auto"/>
                <w:sz w:val="24"/>
                <w:highlight w:val="none"/>
                <w:vertAlign w:val="superscript"/>
              </w:rPr>
              <w:t>2</w:t>
            </w:r>
            <w:bookmarkEnd w:id="22"/>
            <w:r>
              <w:rPr>
                <w:rFonts w:hint="eastAsia" w:ascii="Times New Roman" w:hAnsi="Times New Roman" w:cs="Times New Roman" w:eastAsiaTheme="minorEastAsia"/>
                <w:color w:val="auto"/>
                <w:sz w:val="24"/>
                <w:highlight w:val="none"/>
                <w:lang w:eastAsia="zh-CN"/>
              </w:rPr>
              <w:t>；</w:t>
            </w:r>
            <w:r>
              <w:rPr>
                <w:rFonts w:hint="eastAsia"/>
                <w:bCs/>
                <w:color w:val="auto"/>
                <w:sz w:val="24"/>
                <w:highlight w:val="none"/>
              </w:rPr>
              <w:t>占地类型为</w:t>
            </w:r>
            <w:r>
              <w:rPr>
                <w:rFonts w:hint="eastAsia"/>
                <w:bCs/>
                <w:color w:val="auto"/>
                <w:sz w:val="24"/>
                <w:highlight w:val="none"/>
                <w:lang w:val="en-US" w:eastAsia="zh-CN"/>
              </w:rPr>
              <w:t>旱地</w:t>
            </w:r>
            <w:r>
              <w:rPr>
                <w:rFonts w:hint="eastAsia"/>
                <w:bCs/>
                <w:color w:val="auto"/>
                <w:sz w:val="24"/>
                <w:highlight w:val="none"/>
              </w:rPr>
              <w:t>、乔木林地</w:t>
            </w:r>
            <w:r>
              <w:rPr>
                <w:rFonts w:hint="eastAsia"/>
                <w:bCs/>
                <w:color w:val="auto"/>
                <w:sz w:val="24"/>
                <w:highlight w:val="none"/>
                <w:lang w:eastAsia="zh-CN"/>
              </w:rPr>
              <w:t>、</w:t>
            </w:r>
            <w:r>
              <w:rPr>
                <w:rFonts w:hint="eastAsia"/>
                <w:bCs/>
                <w:color w:val="auto"/>
                <w:sz w:val="24"/>
                <w:highlight w:val="none"/>
                <w:lang w:val="en-US" w:eastAsia="zh-CN"/>
              </w:rPr>
              <w:t>灌木林地、其他林地、天然牧草地、其他草地、机关团体新闻出版用地、公路用地、农村道路、后备耕地</w:t>
            </w:r>
            <w:r>
              <w:rPr>
                <w:rFonts w:hint="eastAsia"/>
                <w:bCs/>
                <w:color w:val="auto"/>
                <w:sz w:val="24"/>
                <w:highlight w:val="none"/>
              </w:rPr>
              <w:t>等。本项目占地情况见表2-</w:t>
            </w:r>
            <w:r>
              <w:rPr>
                <w:rFonts w:hint="eastAsia"/>
                <w:bCs/>
                <w:color w:val="auto"/>
                <w:sz w:val="24"/>
                <w:highlight w:val="none"/>
                <w:lang w:val="en-US" w:eastAsia="zh-CN"/>
              </w:rPr>
              <w:t>4</w:t>
            </w:r>
            <w:r>
              <w:rPr>
                <w:rFonts w:hint="eastAsia"/>
                <w:bCs/>
                <w:color w:val="auto"/>
                <w:sz w:val="24"/>
                <w:highlight w:val="none"/>
              </w:rPr>
              <w:t>。</w:t>
            </w:r>
            <w:r>
              <w:rPr>
                <w:rFonts w:hint="eastAsia" w:eastAsia="黑体"/>
                <w:b/>
                <w:color w:val="auto"/>
                <w:sz w:val="24"/>
                <w:highlight w:val="none"/>
              </w:rPr>
              <w:t xml:space="preserve"> </w:t>
            </w:r>
          </w:p>
          <w:p w14:paraId="50412EF7">
            <w:pPr>
              <w:spacing w:line="360" w:lineRule="auto"/>
              <w:jc w:val="right"/>
              <w:rPr>
                <w:rFonts w:eastAsia="黑体"/>
                <w:b/>
                <w:color w:val="auto"/>
                <w:sz w:val="24"/>
                <w:highlight w:val="none"/>
                <w:vertAlign w:val="superscript"/>
              </w:rPr>
            </w:pPr>
            <w:r>
              <w:rPr>
                <w:rFonts w:eastAsia="黑体"/>
                <w:b/>
                <w:color w:val="auto"/>
                <w:sz w:val="24"/>
                <w:highlight w:val="none"/>
              </w:rPr>
              <w:t xml:space="preserve"> 表2-</w:t>
            </w:r>
            <w:r>
              <w:rPr>
                <w:rFonts w:hint="eastAsia" w:eastAsia="黑体"/>
                <w:b/>
                <w:color w:val="auto"/>
                <w:sz w:val="24"/>
                <w:highlight w:val="none"/>
                <w:lang w:val="en-US" w:eastAsia="zh-CN"/>
              </w:rPr>
              <w:t>4</w:t>
            </w:r>
            <w:r>
              <w:rPr>
                <w:rFonts w:eastAsia="黑体"/>
                <w:b/>
                <w:color w:val="auto"/>
                <w:sz w:val="24"/>
                <w:highlight w:val="none"/>
              </w:rPr>
              <w:t xml:space="preserve">  本项目占地情况一览表 </w:t>
            </w:r>
            <w:r>
              <w:rPr>
                <w:rFonts w:hint="eastAsia" w:eastAsia="黑体"/>
                <w:b/>
                <w:color w:val="auto"/>
                <w:sz w:val="24"/>
                <w:highlight w:val="none"/>
                <w:lang w:val="en-US" w:eastAsia="zh-CN"/>
              </w:rPr>
              <w:t xml:space="preserve"> </w:t>
            </w:r>
            <w:r>
              <w:rPr>
                <w:rFonts w:eastAsia="黑体"/>
                <w:b/>
                <w:color w:val="auto"/>
                <w:sz w:val="24"/>
                <w:highlight w:val="none"/>
              </w:rPr>
              <w:t xml:space="preserve">         </w:t>
            </w:r>
            <w:r>
              <w:rPr>
                <w:rFonts w:eastAsia="黑体"/>
                <w:b w:val="0"/>
                <w:bCs/>
                <w:color w:val="auto"/>
                <w:sz w:val="24"/>
                <w:highlight w:val="none"/>
              </w:rPr>
              <w:t>单位：hm</w:t>
            </w:r>
            <w:r>
              <w:rPr>
                <w:rFonts w:eastAsia="黑体"/>
                <w:b w:val="0"/>
                <w:bCs/>
                <w:color w:val="auto"/>
                <w:sz w:val="24"/>
                <w:highlight w:val="none"/>
                <w:vertAlign w:val="superscript"/>
              </w:rPr>
              <w:t>2</w:t>
            </w:r>
          </w:p>
          <w:tbl>
            <w:tblPr>
              <w:tblStyle w:val="28"/>
              <w:tblW w:w="86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8"/>
              <w:gridCol w:w="848"/>
              <w:gridCol w:w="643"/>
              <w:gridCol w:w="683"/>
              <w:gridCol w:w="615"/>
              <w:gridCol w:w="585"/>
              <w:gridCol w:w="675"/>
              <w:gridCol w:w="645"/>
              <w:gridCol w:w="889"/>
              <w:gridCol w:w="600"/>
              <w:gridCol w:w="626"/>
              <w:gridCol w:w="604"/>
              <w:gridCol w:w="851"/>
            </w:tblGrid>
            <w:tr w14:paraId="6B0A02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398" w:type="dxa"/>
                  <w:vMerge w:val="restart"/>
                  <w:shd w:val="clear" w:color="000000" w:fill="auto"/>
                  <w:vAlign w:val="center"/>
                </w:tcPr>
                <w:p w14:paraId="6FB3AB3F">
                  <w:pPr>
                    <w:snapToGrid w:val="0"/>
                    <w:jc w:val="center"/>
                    <w:rPr>
                      <w:b/>
                      <w:color w:val="auto"/>
                      <w:szCs w:val="21"/>
                      <w:highlight w:val="none"/>
                    </w:rPr>
                  </w:pPr>
                  <w:r>
                    <w:rPr>
                      <w:rFonts w:hint="eastAsia"/>
                      <w:b/>
                      <w:color w:val="auto"/>
                      <w:szCs w:val="21"/>
                      <w:highlight w:val="none"/>
                    </w:rPr>
                    <w:t>类型</w:t>
                  </w:r>
                </w:p>
              </w:tc>
              <w:tc>
                <w:tcPr>
                  <w:tcW w:w="848" w:type="dxa"/>
                  <w:vMerge w:val="restart"/>
                  <w:shd w:val="clear" w:color="000000" w:fill="auto"/>
                  <w:vAlign w:val="center"/>
                </w:tcPr>
                <w:p w14:paraId="5ABD70D8">
                  <w:pPr>
                    <w:snapToGrid w:val="0"/>
                    <w:jc w:val="center"/>
                    <w:rPr>
                      <w:b/>
                      <w:color w:val="auto"/>
                      <w:szCs w:val="21"/>
                      <w:highlight w:val="none"/>
                    </w:rPr>
                  </w:pPr>
                  <w:r>
                    <w:rPr>
                      <w:rFonts w:hint="eastAsia"/>
                      <w:b/>
                      <w:color w:val="auto"/>
                      <w:szCs w:val="21"/>
                      <w:highlight w:val="none"/>
                    </w:rPr>
                    <w:t>工程类型</w:t>
                  </w:r>
                </w:p>
              </w:tc>
              <w:tc>
                <w:tcPr>
                  <w:tcW w:w="643" w:type="dxa"/>
                  <w:tcBorders>
                    <w:right w:val="single" w:color="auto" w:sz="4" w:space="0"/>
                  </w:tcBorders>
                  <w:shd w:val="clear" w:color="000000" w:fill="auto"/>
                  <w:vAlign w:val="center"/>
                </w:tcPr>
                <w:p w14:paraId="309EEA1B">
                  <w:pPr>
                    <w:snapToGrid w:val="0"/>
                    <w:jc w:val="center"/>
                    <w:rPr>
                      <w:b/>
                      <w:color w:val="auto"/>
                      <w:szCs w:val="21"/>
                      <w:highlight w:val="none"/>
                    </w:rPr>
                  </w:pPr>
                  <w:r>
                    <w:rPr>
                      <w:rFonts w:hint="eastAsia"/>
                      <w:b/>
                      <w:color w:val="auto"/>
                      <w:szCs w:val="21"/>
                      <w:highlight w:val="none"/>
                    </w:rPr>
                    <w:t>耕地</w:t>
                  </w:r>
                </w:p>
              </w:tc>
              <w:tc>
                <w:tcPr>
                  <w:tcW w:w="1883" w:type="dxa"/>
                  <w:gridSpan w:val="3"/>
                  <w:tcBorders>
                    <w:left w:val="single" w:color="auto" w:sz="4" w:space="0"/>
                    <w:right w:val="single" w:color="auto" w:sz="4" w:space="0"/>
                  </w:tcBorders>
                  <w:shd w:val="clear" w:color="000000" w:fill="auto"/>
                  <w:vAlign w:val="center"/>
                </w:tcPr>
                <w:p w14:paraId="7A03C34F">
                  <w:pPr>
                    <w:snapToGrid w:val="0"/>
                    <w:jc w:val="center"/>
                    <w:rPr>
                      <w:rFonts w:hint="eastAsia"/>
                      <w:b/>
                      <w:color w:val="auto"/>
                      <w:szCs w:val="21"/>
                      <w:highlight w:val="none"/>
                    </w:rPr>
                  </w:pPr>
                  <w:r>
                    <w:rPr>
                      <w:rFonts w:hint="eastAsia"/>
                      <w:b/>
                      <w:color w:val="auto"/>
                      <w:szCs w:val="21"/>
                      <w:highlight w:val="none"/>
                    </w:rPr>
                    <w:t>林地</w:t>
                  </w:r>
                </w:p>
              </w:tc>
              <w:tc>
                <w:tcPr>
                  <w:tcW w:w="1320" w:type="dxa"/>
                  <w:gridSpan w:val="2"/>
                  <w:tcBorders>
                    <w:left w:val="single" w:color="auto" w:sz="4" w:space="0"/>
                    <w:right w:val="single" w:color="auto" w:sz="4" w:space="0"/>
                  </w:tcBorders>
                  <w:shd w:val="clear" w:color="000000" w:fill="auto"/>
                  <w:vAlign w:val="center"/>
                </w:tcPr>
                <w:p w14:paraId="2861C210">
                  <w:pPr>
                    <w:snapToGrid w:val="0"/>
                    <w:jc w:val="center"/>
                    <w:rPr>
                      <w:rFonts w:hint="eastAsia" w:eastAsia="宋体"/>
                      <w:b/>
                      <w:color w:val="auto"/>
                      <w:szCs w:val="21"/>
                      <w:highlight w:val="none"/>
                      <w:lang w:val="en-US" w:eastAsia="zh-CN"/>
                    </w:rPr>
                  </w:pPr>
                  <w:r>
                    <w:rPr>
                      <w:rFonts w:hint="eastAsia"/>
                      <w:b/>
                      <w:color w:val="auto"/>
                      <w:szCs w:val="21"/>
                      <w:highlight w:val="none"/>
                      <w:lang w:val="en-US" w:eastAsia="zh-CN"/>
                    </w:rPr>
                    <w:t>草地</w:t>
                  </w:r>
                </w:p>
              </w:tc>
              <w:tc>
                <w:tcPr>
                  <w:tcW w:w="889" w:type="dxa"/>
                  <w:tcBorders>
                    <w:left w:val="single" w:color="auto" w:sz="4" w:space="0"/>
                    <w:right w:val="single" w:color="auto" w:sz="4" w:space="0"/>
                  </w:tcBorders>
                  <w:shd w:val="clear" w:color="000000" w:fill="auto"/>
                  <w:vAlign w:val="center"/>
                </w:tcPr>
                <w:p w14:paraId="7B42C4B7">
                  <w:pPr>
                    <w:snapToGrid w:val="0"/>
                    <w:jc w:val="center"/>
                    <w:rPr>
                      <w:rFonts w:hint="eastAsia"/>
                      <w:b/>
                      <w:color w:val="auto"/>
                      <w:szCs w:val="21"/>
                      <w:highlight w:val="none"/>
                      <w:lang w:val="en-US" w:eastAsia="zh-CN"/>
                    </w:rPr>
                  </w:pPr>
                  <w:r>
                    <w:rPr>
                      <w:rFonts w:hint="eastAsia"/>
                      <w:b/>
                      <w:color w:val="auto"/>
                      <w:szCs w:val="21"/>
                      <w:highlight w:val="none"/>
                      <w:lang w:val="en-US" w:eastAsia="zh-CN"/>
                    </w:rPr>
                    <w:t>公共管理与公共服务用地</w:t>
                  </w:r>
                </w:p>
              </w:tc>
              <w:tc>
                <w:tcPr>
                  <w:tcW w:w="1226" w:type="dxa"/>
                  <w:gridSpan w:val="2"/>
                  <w:tcBorders>
                    <w:left w:val="single" w:color="auto" w:sz="4" w:space="0"/>
                    <w:right w:val="single" w:color="auto" w:sz="4" w:space="0"/>
                  </w:tcBorders>
                  <w:shd w:val="clear" w:color="000000" w:fill="auto"/>
                  <w:vAlign w:val="center"/>
                </w:tcPr>
                <w:p w14:paraId="672089F9">
                  <w:pPr>
                    <w:snapToGrid w:val="0"/>
                    <w:jc w:val="center"/>
                    <w:rPr>
                      <w:rFonts w:hint="eastAsia"/>
                      <w:b/>
                      <w:color w:val="auto"/>
                      <w:szCs w:val="21"/>
                      <w:highlight w:val="none"/>
                      <w:lang w:val="en-US" w:eastAsia="zh-CN"/>
                    </w:rPr>
                  </w:pPr>
                  <w:r>
                    <w:rPr>
                      <w:rFonts w:hint="eastAsia"/>
                      <w:b/>
                      <w:color w:val="auto"/>
                      <w:szCs w:val="21"/>
                      <w:highlight w:val="none"/>
                      <w:lang w:val="en-US" w:eastAsia="zh-CN"/>
                    </w:rPr>
                    <w:t>交通运输用地</w:t>
                  </w:r>
                </w:p>
              </w:tc>
              <w:tc>
                <w:tcPr>
                  <w:tcW w:w="604" w:type="dxa"/>
                  <w:tcBorders>
                    <w:left w:val="single" w:color="auto" w:sz="4" w:space="0"/>
                  </w:tcBorders>
                  <w:shd w:val="clear" w:color="000000" w:fill="auto"/>
                  <w:vAlign w:val="center"/>
                </w:tcPr>
                <w:p w14:paraId="250DD87E">
                  <w:pPr>
                    <w:snapToGrid w:val="0"/>
                    <w:jc w:val="center"/>
                    <w:rPr>
                      <w:rFonts w:hint="eastAsia" w:ascii="Times New Roman" w:hAnsi="Times New Roman" w:eastAsia="宋体" w:cs="Times New Roman"/>
                      <w:kern w:val="2"/>
                      <w:sz w:val="21"/>
                      <w:szCs w:val="24"/>
                      <w:highlight w:val="none"/>
                      <w:lang w:val="en-US" w:eastAsia="zh-CN" w:bidi="ar-SA"/>
                    </w:rPr>
                  </w:pPr>
                  <w:r>
                    <w:rPr>
                      <w:rFonts w:hint="eastAsia"/>
                      <w:b/>
                      <w:color w:val="auto"/>
                      <w:szCs w:val="21"/>
                      <w:highlight w:val="none"/>
                      <w:lang w:val="en-US" w:eastAsia="zh-CN"/>
                    </w:rPr>
                    <w:t>其他土地</w:t>
                  </w:r>
                </w:p>
              </w:tc>
              <w:tc>
                <w:tcPr>
                  <w:tcW w:w="851" w:type="dxa"/>
                  <w:vMerge w:val="restart"/>
                  <w:shd w:val="clear" w:color="000000" w:fill="auto"/>
                  <w:vAlign w:val="center"/>
                </w:tcPr>
                <w:p w14:paraId="08A63348">
                  <w:pPr>
                    <w:snapToGrid w:val="0"/>
                    <w:jc w:val="center"/>
                    <w:rPr>
                      <w:b/>
                      <w:color w:val="auto"/>
                      <w:szCs w:val="21"/>
                      <w:highlight w:val="none"/>
                    </w:rPr>
                  </w:pPr>
                  <w:r>
                    <w:rPr>
                      <w:rFonts w:hint="eastAsia"/>
                      <w:b/>
                      <w:color w:val="auto"/>
                      <w:szCs w:val="21"/>
                      <w:highlight w:val="none"/>
                    </w:rPr>
                    <w:t>总计</w:t>
                  </w:r>
                </w:p>
              </w:tc>
            </w:tr>
            <w:tr w14:paraId="79D1F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398" w:type="dxa"/>
                  <w:vMerge w:val="continue"/>
                  <w:shd w:val="clear" w:color="000000" w:fill="auto"/>
                  <w:vAlign w:val="center"/>
                </w:tcPr>
                <w:p w14:paraId="79FBF10C">
                  <w:pPr>
                    <w:snapToGrid w:val="0"/>
                    <w:jc w:val="center"/>
                    <w:rPr>
                      <w:b/>
                      <w:color w:val="auto"/>
                      <w:szCs w:val="21"/>
                      <w:highlight w:val="none"/>
                    </w:rPr>
                  </w:pPr>
                </w:p>
              </w:tc>
              <w:tc>
                <w:tcPr>
                  <w:tcW w:w="848" w:type="dxa"/>
                  <w:vMerge w:val="continue"/>
                  <w:shd w:val="clear" w:color="000000" w:fill="auto"/>
                  <w:vAlign w:val="center"/>
                </w:tcPr>
                <w:p w14:paraId="515B4FF8">
                  <w:pPr>
                    <w:snapToGrid w:val="0"/>
                    <w:jc w:val="center"/>
                    <w:rPr>
                      <w:b/>
                      <w:color w:val="auto"/>
                      <w:szCs w:val="21"/>
                      <w:highlight w:val="none"/>
                    </w:rPr>
                  </w:pPr>
                </w:p>
              </w:tc>
              <w:tc>
                <w:tcPr>
                  <w:tcW w:w="643" w:type="dxa"/>
                  <w:tcBorders>
                    <w:right w:val="single" w:color="auto" w:sz="4" w:space="0"/>
                  </w:tcBorders>
                  <w:shd w:val="clear" w:color="000000" w:fill="auto"/>
                  <w:vAlign w:val="center"/>
                </w:tcPr>
                <w:p w14:paraId="3717CB9D">
                  <w:pPr>
                    <w:snapToGrid w:val="0"/>
                    <w:jc w:val="center"/>
                    <w:rPr>
                      <w:b/>
                      <w:color w:val="auto"/>
                      <w:szCs w:val="21"/>
                      <w:highlight w:val="none"/>
                    </w:rPr>
                  </w:pPr>
                  <w:r>
                    <w:rPr>
                      <w:rFonts w:hint="eastAsia"/>
                      <w:b/>
                      <w:color w:val="auto"/>
                      <w:szCs w:val="21"/>
                      <w:highlight w:val="none"/>
                      <w:lang w:val="en-US" w:eastAsia="zh-CN"/>
                    </w:rPr>
                    <w:t>旱</w:t>
                  </w:r>
                  <w:r>
                    <w:rPr>
                      <w:rFonts w:hint="eastAsia"/>
                      <w:b/>
                      <w:color w:val="auto"/>
                      <w:szCs w:val="21"/>
                      <w:highlight w:val="none"/>
                    </w:rPr>
                    <w:t>地</w:t>
                  </w:r>
                </w:p>
              </w:tc>
              <w:tc>
                <w:tcPr>
                  <w:tcW w:w="683" w:type="dxa"/>
                  <w:tcBorders>
                    <w:left w:val="single" w:color="auto" w:sz="4" w:space="0"/>
                  </w:tcBorders>
                  <w:shd w:val="clear" w:color="000000" w:fill="auto"/>
                  <w:vAlign w:val="center"/>
                </w:tcPr>
                <w:p w14:paraId="0F7CCBBC">
                  <w:pPr>
                    <w:snapToGrid w:val="0"/>
                    <w:jc w:val="center"/>
                    <w:rPr>
                      <w:rFonts w:hint="default"/>
                      <w:b/>
                      <w:color w:val="auto"/>
                      <w:szCs w:val="21"/>
                      <w:highlight w:val="none"/>
                      <w:lang w:val="en-US" w:eastAsia="zh-CN"/>
                    </w:rPr>
                  </w:pPr>
                  <w:r>
                    <w:rPr>
                      <w:rFonts w:hint="eastAsia"/>
                      <w:b/>
                      <w:color w:val="auto"/>
                      <w:szCs w:val="21"/>
                      <w:highlight w:val="none"/>
                    </w:rPr>
                    <w:t>乔木林地</w:t>
                  </w:r>
                </w:p>
              </w:tc>
              <w:tc>
                <w:tcPr>
                  <w:tcW w:w="615" w:type="dxa"/>
                  <w:tcBorders>
                    <w:right w:val="single" w:color="auto" w:sz="4" w:space="0"/>
                  </w:tcBorders>
                  <w:shd w:val="clear" w:color="000000" w:fill="auto"/>
                  <w:vAlign w:val="center"/>
                </w:tcPr>
                <w:p w14:paraId="26EB1CCE">
                  <w:pPr>
                    <w:snapToGrid w:val="0"/>
                    <w:jc w:val="center"/>
                    <w:rPr>
                      <w:rFonts w:hint="eastAsia" w:eastAsia="宋体"/>
                      <w:b/>
                      <w:color w:val="auto"/>
                      <w:szCs w:val="21"/>
                      <w:highlight w:val="none"/>
                      <w:lang w:val="en-US" w:eastAsia="zh-CN"/>
                    </w:rPr>
                  </w:pPr>
                  <w:r>
                    <w:rPr>
                      <w:rFonts w:hint="eastAsia"/>
                      <w:b/>
                      <w:color w:val="auto"/>
                      <w:szCs w:val="21"/>
                      <w:highlight w:val="none"/>
                      <w:lang w:val="en-US" w:eastAsia="zh-CN"/>
                    </w:rPr>
                    <w:t>灌木林地</w:t>
                  </w:r>
                </w:p>
              </w:tc>
              <w:tc>
                <w:tcPr>
                  <w:tcW w:w="585" w:type="dxa"/>
                  <w:tcBorders>
                    <w:left w:val="single" w:color="auto" w:sz="4" w:space="0"/>
                    <w:right w:val="single" w:color="auto" w:sz="4" w:space="0"/>
                  </w:tcBorders>
                  <w:shd w:val="clear" w:color="000000" w:fill="auto"/>
                  <w:vAlign w:val="center"/>
                </w:tcPr>
                <w:p w14:paraId="0843C430">
                  <w:pPr>
                    <w:snapToGrid w:val="0"/>
                    <w:jc w:val="center"/>
                    <w:rPr>
                      <w:rFonts w:hint="default"/>
                      <w:b/>
                      <w:color w:val="auto"/>
                      <w:szCs w:val="21"/>
                      <w:highlight w:val="none"/>
                      <w:lang w:val="en-US" w:eastAsia="zh-CN"/>
                    </w:rPr>
                  </w:pPr>
                  <w:r>
                    <w:rPr>
                      <w:rFonts w:hint="eastAsia"/>
                      <w:b/>
                      <w:color w:val="auto"/>
                      <w:szCs w:val="21"/>
                      <w:highlight w:val="none"/>
                      <w:lang w:val="en-US" w:eastAsia="zh-CN"/>
                    </w:rPr>
                    <w:t>其他林地</w:t>
                  </w:r>
                </w:p>
              </w:tc>
              <w:tc>
                <w:tcPr>
                  <w:tcW w:w="675" w:type="dxa"/>
                  <w:tcBorders>
                    <w:left w:val="single" w:color="auto" w:sz="4" w:space="0"/>
                    <w:right w:val="single" w:color="auto" w:sz="4" w:space="0"/>
                  </w:tcBorders>
                  <w:shd w:val="clear" w:color="000000" w:fill="auto"/>
                  <w:vAlign w:val="center"/>
                </w:tcPr>
                <w:p w14:paraId="536EFECA">
                  <w:pPr>
                    <w:snapToGrid w:val="0"/>
                    <w:jc w:val="center"/>
                    <w:rPr>
                      <w:rFonts w:hint="default"/>
                      <w:b/>
                      <w:color w:val="auto"/>
                      <w:szCs w:val="21"/>
                      <w:highlight w:val="none"/>
                      <w:lang w:val="en-US" w:eastAsia="zh-CN"/>
                    </w:rPr>
                  </w:pPr>
                  <w:r>
                    <w:rPr>
                      <w:rFonts w:hint="eastAsia"/>
                      <w:b/>
                      <w:color w:val="auto"/>
                      <w:szCs w:val="21"/>
                      <w:highlight w:val="none"/>
                      <w:lang w:val="en-US" w:eastAsia="zh-CN"/>
                    </w:rPr>
                    <w:t>天然牧草地</w:t>
                  </w:r>
                </w:p>
              </w:tc>
              <w:tc>
                <w:tcPr>
                  <w:tcW w:w="645" w:type="dxa"/>
                  <w:tcBorders>
                    <w:left w:val="single" w:color="auto" w:sz="4" w:space="0"/>
                    <w:right w:val="single" w:color="auto" w:sz="4" w:space="0"/>
                  </w:tcBorders>
                  <w:shd w:val="clear" w:color="000000" w:fill="auto"/>
                  <w:vAlign w:val="center"/>
                </w:tcPr>
                <w:p w14:paraId="66FAB102">
                  <w:pPr>
                    <w:snapToGrid w:val="0"/>
                    <w:jc w:val="center"/>
                    <w:rPr>
                      <w:rFonts w:hint="default"/>
                      <w:b/>
                      <w:color w:val="auto"/>
                      <w:szCs w:val="21"/>
                      <w:highlight w:val="none"/>
                      <w:lang w:val="en-US" w:eastAsia="zh-CN"/>
                    </w:rPr>
                  </w:pPr>
                  <w:r>
                    <w:rPr>
                      <w:rFonts w:hint="eastAsia"/>
                      <w:b/>
                      <w:color w:val="auto"/>
                      <w:szCs w:val="21"/>
                      <w:highlight w:val="none"/>
                      <w:lang w:val="en-US" w:eastAsia="zh-CN"/>
                    </w:rPr>
                    <w:t>其他草地</w:t>
                  </w:r>
                </w:p>
              </w:tc>
              <w:tc>
                <w:tcPr>
                  <w:tcW w:w="889" w:type="dxa"/>
                  <w:tcBorders>
                    <w:left w:val="single" w:color="auto" w:sz="4" w:space="0"/>
                    <w:right w:val="single" w:color="auto" w:sz="4" w:space="0"/>
                  </w:tcBorders>
                  <w:shd w:val="clear" w:color="000000" w:fill="auto"/>
                  <w:vAlign w:val="center"/>
                </w:tcPr>
                <w:p w14:paraId="458D1B1B">
                  <w:pPr>
                    <w:snapToGrid w:val="0"/>
                    <w:jc w:val="center"/>
                    <w:rPr>
                      <w:rFonts w:hint="eastAsia"/>
                      <w:b/>
                      <w:color w:val="auto"/>
                      <w:szCs w:val="21"/>
                      <w:highlight w:val="none"/>
                      <w:lang w:val="en-US" w:eastAsia="zh-CN"/>
                    </w:rPr>
                  </w:pPr>
                  <w:r>
                    <w:rPr>
                      <w:rFonts w:hint="eastAsia"/>
                      <w:b/>
                      <w:color w:val="auto"/>
                      <w:szCs w:val="21"/>
                      <w:highlight w:val="none"/>
                      <w:lang w:val="en-US" w:eastAsia="zh-CN"/>
                    </w:rPr>
                    <w:t>机关团体新闻出版用地</w:t>
                  </w:r>
                </w:p>
              </w:tc>
              <w:tc>
                <w:tcPr>
                  <w:tcW w:w="600" w:type="dxa"/>
                  <w:tcBorders>
                    <w:left w:val="single" w:color="auto" w:sz="4" w:space="0"/>
                    <w:right w:val="single" w:color="auto" w:sz="4" w:space="0"/>
                  </w:tcBorders>
                  <w:shd w:val="clear" w:color="000000" w:fill="auto"/>
                  <w:vAlign w:val="center"/>
                </w:tcPr>
                <w:p w14:paraId="74048DEB">
                  <w:pPr>
                    <w:snapToGrid w:val="0"/>
                    <w:jc w:val="center"/>
                    <w:rPr>
                      <w:rFonts w:hint="eastAsia"/>
                      <w:b/>
                      <w:color w:val="auto"/>
                      <w:szCs w:val="21"/>
                      <w:highlight w:val="none"/>
                      <w:lang w:val="en-US" w:eastAsia="zh-CN"/>
                    </w:rPr>
                  </w:pPr>
                  <w:r>
                    <w:rPr>
                      <w:rFonts w:hint="eastAsia"/>
                      <w:b/>
                      <w:color w:val="auto"/>
                      <w:szCs w:val="21"/>
                      <w:highlight w:val="none"/>
                      <w:lang w:val="en-US" w:eastAsia="zh-CN"/>
                    </w:rPr>
                    <w:t>公路用地</w:t>
                  </w:r>
                </w:p>
              </w:tc>
              <w:tc>
                <w:tcPr>
                  <w:tcW w:w="626" w:type="dxa"/>
                  <w:tcBorders>
                    <w:left w:val="single" w:color="auto" w:sz="4" w:space="0"/>
                    <w:right w:val="single" w:color="auto" w:sz="4" w:space="0"/>
                  </w:tcBorders>
                  <w:shd w:val="clear" w:color="000000" w:fill="auto"/>
                  <w:vAlign w:val="center"/>
                </w:tcPr>
                <w:p w14:paraId="5401B35D">
                  <w:pPr>
                    <w:snapToGrid w:val="0"/>
                    <w:jc w:val="center"/>
                    <w:rPr>
                      <w:rFonts w:hint="eastAsia"/>
                      <w:b/>
                      <w:color w:val="auto"/>
                      <w:szCs w:val="21"/>
                      <w:highlight w:val="none"/>
                      <w:lang w:val="en-US" w:eastAsia="zh-CN"/>
                    </w:rPr>
                  </w:pPr>
                  <w:r>
                    <w:rPr>
                      <w:rFonts w:hint="eastAsia"/>
                      <w:b/>
                      <w:color w:val="auto"/>
                      <w:szCs w:val="21"/>
                      <w:highlight w:val="none"/>
                      <w:lang w:val="en-US" w:eastAsia="zh-CN"/>
                    </w:rPr>
                    <w:t>农村道路</w:t>
                  </w:r>
                </w:p>
              </w:tc>
              <w:tc>
                <w:tcPr>
                  <w:tcW w:w="604" w:type="dxa"/>
                  <w:tcBorders>
                    <w:left w:val="single" w:color="auto" w:sz="4" w:space="0"/>
                  </w:tcBorders>
                  <w:shd w:val="clear" w:color="000000" w:fill="auto"/>
                  <w:vAlign w:val="center"/>
                </w:tcPr>
                <w:p w14:paraId="3836B962">
                  <w:pPr>
                    <w:snapToGrid w:val="0"/>
                    <w:jc w:val="center"/>
                    <w:rPr>
                      <w:rFonts w:hint="eastAsia"/>
                      <w:b/>
                      <w:color w:val="auto"/>
                      <w:szCs w:val="21"/>
                      <w:highlight w:val="none"/>
                      <w:lang w:val="en-US" w:eastAsia="zh-CN"/>
                    </w:rPr>
                  </w:pPr>
                  <w:r>
                    <w:rPr>
                      <w:rFonts w:hint="eastAsia"/>
                      <w:b/>
                      <w:color w:val="auto"/>
                      <w:szCs w:val="21"/>
                      <w:highlight w:val="none"/>
                      <w:lang w:val="en-US" w:eastAsia="zh-CN"/>
                    </w:rPr>
                    <w:t>后备耕地</w:t>
                  </w:r>
                </w:p>
              </w:tc>
              <w:tc>
                <w:tcPr>
                  <w:tcW w:w="851" w:type="dxa"/>
                  <w:vMerge w:val="continue"/>
                  <w:shd w:val="clear" w:color="000000" w:fill="auto"/>
                  <w:vAlign w:val="center"/>
                </w:tcPr>
                <w:p w14:paraId="7FA68C7E">
                  <w:pPr>
                    <w:snapToGrid w:val="0"/>
                    <w:jc w:val="center"/>
                    <w:rPr>
                      <w:b/>
                      <w:color w:val="auto"/>
                      <w:szCs w:val="21"/>
                      <w:highlight w:val="none"/>
                    </w:rPr>
                  </w:pPr>
                </w:p>
              </w:tc>
            </w:tr>
            <w:tr w14:paraId="1F6EF0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restart"/>
                  <w:vAlign w:val="center"/>
                </w:tcPr>
                <w:p w14:paraId="081302AA">
                  <w:pPr>
                    <w:jc w:val="center"/>
                    <w:rPr>
                      <w:color w:val="auto"/>
                      <w:szCs w:val="21"/>
                      <w:highlight w:val="none"/>
                    </w:rPr>
                  </w:pPr>
                  <w:r>
                    <w:rPr>
                      <w:rFonts w:hint="eastAsia"/>
                      <w:color w:val="auto"/>
                      <w:szCs w:val="21"/>
                      <w:highlight w:val="none"/>
                    </w:rPr>
                    <w:t>永久占地</w:t>
                  </w:r>
                </w:p>
              </w:tc>
              <w:tc>
                <w:tcPr>
                  <w:tcW w:w="848" w:type="dxa"/>
                  <w:vAlign w:val="center"/>
                </w:tcPr>
                <w:p w14:paraId="5C59F684">
                  <w:pPr>
                    <w:jc w:val="center"/>
                    <w:rPr>
                      <w:color w:val="auto"/>
                      <w:szCs w:val="21"/>
                      <w:highlight w:val="none"/>
                    </w:rPr>
                  </w:pPr>
                  <w:r>
                    <w:rPr>
                      <w:rFonts w:hint="eastAsia"/>
                      <w:color w:val="auto"/>
                      <w:szCs w:val="21"/>
                      <w:highlight w:val="none"/>
                    </w:rPr>
                    <w:t>变电站</w:t>
                  </w:r>
                  <w:r>
                    <w:rPr>
                      <w:rFonts w:hint="eastAsia"/>
                      <w:color w:val="auto"/>
                      <w:szCs w:val="21"/>
                      <w:highlight w:val="none"/>
                      <w:lang w:val="en-US" w:eastAsia="zh-CN"/>
                    </w:rPr>
                    <w:t>站</w:t>
                  </w:r>
                  <w:r>
                    <w:rPr>
                      <w:rFonts w:hint="eastAsia"/>
                      <w:color w:val="auto"/>
                      <w:szCs w:val="21"/>
                      <w:highlight w:val="none"/>
                    </w:rPr>
                    <w:t>区</w:t>
                  </w:r>
                </w:p>
              </w:tc>
              <w:tc>
                <w:tcPr>
                  <w:tcW w:w="643" w:type="dxa"/>
                  <w:tcBorders>
                    <w:right w:val="single" w:color="auto" w:sz="4" w:space="0"/>
                  </w:tcBorders>
                  <w:vAlign w:val="center"/>
                </w:tcPr>
                <w:p w14:paraId="02532017">
                  <w:pPr>
                    <w:jc w:val="center"/>
                    <w:rPr>
                      <w:rFonts w:hint="default"/>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7035</w:t>
                  </w:r>
                </w:p>
              </w:tc>
              <w:tc>
                <w:tcPr>
                  <w:tcW w:w="683" w:type="dxa"/>
                  <w:tcBorders>
                    <w:left w:val="single" w:color="auto" w:sz="4" w:space="0"/>
                  </w:tcBorders>
                  <w:vAlign w:val="center"/>
                </w:tcPr>
                <w:p w14:paraId="4EFE97A6">
                  <w:pPr>
                    <w:jc w:val="center"/>
                    <w:rPr>
                      <w:rFonts w:hint="eastAsia"/>
                      <w:color w:val="auto"/>
                      <w:szCs w:val="21"/>
                      <w:highlight w:val="none"/>
                      <w:lang w:val="en-US" w:eastAsia="zh-CN"/>
                    </w:rPr>
                  </w:pPr>
                  <w:r>
                    <w:rPr>
                      <w:rFonts w:hint="eastAsia"/>
                      <w:color w:val="auto"/>
                      <w:szCs w:val="21"/>
                      <w:highlight w:val="none"/>
                      <w:lang w:val="en-US" w:eastAsia="zh-CN"/>
                    </w:rPr>
                    <w:t>0</w:t>
                  </w:r>
                </w:p>
              </w:tc>
              <w:tc>
                <w:tcPr>
                  <w:tcW w:w="615" w:type="dxa"/>
                  <w:tcBorders>
                    <w:right w:val="single" w:color="auto" w:sz="4" w:space="0"/>
                  </w:tcBorders>
                  <w:vAlign w:val="center"/>
                </w:tcPr>
                <w:p w14:paraId="4A02C8AE">
                  <w:pPr>
                    <w:jc w:val="center"/>
                    <w:rPr>
                      <w:rFonts w:hint="eastAsia"/>
                      <w:color w:val="auto"/>
                      <w:szCs w:val="21"/>
                      <w:highlight w:val="none"/>
                    </w:rPr>
                  </w:pPr>
                  <w:r>
                    <w:rPr>
                      <w:rFonts w:hint="eastAsia"/>
                      <w:color w:val="auto"/>
                      <w:szCs w:val="21"/>
                      <w:highlight w:val="none"/>
                    </w:rPr>
                    <w:t>0</w:t>
                  </w:r>
                </w:p>
              </w:tc>
              <w:tc>
                <w:tcPr>
                  <w:tcW w:w="585" w:type="dxa"/>
                  <w:tcBorders>
                    <w:left w:val="single" w:color="auto" w:sz="4" w:space="0"/>
                    <w:right w:val="single" w:color="auto" w:sz="4" w:space="0"/>
                  </w:tcBorders>
                  <w:vAlign w:val="center"/>
                </w:tcPr>
                <w:p w14:paraId="13E3E290">
                  <w:pPr>
                    <w:jc w:val="center"/>
                    <w:rPr>
                      <w:rFonts w:hint="eastAsia"/>
                      <w:color w:val="auto"/>
                      <w:szCs w:val="21"/>
                      <w:highlight w:val="none"/>
                      <w:lang w:val="en-US" w:eastAsia="zh-CN"/>
                    </w:rPr>
                  </w:pPr>
                  <w:r>
                    <w:rPr>
                      <w:rFonts w:hint="eastAsia"/>
                      <w:color w:val="auto"/>
                      <w:szCs w:val="21"/>
                      <w:highlight w:val="none"/>
                      <w:lang w:val="en-US" w:eastAsia="zh-CN"/>
                    </w:rPr>
                    <w:t>0</w:t>
                  </w:r>
                </w:p>
              </w:tc>
              <w:tc>
                <w:tcPr>
                  <w:tcW w:w="675" w:type="dxa"/>
                  <w:tcBorders>
                    <w:left w:val="single" w:color="auto" w:sz="4" w:space="0"/>
                    <w:right w:val="single" w:color="auto" w:sz="4" w:space="0"/>
                  </w:tcBorders>
                  <w:vAlign w:val="center"/>
                </w:tcPr>
                <w:p w14:paraId="4AC59846">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45" w:type="dxa"/>
                  <w:tcBorders>
                    <w:left w:val="single" w:color="auto" w:sz="4" w:space="0"/>
                    <w:right w:val="single" w:color="auto" w:sz="4" w:space="0"/>
                  </w:tcBorders>
                  <w:vAlign w:val="center"/>
                </w:tcPr>
                <w:p w14:paraId="22AB9055">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889" w:type="dxa"/>
                  <w:tcBorders>
                    <w:left w:val="single" w:color="auto" w:sz="4" w:space="0"/>
                    <w:right w:val="single" w:color="auto" w:sz="4" w:space="0"/>
                  </w:tcBorders>
                  <w:vAlign w:val="center"/>
                </w:tcPr>
                <w:p w14:paraId="327E250E">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00" w:type="dxa"/>
                  <w:tcBorders>
                    <w:left w:val="single" w:color="auto" w:sz="4" w:space="0"/>
                    <w:right w:val="single" w:color="auto" w:sz="4" w:space="0"/>
                  </w:tcBorders>
                  <w:vAlign w:val="center"/>
                </w:tcPr>
                <w:p w14:paraId="128B2CF9">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26" w:type="dxa"/>
                  <w:tcBorders>
                    <w:left w:val="single" w:color="auto" w:sz="4" w:space="0"/>
                    <w:right w:val="single" w:color="auto" w:sz="4" w:space="0"/>
                  </w:tcBorders>
                  <w:vAlign w:val="center"/>
                </w:tcPr>
                <w:p w14:paraId="7C9ED009">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04" w:type="dxa"/>
                  <w:tcBorders>
                    <w:left w:val="single" w:color="auto" w:sz="4" w:space="0"/>
                  </w:tcBorders>
                  <w:vAlign w:val="center"/>
                </w:tcPr>
                <w:p w14:paraId="6FB94C55">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851" w:type="dxa"/>
                  <w:vAlign w:val="center"/>
                </w:tcPr>
                <w:p w14:paraId="67D98923">
                  <w:pPr>
                    <w:jc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7035</w:t>
                  </w:r>
                </w:p>
              </w:tc>
            </w:tr>
            <w:tr w14:paraId="1C27AF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98" w:type="dxa"/>
                  <w:vMerge w:val="continue"/>
                  <w:vAlign w:val="center"/>
                </w:tcPr>
                <w:p w14:paraId="7E1EE0C2">
                  <w:pPr>
                    <w:jc w:val="center"/>
                    <w:rPr>
                      <w:color w:val="auto"/>
                      <w:highlight w:val="none"/>
                    </w:rPr>
                  </w:pPr>
                </w:p>
              </w:tc>
              <w:tc>
                <w:tcPr>
                  <w:tcW w:w="848" w:type="dxa"/>
                  <w:shd w:val="clear" w:color="auto" w:fill="auto"/>
                  <w:vAlign w:val="center"/>
                </w:tcPr>
                <w:p w14:paraId="01A1790D">
                  <w:pPr>
                    <w:jc w:val="center"/>
                    <w:rPr>
                      <w:rFonts w:hint="eastAsia" w:eastAsia="宋体"/>
                      <w:color w:val="auto"/>
                      <w:szCs w:val="21"/>
                      <w:highlight w:val="none"/>
                      <w:lang w:val="en-US" w:eastAsia="zh-CN"/>
                    </w:rPr>
                  </w:pPr>
                  <w:r>
                    <w:rPr>
                      <w:rFonts w:hint="eastAsia"/>
                      <w:color w:val="auto"/>
                      <w:szCs w:val="21"/>
                      <w:highlight w:val="none"/>
                      <w:lang w:val="en-US" w:eastAsia="zh-CN"/>
                    </w:rPr>
                    <w:t>110kV</w:t>
                  </w:r>
                  <w:r>
                    <w:rPr>
                      <w:rFonts w:hint="eastAsia"/>
                      <w:color w:val="auto"/>
                      <w:szCs w:val="21"/>
                      <w:highlight w:val="none"/>
                    </w:rPr>
                    <w:t>塔基</w:t>
                  </w:r>
                  <w:r>
                    <w:rPr>
                      <w:rFonts w:hint="eastAsia"/>
                      <w:color w:val="auto"/>
                      <w:szCs w:val="21"/>
                      <w:highlight w:val="none"/>
                      <w:lang w:val="en-US" w:eastAsia="zh-CN"/>
                    </w:rPr>
                    <w:t>区</w:t>
                  </w:r>
                </w:p>
              </w:tc>
              <w:tc>
                <w:tcPr>
                  <w:tcW w:w="643" w:type="dxa"/>
                  <w:tcBorders>
                    <w:right w:val="single" w:color="auto" w:sz="4" w:space="0"/>
                  </w:tcBorders>
                  <w:shd w:val="clear" w:color="auto" w:fill="auto"/>
                  <w:vAlign w:val="center"/>
                </w:tcPr>
                <w:p w14:paraId="2AADA3E4">
                  <w:pPr>
                    <w:jc w:val="center"/>
                    <w:rPr>
                      <w:rFonts w:hint="default"/>
                      <w:color w:val="auto"/>
                      <w:szCs w:val="21"/>
                      <w:highlight w:val="none"/>
                      <w:lang w:val="en-US" w:eastAsia="zh-CN"/>
                    </w:rPr>
                  </w:pPr>
                  <w:r>
                    <w:rPr>
                      <w:rFonts w:hint="eastAsia"/>
                      <w:color w:val="auto"/>
                      <w:szCs w:val="21"/>
                      <w:highlight w:val="none"/>
                      <w:lang w:val="en-US" w:eastAsia="zh-CN"/>
                    </w:rPr>
                    <w:t>0.1569</w:t>
                  </w:r>
                </w:p>
              </w:tc>
              <w:tc>
                <w:tcPr>
                  <w:tcW w:w="683" w:type="dxa"/>
                  <w:tcBorders>
                    <w:left w:val="single" w:color="auto" w:sz="4" w:space="0"/>
                  </w:tcBorders>
                  <w:shd w:val="clear" w:color="auto" w:fill="auto"/>
                  <w:vAlign w:val="center"/>
                </w:tcPr>
                <w:p w14:paraId="7F74EA5C">
                  <w:pPr>
                    <w:jc w:val="center"/>
                    <w:rPr>
                      <w:rFonts w:hint="default"/>
                      <w:color w:val="auto"/>
                      <w:szCs w:val="21"/>
                      <w:highlight w:val="none"/>
                      <w:lang w:val="en-US" w:eastAsia="zh-CN"/>
                    </w:rPr>
                  </w:pPr>
                  <w:r>
                    <w:rPr>
                      <w:rFonts w:hint="default"/>
                      <w:color w:val="auto"/>
                      <w:szCs w:val="21"/>
                      <w:highlight w:val="none"/>
                      <w:lang w:val="en-US" w:eastAsia="zh-CN"/>
                    </w:rPr>
                    <w:t xml:space="preserve">0.0065 </w:t>
                  </w:r>
                </w:p>
              </w:tc>
              <w:tc>
                <w:tcPr>
                  <w:tcW w:w="615" w:type="dxa"/>
                  <w:tcBorders>
                    <w:right w:val="single" w:color="auto" w:sz="4" w:space="0"/>
                  </w:tcBorders>
                  <w:shd w:val="clear" w:color="auto" w:fill="auto"/>
                  <w:vAlign w:val="center"/>
                </w:tcPr>
                <w:p w14:paraId="62753632">
                  <w:pPr>
                    <w:jc w:val="center"/>
                    <w:rPr>
                      <w:rFonts w:hint="default"/>
                      <w:color w:val="auto"/>
                      <w:szCs w:val="21"/>
                      <w:highlight w:val="none"/>
                      <w:lang w:val="en-US" w:eastAsia="zh-CN"/>
                    </w:rPr>
                  </w:pPr>
                  <w:r>
                    <w:rPr>
                      <w:rFonts w:hint="default"/>
                      <w:color w:val="auto"/>
                      <w:szCs w:val="21"/>
                      <w:highlight w:val="none"/>
                      <w:lang w:val="en-US" w:eastAsia="zh-CN"/>
                    </w:rPr>
                    <w:t xml:space="preserve">0.0027 </w:t>
                  </w:r>
                </w:p>
              </w:tc>
              <w:tc>
                <w:tcPr>
                  <w:tcW w:w="585" w:type="dxa"/>
                  <w:tcBorders>
                    <w:left w:val="single" w:color="auto" w:sz="4" w:space="0"/>
                    <w:right w:val="single" w:color="auto" w:sz="4" w:space="0"/>
                  </w:tcBorders>
                  <w:shd w:val="clear" w:color="auto" w:fill="auto"/>
                  <w:vAlign w:val="center"/>
                </w:tcPr>
                <w:p w14:paraId="001B60FB">
                  <w:pPr>
                    <w:jc w:val="center"/>
                    <w:rPr>
                      <w:rFonts w:hint="default"/>
                      <w:color w:val="auto"/>
                      <w:szCs w:val="21"/>
                      <w:highlight w:val="none"/>
                      <w:lang w:val="en-US" w:eastAsia="zh-CN"/>
                    </w:rPr>
                  </w:pPr>
                  <w:r>
                    <w:rPr>
                      <w:rFonts w:hint="default"/>
                      <w:color w:val="auto"/>
                      <w:szCs w:val="21"/>
                      <w:highlight w:val="none"/>
                      <w:lang w:val="en-US" w:eastAsia="zh-CN"/>
                    </w:rPr>
                    <w:t xml:space="preserve">0.0263 </w:t>
                  </w:r>
                </w:p>
              </w:tc>
              <w:tc>
                <w:tcPr>
                  <w:tcW w:w="675" w:type="dxa"/>
                  <w:tcBorders>
                    <w:left w:val="single" w:color="auto" w:sz="4" w:space="0"/>
                    <w:right w:val="single" w:color="auto" w:sz="4" w:space="0"/>
                  </w:tcBorders>
                  <w:shd w:val="clear" w:color="auto" w:fill="auto"/>
                  <w:vAlign w:val="center"/>
                </w:tcPr>
                <w:p w14:paraId="32C56811">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645" w:type="dxa"/>
                  <w:tcBorders>
                    <w:left w:val="single" w:color="auto" w:sz="4" w:space="0"/>
                    <w:right w:val="single" w:color="auto" w:sz="4" w:space="0"/>
                  </w:tcBorders>
                  <w:shd w:val="clear" w:color="auto" w:fill="auto"/>
                  <w:vAlign w:val="center"/>
                </w:tcPr>
                <w:p w14:paraId="39F9EC03">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889" w:type="dxa"/>
                  <w:tcBorders>
                    <w:left w:val="single" w:color="auto" w:sz="4" w:space="0"/>
                    <w:right w:val="single" w:color="auto" w:sz="4" w:space="0"/>
                  </w:tcBorders>
                  <w:shd w:val="clear" w:color="auto" w:fill="auto"/>
                  <w:vAlign w:val="center"/>
                </w:tcPr>
                <w:p w14:paraId="18FCE049">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600" w:type="dxa"/>
                  <w:tcBorders>
                    <w:left w:val="single" w:color="auto" w:sz="4" w:space="0"/>
                    <w:right w:val="single" w:color="auto" w:sz="4" w:space="0"/>
                  </w:tcBorders>
                  <w:shd w:val="clear" w:color="auto" w:fill="auto"/>
                  <w:vAlign w:val="center"/>
                </w:tcPr>
                <w:p w14:paraId="28D8613D">
                  <w:pPr>
                    <w:jc w:val="center"/>
                    <w:rPr>
                      <w:rFonts w:hint="default" w:eastAsia="宋体"/>
                      <w:color w:val="auto"/>
                      <w:szCs w:val="21"/>
                      <w:highlight w:val="none"/>
                      <w:lang w:val="en-US" w:eastAsia="zh-CN"/>
                    </w:rPr>
                  </w:pPr>
                  <w:r>
                    <w:rPr>
                      <w:rFonts w:hint="eastAsia"/>
                      <w:color w:val="auto"/>
                      <w:szCs w:val="21"/>
                      <w:highlight w:val="none"/>
                      <w:lang w:val="en-US" w:eastAsia="zh-CN"/>
                    </w:rPr>
                    <w:t>0</w:t>
                  </w:r>
                </w:p>
              </w:tc>
              <w:tc>
                <w:tcPr>
                  <w:tcW w:w="626" w:type="dxa"/>
                  <w:tcBorders>
                    <w:left w:val="single" w:color="auto" w:sz="4" w:space="0"/>
                    <w:right w:val="single" w:color="auto" w:sz="4" w:space="0"/>
                  </w:tcBorders>
                  <w:shd w:val="clear" w:color="auto" w:fill="auto"/>
                  <w:vAlign w:val="center"/>
                </w:tcPr>
                <w:p w14:paraId="5A8BFCCD">
                  <w:pPr>
                    <w:jc w:val="center"/>
                    <w:rPr>
                      <w:rFonts w:hint="default"/>
                      <w:color w:val="auto"/>
                      <w:szCs w:val="21"/>
                      <w:highlight w:val="none"/>
                      <w:lang w:val="en-US" w:eastAsia="zh-CN"/>
                    </w:rPr>
                  </w:pPr>
                  <w:r>
                    <w:rPr>
                      <w:rFonts w:hint="default"/>
                      <w:color w:val="auto"/>
                      <w:szCs w:val="21"/>
                      <w:highlight w:val="none"/>
                      <w:lang w:val="en-US" w:eastAsia="zh-CN"/>
                    </w:rPr>
                    <w:t xml:space="preserve">0.0001 </w:t>
                  </w:r>
                </w:p>
              </w:tc>
              <w:tc>
                <w:tcPr>
                  <w:tcW w:w="604" w:type="dxa"/>
                  <w:tcBorders>
                    <w:left w:val="single" w:color="auto" w:sz="4" w:space="0"/>
                  </w:tcBorders>
                  <w:shd w:val="clear" w:color="auto" w:fill="auto"/>
                  <w:vAlign w:val="center"/>
                </w:tcPr>
                <w:p w14:paraId="544911B1">
                  <w:pPr>
                    <w:jc w:val="center"/>
                    <w:rPr>
                      <w:rFonts w:hint="default"/>
                      <w:color w:val="auto"/>
                      <w:szCs w:val="21"/>
                      <w:highlight w:val="none"/>
                      <w:lang w:val="en-US" w:eastAsia="zh-CN"/>
                    </w:rPr>
                  </w:pPr>
                  <w:r>
                    <w:rPr>
                      <w:rFonts w:hint="default"/>
                      <w:color w:val="auto"/>
                      <w:szCs w:val="21"/>
                      <w:highlight w:val="none"/>
                      <w:lang w:val="en-US" w:eastAsia="zh-CN"/>
                    </w:rPr>
                    <w:t xml:space="preserve">0.0018 </w:t>
                  </w:r>
                </w:p>
              </w:tc>
              <w:tc>
                <w:tcPr>
                  <w:tcW w:w="851" w:type="dxa"/>
                  <w:vAlign w:val="center"/>
                </w:tcPr>
                <w:p w14:paraId="45AD15BC">
                  <w:pPr>
                    <w:jc w:val="center"/>
                    <w:rPr>
                      <w:rFonts w:hint="default" w:eastAsia="宋体"/>
                      <w:color w:val="auto"/>
                      <w:szCs w:val="21"/>
                      <w:highlight w:val="none"/>
                      <w:lang w:val="en-US" w:eastAsia="zh-CN"/>
                    </w:rPr>
                  </w:pPr>
                  <w:r>
                    <w:rPr>
                      <w:rFonts w:hint="eastAsia"/>
                      <w:color w:val="auto"/>
                      <w:szCs w:val="21"/>
                      <w:highlight w:val="none"/>
                      <w:lang w:val="en-US" w:eastAsia="zh-CN"/>
                    </w:rPr>
                    <w:t>0.1943</w:t>
                  </w:r>
                </w:p>
              </w:tc>
            </w:tr>
            <w:tr w14:paraId="44839B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397D0D4A">
                  <w:pPr>
                    <w:jc w:val="center"/>
                    <w:rPr>
                      <w:color w:val="auto"/>
                      <w:highlight w:val="none"/>
                    </w:rPr>
                  </w:pPr>
                </w:p>
              </w:tc>
              <w:tc>
                <w:tcPr>
                  <w:tcW w:w="848" w:type="dxa"/>
                  <w:shd w:val="clear" w:color="auto" w:fill="auto"/>
                  <w:vAlign w:val="center"/>
                </w:tcPr>
                <w:p w14:paraId="0D73B471">
                  <w:pPr>
                    <w:jc w:val="center"/>
                    <w:rPr>
                      <w:color w:val="auto"/>
                      <w:szCs w:val="21"/>
                      <w:highlight w:val="none"/>
                    </w:rPr>
                  </w:pPr>
                  <w:r>
                    <w:rPr>
                      <w:rFonts w:hint="eastAsia"/>
                      <w:color w:val="auto"/>
                      <w:szCs w:val="21"/>
                      <w:highlight w:val="none"/>
                    </w:rPr>
                    <w:t>小计</w:t>
                  </w:r>
                </w:p>
              </w:tc>
              <w:tc>
                <w:tcPr>
                  <w:tcW w:w="643" w:type="dxa"/>
                  <w:tcBorders>
                    <w:right w:val="single" w:color="auto" w:sz="4" w:space="0"/>
                  </w:tcBorders>
                  <w:shd w:val="clear" w:color="auto" w:fill="auto"/>
                  <w:vAlign w:val="center"/>
                </w:tcPr>
                <w:p w14:paraId="2ADDFD63">
                  <w:pPr>
                    <w:jc w:val="center"/>
                    <w:rPr>
                      <w:rFonts w:hint="default" w:eastAsia="宋体"/>
                      <w:color w:val="auto"/>
                      <w:szCs w:val="21"/>
                      <w:highlight w:val="none"/>
                      <w:lang w:val="en-US" w:eastAsia="zh-CN"/>
                    </w:rPr>
                  </w:pPr>
                  <w:r>
                    <w:rPr>
                      <w:rFonts w:hint="eastAsia"/>
                      <w:color w:val="auto"/>
                      <w:szCs w:val="21"/>
                      <w:highlight w:val="none"/>
                      <w:lang w:val="en-US" w:eastAsia="zh-CN"/>
                    </w:rPr>
                    <w:t>0.8604</w:t>
                  </w:r>
                </w:p>
              </w:tc>
              <w:tc>
                <w:tcPr>
                  <w:tcW w:w="683" w:type="dxa"/>
                  <w:tcBorders>
                    <w:left w:val="single" w:color="auto" w:sz="4" w:space="0"/>
                  </w:tcBorders>
                  <w:shd w:val="clear" w:color="auto" w:fill="auto"/>
                  <w:vAlign w:val="center"/>
                </w:tcPr>
                <w:p w14:paraId="5F0505FA">
                  <w:pPr>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 xml:space="preserve">0.0065 </w:t>
                  </w:r>
                </w:p>
              </w:tc>
              <w:tc>
                <w:tcPr>
                  <w:tcW w:w="615" w:type="dxa"/>
                  <w:tcBorders>
                    <w:right w:val="single" w:color="auto" w:sz="4" w:space="0"/>
                  </w:tcBorders>
                  <w:shd w:val="clear" w:color="auto" w:fill="auto"/>
                  <w:vAlign w:val="center"/>
                </w:tcPr>
                <w:p w14:paraId="214E8A7F">
                  <w:pPr>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 xml:space="preserve">0.0027 </w:t>
                  </w:r>
                </w:p>
              </w:tc>
              <w:tc>
                <w:tcPr>
                  <w:tcW w:w="585" w:type="dxa"/>
                  <w:tcBorders>
                    <w:left w:val="single" w:color="auto" w:sz="4" w:space="0"/>
                    <w:right w:val="single" w:color="auto" w:sz="4" w:space="0"/>
                  </w:tcBorders>
                  <w:shd w:val="clear" w:color="auto" w:fill="auto"/>
                  <w:vAlign w:val="center"/>
                </w:tcPr>
                <w:p w14:paraId="40E0A122">
                  <w:pPr>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 xml:space="preserve">0.0263 </w:t>
                  </w:r>
                </w:p>
              </w:tc>
              <w:tc>
                <w:tcPr>
                  <w:tcW w:w="675" w:type="dxa"/>
                  <w:tcBorders>
                    <w:left w:val="single" w:color="auto" w:sz="4" w:space="0"/>
                    <w:right w:val="single" w:color="auto" w:sz="4" w:space="0"/>
                  </w:tcBorders>
                  <w:shd w:val="clear" w:color="auto" w:fill="auto"/>
                  <w:vAlign w:val="center"/>
                </w:tcPr>
                <w:p w14:paraId="6A65DD5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45" w:type="dxa"/>
                  <w:tcBorders>
                    <w:left w:val="single" w:color="auto" w:sz="4" w:space="0"/>
                    <w:right w:val="single" w:color="auto" w:sz="4" w:space="0"/>
                  </w:tcBorders>
                  <w:shd w:val="clear" w:color="auto" w:fill="auto"/>
                  <w:vAlign w:val="center"/>
                </w:tcPr>
                <w:p w14:paraId="33B3204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89" w:type="dxa"/>
                  <w:tcBorders>
                    <w:left w:val="single" w:color="auto" w:sz="4" w:space="0"/>
                    <w:right w:val="single" w:color="auto" w:sz="4" w:space="0"/>
                  </w:tcBorders>
                  <w:shd w:val="clear" w:color="auto" w:fill="auto"/>
                  <w:vAlign w:val="center"/>
                </w:tcPr>
                <w:p w14:paraId="095CD2E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00" w:type="dxa"/>
                  <w:tcBorders>
                    <w:left w:val="single" w:color="auto" w:sz="4" w:space="0"/>
                    <w:right w:val="single" w:color="auto" w:sz="4" w:space="0"/>
                  </w:tcBorders>
                  <w:shd w:val="clear" w:color="auto" w:fill="auto"/>
                  <w:vAlign w:val="center"/>
                </w:tcPr>
                <w:p w14:paraId="530D879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26" w:type="dxa"/>
                  <w:tcBorders>
                    <w:left w:val="single" w:color="auto" w:sz="4" w:space="0"/>
                    <w:right w:val="single" w:color="auto" w:sz="4" w:space="0"/>
                  </w:tcBorders>
                  <w:shd w:val="clear" w:color="auto" w:fill="auto"/>
                  <w:vAlign w:val="center"/>
                </w:tcPr>
                <w:p w14:paraId="081AF97B">
                  <w:pPr>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 xml:space="preserve">0.0001 </w:t>
                  </w:r>
                </w:p>
              </w:tc>
              <w:tc>
                <w:tcPr>
                  <w:tcW w:w="604" w:type="dxa"/>
                  <w:tcBorders>
                    <w:left w:val="single" w:color="auto" w:sz="4" w:space="0"/>
                  </w:tcBorders>
                  <w:shd w:val="clear" w:color="auto" w:fill="auto"/>
                  <w:vAlign w:val="center"/>
                </w:tcPr>
                <w:p w14:paraId="6E5C85DF">
                  <w:pPr>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lang w:val="en-US" w:eastAsia="zh-CN"/>
                    </w:rPr>
                    <w:t xml:space="preserve">0.0018 </w:t>
                  </w:r>
                </w:p>
              </w:tc>
              <w:tc>
                <w:tcPr>
                  <w:tcW w:w="851" w:type="dxa"/>
                  <w:vAlign w:val="center"/>
                </w:tcPr>
                <w:p w14:paraId="5D23E135">
                  <w:pPr>
                    <w:jc w:val="center"/>
                    <w:rPr>
                      <w:rFonts w:hint="default" w:eastAsia="宋体"/>
                      <w:color w:val="auto"/>
                      <w:szCs w:val="21"/>
                      <w:highlight w:val="none"/>
                      <w:lang w:val="en-US" w:eastAsia="zh-CN"/>
                    </w:rPr>
                  </w:pPr>
                  <w:r>
                    <w:rPr>
                      <w:rFonts w:hint="eastAsia"/>
                      <w:color w:val="auto"/>
                      <w:szCs w:val="21"/>
                      <w:highlight w:val="none"/>
                      <w:lang w:val="en-US" w:eastAsia="zh-CN"/>
                    </w:rPr>
                    <w:t>0.8978</w:t>
                  </w:r>
                </w:p>
              </w:tc>
            </w:tr>
            <w:tr w14:paraId="15B53A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restart"/>
                  <w:vAlign w:val="center"/>
                </w:tcPr>
                <w:p w14:paraId="07F150E6">
                  <w:pPr>
                    <w:jc w:val="center"/>
                    <w:rPr>
                      <w:color w:val="auto"/>
                      <w:szCs w:val="21"/>
                      <w:highlight w:val="none"/>
                    </w:rPr>
                  </w:pPr>
                  <w:r>
                    <w:rPr>
                      <w:rFonts w:hint="eastAsia"/>
                      <w:color w:val="auto"/>
                      <w:szCs w:val="21"/>
                      <w:highlight w:val="none"/>
                    </w:rPr>
                    <w:t>临时占地</w:t>
                  </w:r>
                </w:p>
              </w:tc>
              <w:tc>
                <w:tcPr>
                  <w:tcW w:w="848" w:type="dxa"/>
                  <w:vAlign w:val="center"/>
                </w:tcPr>
                <w:p w14:paraId="4FB94166">
                  <w:pPr>
                    <w:jc w:val="center"/>
                    <w:rPr>
                      <w:color w:val="auto"/>
                      <w:szCs w:val="21"/>
                      <w:highlight w:val="none"/>
                    </w:rPr>
                  </w:pPr>
                  <w:r>
                    <w:rPr>
                      <w:rFonts w:hint="eastAsia"/>
                      <w:color w:val="auto"/>
                      <w:szCs w:val="21"/>
                      <w:highlight w:val="none"/>
                    </w:rPr>
                    <w:t>施工营地</w:t>
                  </w:r>
                </w:p>
              </w:tc>
              <w:tc>
                <w:tcPr>
                  <w:tcW w:w="643" w:type="dxa"/>
                  <w:tcBorders>
                    <w:right w:val="single" w:color="auto" w:sz="4" w:space="0"/>
                  </w:tcBorders>
                  <w:vAlign w:val="center"/>
                </w:tcPr>
                <w:p w14:paraId="110EC897">
                  <w:pPr>
                    <w:jc w:val="center"/>
                    <w:rPr>
                      <w:rFonts w:hint="default" w:eastAsia="宋体"/>
                      <w:color w:val="auto"/>
                      <w:szCs w:val="21"/>
                      <w:highlight w:val="none"/>
                      <w:lang w:val="en-US" w:eastAsia="zh-CN"/>
                    </w:rPr>
                  </w:pPr>
                  <w:r>
                    <w:rPr>
                      <w:rFonts w:hint="eastAsia"/>
                      <w:color w:val="auto"/>
                      <w:szCs w:val="21"/>
                      <w:highlight w:val="none"/>
                      <w:lang w:val="en-US" w:eastAsia="zh-CN"/>
                    </w:rPr>
                    <w:t>1.2437</w:t>
                  </w:r>
                </w:p>
              </w:tc>
              <w:tc>
                <w:tcPr>
                  <w:tcW w:w="683" w:type="dxa"/>
                  <w:tcBorders>
                    <w:left w:val="single" w:color="auto" w:sz="4" w:space="0"/>
                  </w:tcBorders>
                  <w:shd w:val="clear" w:color="auto" w:fill="auto"/>
                  <w:vAlign w:val="center"/>
                </w:tcPr>
                <w:p w14:paraId="19EC237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15" w:type="dxa"/>
                  <w:tcBorders>
                    <w:right w:val="single" w:color="auto" w:sz="4" w:space="0"/>
                  </w:tcBorders>
                  <w:shd w:val="clear" w:color="auto" w:fill="auto"/>
                  <w:vAlign w:val="center"/>
                </w:tcPr>
                <w:p w14:paraId="7F31F6DC">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585" w:type="dxa"/>
                  <w:tcBorders>
                    <w:left w:val="single" w:color="auto" w:sz="4" w:space="0"/>
                    <w:right w:val="single" w:color="auto" w:sz="4" w:space="0"/>
                  </w:tcBorders>
                  <w:shd w:val="clear" w:color="auto" w:fill="auto"/>
                  <w:vAlign w:val="center"/>
                </w:tcPr>
                <w:p w14:paraId="618507A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75" w:type="dxa"/>
                  <w:tcBorders>
                    <w:left w:val="single" w:color="auto" w:sz="4" w:space="0"/>
                    <w:right w:val="single" w:color="auto" w:sz="4" w:space="0"/>
                  </w:tcBorders>
                  <w:shd w:val="clear" w:color="auto" w:fill="auto"/>
                  <w:vAlign w:val="center"/>
                </w:tcPr>
                <w:p w14:paraId="3A834C58">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45" w:type="dxa"/>
                  <w:tcBorders>
                    <w:left w:val="single" w:color="auto" w:sz="4" w:space="0"/>
                    <w:right w:val="single" w:color="auto" w:sz="4" w:space="0"/>
                  </w:tcBorders>
                  <w:shd w:val="clear" w:color="auto" w:fill="auto"/>
                  <w:vAlign w:val="center"/>
                </w:tcPr>
                <w:p w14:paraId="0927161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89" w:type="dxa"/>
                  <w:tcBorders>
                    <w:left w:val="single" w:color="auto" w:sz="4" w:space="0"/>
                    <w:right w:val="single" w:color="auto" w:sz="4" w:space="0"/>
                  </w:tcBorders>
                  <w:shd w:val="clear" w:color="auto" w:fill="auto"/>
                  <w:vAlign w:val="center"/>
                </w:tcPr>
                <w:p w14:paraId="50FD3BE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00" w:type="dxa"/>
                  <w:tcBorders>
                    <w:left w:val="single" w:color="auto" w:sz="4" w:space="0"/>
                    <w:right w:val="single" w:color="auto" w:sz="4" w:space="0"/>
                  </w:tcBorders>
                  <w:shd w:val="clear" w:color="auto" w:fill="auto"/>
                  <w:vAlign w:val="center"/>
                </w:tcPr>
                <w:p w14:paraId="744C556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26" w:type="dxa"/>
                  <w:tcBorders>
                    <w:left w:val="single" w:color="auto" w:sz="4" w:space="0"/>
                    <w:right w:val="single" w:color="auto" w:sz="4" w:space="0"/>
                  </w:tcBorders>
                  <w:shd w:val="clear" w:color="auto" w:fill="auto"/>
                  <w:vAlign w:val="center"/>
                </w:tcPr>
                <w:p w14:paraId="717C236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604" w:type="dxa"/>
                  <w:tcBorders>
                    <w:left w:val="single" w:color="auto" w:sz="4" w:space="0"/>
                  </w:tcBorders>
                  <w:shd w:val="clear" w:color="auto" w:fill="auto"/>
                  <w:vAlign w:val="center"/>
                </w:tcPr>
                <w:p w14:paraId="2937C2D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51" w:type="dxa"/>
                  <w:vAlign w:val="center"/>
                </w:tcPr>
                <w:p w14:paraId="20D31D18">
                  <w:pPr>
                    <w:jc w:val="center"/>
                    <w:rPr>
                      <w:rFonts w:hint="default" w:eastAsia="宋体"/>
                      <w:color w:val="auto"/>
                      <w:szCs w:val="21"/>
                      <w:highlight w:val="none"/>
                      <w:lang w:val="en-US" w:eastAsia="zh-CN"/>
                    </w:rPr>
                  </w:pPr>
                  <w:r>
                    <w:rPr>
                      <w:rFonts w:hint="eastAsia"/>
                      <w:color w:val="auto"/>
                      <w:szCs w:val="21"/>
                      <w:highlight w:val="none"/>
                      <w:lang w:val="en-US" w:eastAsia="zh-CN"/>
                    </w:rPr>
                    <w:t>1.2437</w:t>
                  </w:r>
                </w:p>
              </w:tc>
            </w:tr>
            <w:tr w14:paraId="23A9E5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3A09F039">
                  <w:pPr>
                    <w:jc w:val="center"/>
                    <w:rPr>
                      <w:rFonts w:hint="eastAsia"/>
                      <w:color w:val="auto"/>
                      <w:szCs w:val="21"/>
                      <w:highlight w:val="none"/>
                    </w:rPr>
                  </w:pPr>
                </w:p>
              </w:tc>
              <w:tc>
                <w:tcPr>
                  <w:tcW w:w="848" w:type="dxa"/>
                  <w:vAlign w:val="center"/>
                </w:tcPr>
                <w:p w14:paraId="5F157B93">
                  <w:pPr>
                    <w:jc w:val="center"/>
                    <w:rPr>
                      <w:rFonts w:hint="default" w:eastAsia="宋体"/>
                      <w:color w:val="auto"/>
                      <w:szCs w:val="21"/>
                      <w:highlight w:val="none"/>
                      <w:lang w:val="en-US" w:eastAsia="zh-CN"/>
                    </w:rPr>
                  </w:pPr>
                  <w:r>
                    <w:rPr>
                      <w:rFonts w:hint="eastAsia"/>
                      <w:color w:val="auto"/>
                      <w:szCs w:val="21"/>
                      <w:highlight w:val="none"/>
                      <w:lang w:val="en-US" w:eastAsia="zh-CN"/>
                    </w:rPr>
                    <w:t>站外供水、排水管线</w:t>
                  </w:r>
                </w:p>
              </w:tc>
              <w:tc>
                <w:tcPr>
                  <w:tcW w:w="643" w:type="dxa"/>
                  <w:tcBorders>
                    <w:right w:val="single" w:color="auto" w:sz="4" w:space="0"/>
                  </w:tcBorders>
                  <w:vAlign w:val="center"/>
                </w:tcPr>
                <w:p w14:paraId="45C42C17">
                  <w:pPr>
                    <w:jc w:val="center"/>
                    <w:rPr>
                      <w:rFonts w:hint="default"/>
                      <w:color w:val="auto"/>
                      <w:szCs w:val="21"/>
                      <w:highlight w:val="none"/>
                      <w:lang w:val="en-US" w:eastAsia="zh-CN"/>
                    </w:rPr>
                  </w:pPr>
                  <w:r>
                    <w:rPr>
                      <w:rFonts w:hint="eastAsia"/>
                      <w:color w:val="auto"/>
                      <w:szCs w:val="21"/>
                      <w:highlight w:val="none"/>
                      <w:lang w:val="en-US" w:eastAsia="zh-CN"/>
                    </w:rPr>
                    <w:t>0.07</w:t>
                  </w:r>
                </w:p>
              </w:tc>
              <w:tc>
                <w:tcPr>
                  <w:tcW w:w="683" w:type="dxa"/>
                  <w:tcBorders>
                    <w:left w:val="single" w:color="auto" w:sz="4" w:space="0"/>
                  </w:tcBorders>
                  <w:shd w:val="clear" w:color="auto" w:fill="auto"/>
                  <w:vAlign w:val="center"/>
                </w:tcPr>
                <w:p w14:paraId="1A299D05">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15" w:type="dxa"/>
                  <w:tcBorders>
                    <w:right w:val="single" w:color="auto" w:sz="4" w:space="0"/>
                  </w:tcBorders>
                  <w:shd w:val="clear" w:color="auto" w:fill="auto"/>
                  <w:vAlign w:val="center"/>
                </w:tcPr>
                <w:p w14:paraId="03F3B9C4">
                  <w:pPr>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585" w:type="dxa"/>
                  <w:tcBorders>
                    <w:left w:val="single" w:color="auto" w:sz="4" w:space="0"/>
                    <w:right w:val="single" w:color="auto" w:sz="4" w:space="0"/>
                  </w:tcBorders>
                  <w:shd w:val="clear" w:color="auto" w:fill="auto"/>
                  <w:vAlign w:val="center"/>
                </w:tcPr>
                <w:p w14:paraId="6F7B13C9">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75" w:type="dxa"/>
                  <w:tcBorders>
                    <w:left w:val="single" w:color="auto" w:sz="4" w:space="0"/>
                    <w:right w:val="single" w:color="auto" w:sz="4" w:space="0"/>
                  </w:tcBorders>
                  <w:shd w:val="clear" w:color="auto" w:fill="auto"/>
                  <w:vAlign w:val="center"/>
                </w:tcPr>
                <w:p w14:paraId="26833326">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45" w:type="dxa"/>
                  <w:tcBorders>
                    <w:left w:val="single" w:color="auto" w:sz="4" w:space="0"/>
                    <w:right w:val="single" w:color="auto" w:sz="4" w:space="0"/>
                  </w:tcBorders>
                  <w:shd w:val="clear" w:color="auto" w:fill="auto"/>
                  <w:vAlign w:val="center"/>
                </w:tcPr>
                <w:p w14:paraId="3B535097">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889" w:type="dxa"/>
                  <w:tcBorders>
                    <w:left w:val="single" w:color="auto" w:sz="4" w:space="0"/>
                    <w:right w:val="single" w:color="auto" w:sz="4" w:space="0"/>
                  </w:tcBorders>
                  <w:shd w:val="clear" w:color="auto" w:fill="auto"/>
                  <w:vAlign w:val="center"/>
                </w:tcPr>
                <w:p w14:paraId="0132CE94">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00" w:type="dxa"/>
                  <w:tcBorders>
                    <w:left w:val="single" w:color="auto" w:sz="4" w:space="0"/>
                    <w:right w:val="single" w:color="auto" w:sz="4" w:space="0"/>
                  </w:tcBorders>
                  <w:shd w:val="clear" w:color="auto" w:fill="auto"/>
                  <w:vAlign w:val="center"/>
                </w:tcPr>
                <w:p w14:paraId="5FF41CA5">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626" w:type="dxa"/>
                  <w:tcBorders>
                    <w:left w:val="single" w:color="auto" w:sz="4" w:space="0"/>
                    <w:right w:val="single" w:color="auto" w:sz="4" w:space="0"/>
                  </w:tcBorders>
                  <w:shd w:val="clear" w:color="auto" w:fill="auto"/>
                  <w:vAlign w:val="center"/>
                </w:tcPr>
                <w:p w14:paraId="7F833D69">
                  <w:pPr>
                    <w:jc w:val="center"/>
                    <w:rPr>
                      <w:rFonts w:hint="default"/>
                      <w:color w:val="auto"/>
                      <w:szCs w:val="21"/>
                      <w:highlight w:val="none"/>
                      <w:lang w:val="en-US" w:eastAsia="zh-CN"/>
                    </w:rPr>
                  </w:pPr>
                  <w:r>
                    <w:rPr>
                      <w:rFonts w:hint="eastAsia"/>
                      <w:color w:val="auto"/>
                      <w:szCs w:val="21"/>
                      <w:highlight w:val="none"/>
                      <w:lang w:val="en-US" w:eastAsia="zh-CN"/>
                    </w:rPr>
                    <w:t>0.01</w:t>
                  </w:r>
                </w:p>
              </w:tc>
              <w:tc>
                <w:tcPr>
                  <w:tcW w:w="604" w:type="dxa"/>
                  <w:tcBorders>
                    <w:left w:val="single" w:color="auto" w:sz="4" w:space="0"/>
                  </w:tcBorders>
                  <w:shd w:val="clear" w:color="auto" w:fill="auto"/>
                  <w:vAlign w:val="center"/>
                </w:tcPr>
                <w:p w14:paraId="4C68C480">
                  <w:pPr>
                    <w:jc w:val="center"/>
                    <w:rPr>
                      <w:rFonts w:hint="default"/>
                      <w:color w:val="auto"/>
                      <w:szCs w:val="21"/>
                      <w:highlight w:val="none"/>
                      <w:lang w:val="en-US" w:eastAsia="zh-CN"/>
                    </w:rPr>
                  </w:pPr>
                  <w:r>
                    <w:rPr>
                      <w:rFonts w:hint="eastAsia"/>
                      <w:color w:val="auto"/>
                      <w:szCs w:val="21"/>
                      <w:highlight w:val="none"/>
                      <w:lang w:val="en-US" w:eastAsia="zh-CN"/>
                    </w:rPr>
                    <w:t>0</w:t>
                  </w:r>
                </w:p>
              </w:tc>
              <w:tc>
                <w:tcPr>
                  <w:tcW w:w="851" w:type="dxa"/>
                  <w:vAlign w:val="center"/>
                </w:tcPr>
                <w:p w14:paraId="6F4F21E0">
                  <w:pPr>
                    <w:jc w:val="center"/>
                    <w:rPr>
                      <w:rFonts w:hint="default"/>
                      <w:color w:val="auto"/>
                      <w:szCs w:val="21"/>
                      <w:highlight w:val="none"/>
                      <w:lang w:val="en-US" w:eastAsia="zh-CN"/>
                    </w:rPr>
                  </w:pPr>
                  <w:r>
                    <w:rPr>
                      <w:rFonts w:hint="eastAsia"/>
                      <w:color w:val="auto"/>
                      <w:szCs w:val="21"/>
                      <w:highlight w:val="none"/>
                      <w:lang w:val="en-US" w:eastAsia="zh-CN"/>
                    </w:rPr>
                    <w:t>0.08</w:t>
                  </w:r>
                </w:p>
              </w:tc>
            </w:tr>
            <w:tr w14:paraId="26866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141072DC">
                  <w:pPr>
                    <w:jc w:val="center"/>
                    <w:rPr>
                      <w:color w:val="auto"/>
                      <w:szCs w:val="21"/>
                      <w:highlight w:val="none"/>
                    </w:rPr>
                  </w:pPr>
                </w:p>
              </w:tc>
              <w:tc>
                <w:tcPr>
                  <w:tcW w:w="848" w:type="dxa"/>
                  <w:vAlign w:val="center"/>
                </w:tcPr>
                <w:p w14:paraId="0BB96398">
                  <w:pPr>
                    <w:jc w:val="center"/>
                    <w:rPr>
                      <w:rFonts w:hint="default" w:eastAsia="宋体"/>
                      <w:color w:val="auto"/>
                      <w:szCs w:val="21"/>
                      <w:highlight w:val="none"/>
                      <w:lang w:val="en-US" w:eastAsia="zh-CN"/>
                    </w:rPr>
                  </w:pPr>
                  <w:r>
                    <w:rPr>
                      <w:rFonts w:hint="eastAsia"/>
                      <w:color w:val="auto"/>
                      <w:szCs w:val="21"/>
                      <w:highlight w:val="none"/>
                      <w:lang w:val="en-US" w:eastAsia="zh-CN"/>
                    </w:rPr>
                    <w:t>塔基临时</w:t>
                  </w:r>
                  <w:r>
                    <w:rPr>
                      <w:rFonts w:hint="eastAsia"/>
                      <w:color w:val="auto"/>
                      <w:szCs w:val="21"/>
                      <w:highlight w:val="none"/>
                    </w:rPr>
                    <w:t>施工</w:t>
                  </w:r>
                  <w:r>
                    <w:rPr>
                      <w:rFonts w:hint="eastAsia"/>
                      <w:color w:val="auto"/>
                      <w:szCs w:val="21"/>
                      <w:highlight w:val="none"/>
                      <w:lang w:val="en-US" w:eastAsia="zh-CN"/>
                    </w:rPr>
                    <w:t>区域（含10千伏临时施工电源线路）</w:t>
                  </w:r>
                </w:p>
              </w:tc>
              <w:tc>
                <w:tcPr>
                  <w:tcW w:w="643" w:type="dxa"/>
                  <w:tcBorders>
                    <w:right w:val="single" w:color="auto" w:sz="4" w:space="0"/>
                  </w:tcBorders>
                  <w:vAlign w:val="center"/>
                </w:tcPr>
                <w:p w14:paraId="48DA37BA">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cs="Times New Roman"/>
                      <w:b w:val="0"/>
                      <w:bCs w:val="0"/>
                      <w:i w:val="0"/>
                      <w:iCs w:val="0"/>
                      <w:color w:val="000000"/>
                      <w:kern w:val="0"/>
                      <w:sz w:val="21"/>
                      <w:szCs w:val="21"/>
                      <w:highlight w:val="none"/>
                      <w:u w:val="none"/>
                      <w:lang w:val="en-US" w:eastAsia="zh-CN" w:bidi="ar"/>
                    </w:rPr>
                    <w:t>2.0312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83" w:type="dxa"/>
                  <w:tcBorders>
                    <w:left w:val="single" w:color="auto" w:sz="4" w:space="0"/>
                  </w:tcBorders>
                  <w:vAlign w:val="center"/>
                </w:tcPr>
                <w:p w14:paraId="0D21DEC2">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0.0974</w:t>
                  </w:r>
                </w:p>
              </w:tc>
              <w:tc>
                <w:tcPr>
                  <w:tcW w:w="615" w:type="dxa"/>
                  <w:tcBorders>
                    <w:right w:val="single" w:color="auto" w:sz="4" w:space="0"/>
                  </w:tcBorders>
                  <w:vAlign w:val="center"/>
                </w:tcPr>
                <w:p w14:paraId="7698C8A3">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0.0324</w:t>
                  </w:r>
                </w:p>
              </w:tc>
              <w:tc>
                <w:tcPr>
                  <w:tcW w:w="585" w:type="dxa"/>
                  <w:tcBorders>
                    <w:left w:val="single" w:color="auto" w:sz="4" w:space="0"/>
                    <w:right w:val="single" w:color="auto" w:sz="4" w:space="0"/>
                  </w:tcBorders>
                  <w:vAlign w:val="center"/>
                </w:tcPr>
                <w:p w14:paraId="053CF859">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0.2190</w:t>
                  </w:r>
                </w:p>
              </w:tc>
              <w:tc>
                <w:tcPr>
                  <w:tcW w:w="675" w:type="dxa"/>
                  <w:tcBorders>
                    <w:left w:val="single" w:color="auto" w:sz="4" w:space="0"/>
                    <w:right w:val="single" w:color="auto" w:sz="4" w:space="0"/>
                  </w:tcBorders>
                  <w:vAlign w:val="center"/>
                </w:tcPr>
                <w:p w14:paraId="0366AC16">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0.0006</w:t>
                  </w:r>
                </w:p>
              </w:tc>
              <w:tc>
                <w:tcPr>
                  <w:tcW w:w="645" w:type="dxa"/>
                  <w:tcBorders>
                    <w:left w:val="single" w:color="auto" w:sz="4" w:space="0"/>
                    <w:right w:val="single" w:color="auto" w:sz="4" w:space="0"/>
                  </w:tcBorders>
                  <w:vAlign w:val="center"/>
                </w:tcPr>
                <w:p w14:paraId="50AAFCD1">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0.0092</w:t>
                  </w:r>
                </w:p>
              </w:tc>
              <w:tc>
                <w:tcPr>
                  <w:tcW w:w="889" w:type="dxa"/>
                  <w:tcBorders>
                    <w:left w:val="single" w:color="auto" w:sz="4" w:space="0"/>
                    <w:right w:val="single" w:color="auto" w:sz="4" w:space="0"/>
                  </w:tcBorders>
                  <w:vAlign w:val="center"/>
                </w:tcPr>
                <w:p w14:paraId="7C5A5BA2">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0.0008</w:t>
                  </w:r>
                </w:p>
              </w:tc>
              <w:tc>
                <w:tcPr>
                  <w:tcW w:w="600" w:type="dxa"/>
                  <w:tcBorders>
                    <w:left w:val="single" w:color="auto" w:sz="4" w:space="0"/>
                    <w:right w:val="single" w:color="auto" w:sz="4" w:space="0"/>
                  </w:tcBorders>
                  <w:vAlign w:val="center"/>
                </w:tcPr>
                <w:p w14:paraId="086142D6">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0.0001</w:t>
                  </w:r>
                </w:p>
              </w:tc>
              <w:tc>
                <w:tcPr>
                  <w:tcW w:w="626" w:type="dxa"/>
                  <w:tcBorders>
                    <w:left w:val="single" w:color="auto" w:sz="4" w:space="0"/>
                    <w:right w:val="single" w:color="auto" w:sz="4" w:space="0"/>
                  </w:tcBorders>
                  <w:vAlign w:val="center"/>
                </w:tcPr>
                <w:p w14:paraId="14BC5DDA">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0.0089</w:t>
                  </w:r>
                </w:p>
              </w:tc>
              <w:tc>
                <w:tcPr>
                  <w:tcW w:w="604" w:type="dxa"/>
                  <w:tcBorders>
                    <w:left w:val="single" w:color="auto" w:sz="4" w:space="0"/>
                  </w:tcBorders>
                  <w:vAlign w:val="center"/>
                </w:tcPr>
                <w:p w14:paraId="756CE291">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0.0405</w:t>
                  </w:r>
                </w:p>
              </w:tc>
              <w:tc>
                <w:tcPr>
                  <w:tcW w:w="851" w:type="dxa"/>
                  <w:vAlign w:val="center"/>
                </w:tcPr>
                <w:p w14:paraId="13CEC2A8">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cs="Times New Roman"/>
                      <w:b w:val="0"/>
                      <w:bCs w:val="0"/>
                      <w:i w:val="0"/>
                      <w:iCs w:val="0"/>
                      <w:color w:val="000000"/>
                      <w:kern w:val="0"/>
                      <w:sz w:val="21"/>
                      <w:szCs w:val="21"/>
                      <w:highlight w:val="none"/>
                      <w:u w:val="none"/>
                      <w:lang w:val="en-US" w:eastAsia="zh-CN" w:bidi="ar"/>
                    </w:rPr>
                    <w:t>2.4401</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r>
            <w:tr w14:paraId="7C6A7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20AC2BB7">
                  <w:pPr>
                    <w:jc w:val="center"/>
                    <w:rPr>
                      <w:color w:val="auto"/>
                      <w:szCs w:val="21"/>
                      <w:highlight w:val="none"/>
                    </w:rPr>
                  </w:pPr>
                </w:p>
              </w:tc>
              <w:tc>
                <w:tcPr>
                  <w:tcW w:w="848" w:type="dxa"/>
                  <w:vAlign w:val="center"/>
                </w:tcPr>
                <w:p w14:paraId="33C194DB">
                  <w:pPr>
                    <w:jc w:val="center"/>
                    <w:rPr>
                      <w:rFonts w:hint="eastAsia"/>
                      <w:color w:val="auto"/>
                      <w:szCs w:val="21"/>
                      <w:highlight w:val="none"/>
                    </w:rPr>
                  </w:pPr>
                  <w:r>
                    <w:rPr>
                      <w:rFonts w:hint="eastAsia"/>
                      <w:color w:val="auto"/>
                      <w:szCs w:val="21"/>
                      <w:highlight w:val="none"/>
                    </w:rPr>
                    <w:t>牵张场</w:t>
                  </w:r>
                </w:p>
              </w:tc>
              <w:tc>
                <w:tcPr>
                  <w:tcW w:w="643" w:type="dxa"/>
                  <w:tcBorders>
                    <w:right w:val="single" w:color="auto" w:sz="4" w:space="0"/>
                  </w:tcBorders>
                  <w:vAlign w:val="center"/>
                </w:tcPr>
                <w:p w14:paraId="0851579A">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eastAsia" w:cs="Times New Roman"/>
                      <w:b w:val="0"/>
                      <w:bCs w:val="0"/>
                      <w:i w:val="0"/>
                      <w:iCs w:val="0"/>
                      <w:color w:val="000000"/>
                      <w:kern w:val="0"/>
                      <w:sz w:val="21"/>
                      <w:szCs w:val="21"/>
                      <w:highlight w:val="none"/>
                      <w:u w:val="none"/>
                      <w:lang w:val="en-US" w:eastAsia="zh-CN" w:bidi="ar"/>
                    </w:rPr>
                    <w:t>0.42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83" w:type="dxa"/>
                  <w:tcBorders>
                    <w:left w:val="single" w:color="auto" w:sz="4" w:space="0"/>
                  </w:tcBorders>
                  <w:vAlign w:val="center"/>
                </w:tcPr>
                <w:p w14:paraId="3695ABC1">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615" w:type="dxa"/>
                  <w:tcBorders>
                    <w:right w:val="single" w:color="auto" w:sz="4" w:space="0"/>
                  </w:tcBorders>
                  <w:vAlign w:val="center"/>
                </w:tcPr>
                <w:p w14:paraId="2EDAF322">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585" w:type="dxa"/>
                  <w:tcBorders>
                    <w:left w:val="single" w:color="auto" w:sz="4" w:space="0"/>
                    <w:right w:val="single" w:color="auto" w:sz="4" w:space="0"/>
                  </w:tcBorders>
                  <w:vAlign w:val="center"/>
                </w:tcPr>
                <w:p w14:paraId="51C7CF5D">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675" w:type="dxa"/>
                  <w:tcBorders>
                    <w:left w:val="single" w:color="auto" w:sz="4" w:space="0"/>
                    <w:right w:val="single" w:color="auto" w:sz="4" w:space="0"/>
                  </w:tcBorders>
                  <w:vAlign w:val="center"/>
                </w:tcPr>
                <w:p w14:paraId="513D8438">
                  <w:pPr>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w:t>
                  </w:r>
                </w:p>
              </w:tc>
              <w:tc>
                <w:tcPr>
                  <w:tcW w:w="645" w:type="dxa"/>
                  <w:tcBorders>
                    <w:left w:val="single" w:color="auto" w:sz="4" w:space="0"/>
                    <w:right w:val="single" w:color="auto" w:sz="4" w:space="0"/>
                  </w:tcBorders>
                  <w:vAlign w:val="center"/>
                </w:tcPr>
                <w:p w14:paraId="4657C016">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889" w:type="dxa"/>
                  <w:tcBorders>
                    <w:left w:val="single" w:color="auto" w:sz="4" w:space="0"/>
                    <w:right w:val="single" w:color="auto" w:sz="4" w:space="0"/>
                  </w:tcBorders>
                  <w:vAlign w:val="center"/>
                </w:tcPr>
                <w:p w14:paraId="302C6345">
                  <w:pPr>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w:t>
                  </w:r>
                </w:p>
              </w:tc>
              <w:tc>
                <w:tcPr>
                  <w:tcW w:w="600" w:type="dxa"/>
                  <w:tcBorders>
                    <w:left w:val="single" w:color="auto" w:sz="4" w:space="0"/>
                    <w:right w:val="single" w:color="auto" w:sz="4" w:space="0"/>
                  </w:tcBorders>
                  <w:vAlign w:val="center"/>
                </w:tcPr>
                <w:p w14:paraId="6052C104">
                  <w:pPr>
                    <w:jc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w:t>
                  </w:r>
                </w:p>
              </w:tc>
              <w:tc>
                <w:tcPr>
                  <w:tcW w:w="626" w:type="dxa"/>
                  <w:tcBorders>
                    <w:left w:val="single" w:color="auto" w:sz="4" w:space="0"/>
                    <w:right w:val="single" w:color="auto" w:sz="4" w:space="0"/>
                  </w:tcBorders>
                  <w:vAlign w:val="center"/>
                </w:tcPr>
                <w:p w14:paraId="19BBC42E">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604" w:type="dxa"/>
                  <w:tcBorders>
                    <w:left w:val="single" w:color="auto" w:sz="4" w:space="0"/>
                  </w:tcBorders>
                  <w:vAlign w:val="center"/>
                </w:tcPr>
                <w:p w14:paraId="491E4DC1">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 </w:t>
                  </w:r>
                </w:p>
              </w:tc>
              <w:tc>
                <w:tcPr>
                  <w:tcW w:w="851" w:type="dxa"/>
                  <w:vAlign w:val="center"/>
                </w:tcPr>
                <w:p w14:paraId="6F1956F9">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eastAsia" w:cs="Times New Roman"/>
                      <w:b w:val="0"/>
                      <w:bCs w:val="0"/>
                      <w:i w:val="0"/>
                      <w:iCs w:val="0"/>
                      <w:color w:val="000000"/>
                      <w:kern w:val="0"/>
                      <w:sz w:val="21"/>
                      <w:szCs w:val="21"/>
                      <w:highlight w:val="none"/>
                      <w:u w:val="none"/>
                      <w:lang w:val="en-US" w:eastAsia="zh-CN" w:bidi="ar"/>
                    </w:rPr>
                    <w:t>0.42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r>
            <w:tr w14:paraId="79FAF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3F1BC830">
                  <w:pPr>
                    <w:jc w:val="center"/>
                    <w:rPr>
                      <w:color w:val="auto"/>
                      <w:szCs w:val="21"/>
                      <w:highlight w:val="none"/>
                    </w:rPr>
                  </w:pPr>
                </w:p>
              </w:tc>
              <w:tc>
                <w:tcPr>
                  <w:tcW w:w="848" w:type="dxa"/>
                  <w:vAlign w:val="center"/>
                </w:tcPr>
                <w:p w14:paraId="7D5124D6">
                  <w:pPr>
                    <w:jc w:val="center"/>
                    <w:rPr>
                      <w:rFonts w:hint="default" w:eastAsia="宋体"/>
                      <w:color w:val="auto"/>
                      <w:szCs w:val="21"/>
                      <w:highlight w:val="none"/>
                      <w:lang w:val="en-US" w:eastAsia="zh-CN"/>
                    </w:rPr>
                  </w:pPr>
                  <w:r>
                    <w:rPr>
                      <w:rFonts w:hint="eastAsia"/>
                      <w:color w:val="auto"/>
                      <w:szCs w:val="21"/>
                      <w:highlight w:val="none"/>
                      <w:lang w:val="en-US" w:eastAsia="zh-CN"/>
                    </w:rPr>
                    <w:t>施工便道</w:t>
                  </w:r>
                </w:p>
              </w:tc>
              <w:tc>
                <w:tcPr>
                  <w:tcW w:w="643" w:type="dxa"/>
                  <w:tcBorders>
                    <w:right w:val="single" w:color="auto" w:sz="4" w:space="0"/>
                  </w:tcBorders>
                  <w:vAlign w:val="center"/>
                </w:tcPr>
                <w:p w14:paraId="2CFF1C81">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1.9459 </w:t>
                  </w:r>
                </w:p>
              </w:tc>
              <w:tc>
                <w:tcPr>
                  <w:tcW w:w="683" w:type="dxa"/>
                  <w:tcBorders>
                    <w:left w:val="single" w:color="auto" w:sz="4" w:space="0"/>
                  </w:tcBorders>
                  <w:vAlign w:val="center"/>
                </w:tcPr>
                <w:p w14:paraId="4845703F">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0.0715 </w:t>
                  </w:r>
                </w:p>
              </w:tc>
              <w:tc>
                <w:tcPr>
                  <w:tcW w:w="615" w:type="dxa"/>
                  <w:tcBorders>
                    <w:right w:val="single" w:color="auto" w:sz="4" w:space="0"/>
                  </w:tcBorders>
                  <w:vAlign w:val="center"/>
                </w:tcPr>
                <w:p w14:paraId="51F556F5">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0.0144 </w:t>
                  </w:r>
                </w:p>
              </w:tc>
              <w:tc>
                <w:tcPr>
                  <w:tcW w:w="585" w:type="dxa"/>
                  <w:tcBorders>
                    <w:left w:val="single" w:color="auto" w:sz="4" w:space="0"/>
                    <w:right w:val="single" w:color="auto" w:sz="4" w:space="0"/>
                  </w:tcBorders>
                  <w:vAlign w:val="center"/>
                </w:tcPr>
                <w:p w14:paraId="7789241F">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0.2289 </w:t>
                  </w:r>
                </w:p>
              </w:tc>
              <w:tc>
                <w:tcPr>
                  <w:tcW w:w="675" w:type="dxa"/>
                  <w:tcBorders>
                    <w:left w:val="single" w:color="auto" w:sz="4" w:space="0"/>
                    <w:right w:val="single" w:color="auto" w:sz="4" w:space="0"/>
                  </w:tcBorders>
                  <w:vAlign w:val="center"/>
                </w:tcPr>
                <w:p w14:paraId="19EC1550">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0.0003 </w:t>
                  </w:r>
                </w:p>
              </w:tc>
              <w:tc>
                <w:tcPr>
                  <w:tcW w:w="645" w:type="dxa"/>
                  <w:tcBorders>
                    <w:left w:val="single" w:color="auto" w:sz="4" w:space="0"/>
                    <w:right w:val="single" w:color="auto" w:sz="4" w:space="0"/>
                  </w:tcBorders>
                  <w:vAlign w:val="center"/>
                </w:tcPr>
                <w:p w14:paraId="2EC939D6">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0.0695 </w:t>
                  </w:r>
                </w:p>
              </w:tc>
              <w:tc>
                <w:tcPr>
                  <w:tcW w:w="889" w:type="dxa"/>
                  <w:tcBorders>
                    <w:left w:val="single" w:color="auto" w:sz="4" w:space="0"/>
                    <w:right w:val="single" w:color="auto" w:sz="4" w:space="0"/>
                  </w:tcBorders>
                  <w:vAlign w:val="center"/>
                </w:tcPr>
                <w:p w14:paraId="00688783">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0.0049 </w:t>
                  </w:r>
                </w:p>
              </w:tc>
              <w:tc>
                <w:tcPr>
                  <w:tcW w:w="600" w:type="dxa"/>
                  <w:tcBorders>
                    <w:left w:val="single" w:color="auto" w:sz="4" w:space="0"/>
                    <w:right w:val="single" w:color="auto" w:sz="4" w:space="0"/>
                  </w:tcBorders>
                  <w:vAlign w:val="center"/>
                </w:tcPr>
                <w:p w14:paraId="7AB2BC62">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0.0011 </w:t>
                  </w:r>
                </w:p>
              </w:tc>
              <w:tc>
                <w:tcPr>
                  <w:tcW w:w="626" w:type="dxa"/>
                  <w:tcBorders>
                    <w:left w:val="single" w:color="auto" w:sz="4" w:space="0"/>
                    <w:right w:val="single" w:color="auto" w:sz="4" w:space="0"/>
                  </w:tcBorders>
                  <w:vAlign w:val="center"/>
                </w:tcPr>
                <w:p w14:paraId="7D120A69">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0.0134 </w:t>
                  </w:r>
                </w:p>
              </w:tc>
              <w:tc>
                <w:tcPr>
                  <w:tcW w:w="604" w:type="dxa"/>
                  <w:tcBorders>
                    <w:left w:val="single" w:color="auto" w:sz="4" w:space="0"/>
                  </w:tcBorders>
                  <w:vAlign w:val="center"/>
                </w:tcPr>
                <w:p w14:paraId="1BE85F1E">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0.1283 </w:t>
                  </w:r>
                </w:p>
              </w:tc>
              <w:tc>
                <w:tcPr>
                  <w:tcW w:w="851" w:type="dxa"/>
                  <w:vAlign w:val="center"/>
                </w:tcPr>
                <w:p w14:paraId="4B06C47A">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2.4782 </w:t>
                  </w:r>
                </w:p>
              </w:tc>
            </w:tr>
            <w:tr w14:paraId="1D917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98" w:type="dxa"/>
                  <w:vMerge w:val="continue"/>
                  <w:vAlign w:val="center"/>
                </w:tcPr>
                <w:p w14:paraId="2C48F6FB">
                  <w:pPr>
                    <w:jc w:val="center"/>
                    <w:rPr>
                      <w:color w:val="auto"/>
                      <w:szCs w:val="21"/>
                      <w:highlight w:val="none"/>
                    </w:rPr>
                  </w:pPr>
                </w:p>
              </w:tc>
              <w:tc>
                <w:tcPr>
                  <w:tcW w:w="848" w:type="dxa"/>
                  <w:vAlign w:val="center"/>
                </w:tcPr>
                <w:p w14:paraId="0637B75B">
                  <w:pPr>
                    <w:jc w:val="center"/>
                    <w:rPr>
                      <w:color w:val="auto"/>
                      <w:szCs w:val="21"/>
                      <w:highlight w:val="none"/>
                    </w:rPr>
                  </w:pPr>
                  <w:r>
                    <w:rPr>
                      <w:rFonts w:hint="eastAsia"/>
                      <w:color w:val="auto"/>
                      <w:szCs w:val="21"/>
                      <w:highlight w:val="none"/>
                    </w:rPr>
                    <w:t>小计</w:t>
                  </w:r>
                </w:p>
              </w:tc>
              <w:tc>
                <w:tcPr>
                  <w:tcW w:w="643" w:type="dxa"/>
                  <w:tcBorders>
                    <w:right w:val="single" w:color="auto" w:sz="4" w:space="0"/>
                  </w:tcBorders>
                  <w:vAlign w:val="center"/>
                </w:tcPr>
                <w:p w14:paraId="2281CC11">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5.</w:t>
                  </w:r>
                  <w:r>
                    <w:rPr>
                      <w:rFonts w:hint="eastAsia" w:cs="Times New Roman"/>
                      <w:b w:val="0"/>
                      <w:bCs w:val="0"/>
                      <w:i w:val="0"/>
                      <w:iCs w:val="0"/>
                      <w:color w:val="000000"/>
                      <w:kern w:val="0"/>
                      <w:sz w:val="21"/>
                      <w:szCs w:val="21"/>
                      <w:highlight w:val="none"/>
                      <w:u w:val="none"/>
                      <w:lang w:val="en-US" w:eastAsia="zh-CN" w:bidi="ar"/>
                    </w:rPr>
                    <w:t>7109</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83" w:type="dxa"/>
                  <w:tcBorders>
                    <w:left w:val="single" w:color="auto" w:sz="4" w:space="0"/>
                  </w:tcBorders>
                  <w:vAlign w:val="center"/>
                </w:tcPr>
                <w:p w14:paraId="51D4A5FA">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0.1689 </w:t>
                  </w:r>
                </w:p>
              </w:tc>
              <w:tc>
                <w:tcPr>
                  <w:tcW w:w="615" w:type="dxa"/>
                  <w:tcBorders>
                    <w:right w:val="single" w:color="auto" w:sz="4" w:space="0"/>
                  </w:tcBorders>
                  <w:vAlign w:val="center"/>
                </w:tcPr>
                <w:p w14:paraId="687E6FE1">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0.0468 </w:t>
                  </w:r>
                </w:p>
              </w:tc>
              <w:tc>
                <w:tcPr>
                  <w:tcW w:w="585" w:type="dxa"/>
                  <w:tcBorders>
                    <w:left w:val="single" w:color="auto" w:sz="4" w:space="0"/>
                    <w:right w:val="single" w:color="auto" w:sz="4" w:space="0"/>
                  </w:tcBorders>
                  <w:vAlign w:val="center"/>
                </w:tcPr>
                <w:p w14:paraId="11AFA050">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0.447</w:t>
                  </w:r>
                  <w:r>
                    <w:rPr>
                      <w:rFonts w:hint="eastAsia" w:cs="Times New Roman"/>
                      <w:b w:val="0"/>
                      <w:bCs w:val="0"/>
                      <w:i w:val="0"/>
                      <w:iCs w:val="0"/>
                      <w:color w:val="000000"/>
                      <w:kern w:val="0"/>
                      <w:sz w:val="21"/>
                      <w:szCs w:val="21"/>
                      <w:highlight w:val="none"/>
                      <w:u w:val="none"/>
                      <w:lang w:val="en-US" w:eastAsia="zh-CN" w:bidi="ar"/>
                    </w:rPr>
                    <w:t>9</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75" w:type="dxa"/>
                  <w:tcBorders>
                    <w:left w:val="single" w:color="auto" w:sz="4" w:space="0"/>
                    <w:right w:val="single" w:color="auto" w:sz="4" w:space="0"/>
                  </w:tcBorders>
                  <w:vAlign w:val="center"/>
                </w:tcPr>
                <w:p w14:paraId="358CFF93">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0.0009 </w:t>
                  </w:r>
                </w:p>
              </w:tc>
              <w:tc>
                <w:tcPr>
                  <w:tcW w:w="645" w:type="dxa"/>
                  <w:tcBorders>
                    <w:left w:val="single" w:color="auto" w:sz="4" w:space="0"/>
                    <w:right w:val="single" w:color="auto" w:sz="4" w:space="0"/>
                  </w:tcBorders>
                  <w:vAlign w:val="center"/>
                </w:tcPr>
                <w:p w14:paraId="4E4F43BC">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0.0787 </w:t>
                  </w:r>
                </w:p>
              </w:tc>
              <w:tc>
                <w:tcPr>
                  <w:tcW w:w="889" w:type="dxa"/>
                  <w:tcBorders>
                    <w:left w:val="single" w:color="auto" w:sz="4" w:space="0"/>
                    <w:right w:val="single" w:color="auto" w:sz="4" w:space="0"/>
                  </w:tcBorders>
                  <w:vAlign w:val="center"/>
                </w:tcPr>
                <w:p w14:paraId="2AAEA772">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0.0057 </w:t>
                  </w:r>
                </w:p>
              </w:tc>
              <w:tc>
                <w:tcPr>
                  <w:tcW w:w="600" w:type="dxa"/>
                  <w:tcBorders>
                    <w:left w:val="single" w:color="auto" w:sz="4" w:space="0"/>
                    <w:right w:val="single" w:color="auto" w:sz="4" w:space="0"/>
                  </w:tcBorders>
                  <w:vAlign w:val="center"/>
                </w:tcPr>
                <w:p w14:paraId="5B76FFB0">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0.0012 </w:t>
                  </w:r>
                </w:p>
              </w:tc>
              <w:tc>
                <w:tcPr>
                  <w:tcW w:w="626" w:type="dxa"/>
                  <w:tcBorders>
                    <w:left w:val="single" w:color="auto" w:sz="4" w:space="0"/>
                    <w:right w:val="single" w:color="auto" w:sz="4" w:space="0"/>
                  </w:tcBorders>
                  <w:vAlign w:val="center"/>
                </w:tcPr>
                <w:p w14:paraId="77515F1D">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eastAsia" w:cs="Times New Roman"/>
                      <w:b w:val="0"/>
                      <w:bCs w:val="0"/>
                      <w:i w:val="0"/>
                      <w:iCs w:val="0"/>
                      <w:color w:val="000000"/>
                      <w:kern w:val="0"/>
                      <w:sz w:val="21"/>
                      <w:szCs w:val="21"/>
                      <w:highlight w:val="none"/>
                      <w:u w:val="none"/>
                      <w:lang w:val="en-US" w:eastAsia="zh-CN" w:bidi="ar"/>
                    </w:rPr>
                    <w:t>3</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2</w:t>
                  </w:r>
                  <w:r>
                    <w:rPr>
                      <w:rFonts w:hint="eastAsia" w:cs="Times New Roman"/>
                      <w:b w:val="0"/>
                      <w:bCs w:val="0"/>
                      <w:i w:val="0"/>
                      <w:iCs w:val="0"/>
                      <w:color w:val="000000"/>
                      <w:kern w:val="0"/>
                      <w:sz w:val="21"/>
                      <w:szCs w:val="21"/>
                      <w:highlight w:val="none"/>
                      <w:u w:val="none"/>
                      <w:lang w:val="en-US" w:eastAsia="zh-CN" w:bidi="ar"/>
                    </w:rPr>
                    <w:t>3</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04" w:type="dxa"/>
                  <w:tcBorders>
                    <w:left w:val="single" w:color="auto" w:sz="4" w:space="0"/>
                  </w:tcBorders>
                  <w:vAlign w:val="center"/>
                </w:tcPr>
                <w:p w14:paraId="7717D5F0">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0.168</w:t>
                  </w:r>
                  <w:r>
                    <w:rPr>
                      <w:rFonts w:hint="eastAsia" w:cs="Times New Roman"/>
                      <w:b w:val="0"/>
                      <w:bCs w:val="0"/>
                      <w:i w:val="0"/>
                      <w:iCs w:val="0"/>
                      <w:color w:val="000000"/>
                      <w:kern w:val="0"/>
                      <w:sz w:val="21"/>
                      <w:szCs w:val="21"/>
                      <w:highlight w:val="none"/>
                      <w:u w:val="none"/>
                      <w:lang w:val="en-US" w:eastAsia="zh-CN" w:bidi="ar"/>
                    </w:rPr>
                    <w:t>7</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851" w:type="dxa"/>
                  <w:vAlign w:val="center"/>
                </w:tcPr>
                <w:p w14:paraId="3D2BBC7B">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6.</w:t>
                  </w:r>
                  <w:r>
                    <w:rPr>
                      <w:rFonts w:hint="eastAsia" w:cs="Times New Roman"/>
                      <w:b w:val="0"/>
                      <w:bCs w:val="0"/>
                      <w:i w:val="0"/>
                      <w:iCs w:val="0"/>
                      <w:color w:val="000000"/>
                      <w:kern w:val="0"/>
                      <w:sz w:val="21"/>
                      <w:szCs w:val="21"/>
                      <w:highlight w:val="none"/>
                      <w:u w:val="none"/>
                      <w:lang w:val="en-US" w:eastAsia="zh-CN" w:bidi="ar"/>
                    </w:rPr>
                    <w:t>662</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r>
            <w:tr w14:paraId="15E50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246" w:type="dxa"/>
                  <w:gridSpan w:val="2"/>
                  <w:vAlign w:val="center"/>
                </w:tcPr>
                <w:p w14:paraId="7161149B">
                  <w:pPr>
                    <w:jc w:val="center"/>
                    <w:rPr>
                      <w:color w:val="auto"/>
                      <w:szCs w:val="21"/>
                      <w:highlight w:val="none"/>
                    </w:rPr>
                  </w:pPr>
                  <w:r>
                    <w:rPr>
                      <w:color w:val="auto"/>
                      <w:szCs w:val="21"/>
                      <w:highlight w:val="none"/>
                    </w:rPr>
                    <w:t>总计</w:t>
                  </w:r>
                </w:p>
              </w:tc>
              <w:tc>
                <w:tcPr>
                  <w:tcW w:w="643" w:type="dxa"/>
                  <w:tcBorders>
                    <w:right w:val="single" w:color="auto" w:sz="4" w:space="0"/>
                  </w:tcBorders>
                  <w:vAlign w:val="center"/>
                </w:tcPr>
                <w:p w14:paraId="346078AB">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eastAsia" w:cs="Times New Roman"/>
                      <w:b w:val="0"/>
                      <w:bCs w:val="0"/>
                      <w:i w:val="0"/>
                      <w:iCs w:val="0"/>
                      <w:color w:val="000000"/>
                      <w:kern w:val="0"/>
                      <w:sz w:val="21"/>
                      <w:szCs w:val="21"/>
                      <w:highlight w:val="none"/>
                      <w:u w:val="none"/>
                      <w:lang w:val="en-US" w:eastAsia="zh-CN" w:bidi="ar"/>
                    </w:rPr>
                    <w:t>6.5713</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 </w:t>
                  </w:r>
                </w:p>
              </w:tc>
              <w:tc>
                <w:tcPr>
                  <w:tcW w:w="683" w:type="dxa"/>
                  <w:tcBorders>
                    <w:left w:val="single" w:color="auto" w:sz="4" w:space="0"/>
                  </w:tcBorders>
                  <w:vAlign w:val="center"/>
                </w:tcPr>
                <w:p w14:paraId="06287FA9">
                  <w:pPr>
                    <w:keepNext w:val="0"/>
                    <w:keepLines w:val="0"/>
                    <w:widowControl/>
                    <w:suppressLineNumbers w:val="0"/>
                    <w:jc w:val="center"/>
                    <w:textAlignment w:val="center"/>
                    <w:rPr>
                      <w:rFonts w:hint="default"/>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0.1755 </w:t>
                  </w:r>
                </w:p>
              </w:tc>
              <w:tc>
                <w:tcPr>
                  <w:tcW w:w="615" w:type="dxa"/>
                  <w:tcBorders>
                    <w:right w:val="single" w:color="auto" w:sz="4" w:space="0"/>
                  </w:tcBorders>
                  <w:vAlign w:val="center"/>
                </w:tcPr>
                <w:p w14:paraId="7402036C">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0.0495 </w:t>
                  </w:r>
                </w:p>
              </w:tc>
              <w:tc>
                <w:tcPr>
                  <w:tcW w:w="585" w:type="dxa"/>
                  <w:tcBorders>
                    <w:left w:val="single" w:color="auto" w:sz="4" w:space="0"/>
                    <w:right w:val="single" w:color="auto" w:sz="4" w:space="0"/>
                  </w:tcBorders>
                  <w:vAlign w:val="center"/>
                </w:tcPr>
                <w:p w14:paraId="54B06B47">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0.4741 </w:t>
                  </w:r>
                </w:p>
              </w:tc>
              <w:tc>
                <w:tcPr>
                  <w:tcW w:w="675" w:type="dxa"/>
                  <w:tcBorders>
                    <w:left w:val="single" w:color="auto" w:sz="4" w:space="0"/>
                    <w:right w:val="single" w:color="auto" w:sz="4" w:space="0"/>
                  </w:tcBorders>
                  <w:vAlign w:val="center"/>
                </w:tcPr>
                <w:p w14:paraId="15477789">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0.0009 </w:t>
                  </w:r>
                </w:p>
              </w:tc>
              <w:tc>
                <w:tcPr>
                  <w:tcW w:w="645" w:type="dxa"/>
                  <w:tcBorders>
                    <w:left w:val="single" w:color="auto" w:sz="4" w:space="0"/>
                    <w:right w:val="single" w:color="auto" w:sz="4" w:space="0"/>
                  </w:tcBorders>
                  <w:vAlign w:val="center"/>
                </w:tcPr>
                <w:p w14:paraId="772E2F0A">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0.0787 </w:t>
                  </w:r>
                </w:p>
              </w:tc>
              <w:tc>
                <w:tcPr>
                  <w:tcW w:w="889" w:type="dxa"/>
                  <w:tcBorders>
                    <w:left w:val="single" w:color="auto" w:sz="4" w:space="0"/>
                    <w:right w:val="single" w:color="auto" w:sz="4" w:space="0"/>
                  </w:tcBorders>
                  <w:vAlign w:val="center"/>
                </w:tcPr>
                <w:p w14:paraId="61955CC7">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0.0057 </w:t>
                  </w:r>
                </w:p>
              </w:tc>
              <w:tc>
                <w:tcPr>
                  <w:tcW w:w="600" w:type="dxa"/>
                  <w:tcBorders>
                    <w:left w:val="single" w:color="auto" w:sz="4" w:space="0"/>
                    <w:right w:val="single" w:color="auto" w:sz="4" w:space="0"/>
                  </w:tcBorders>
                  <w:vAlign w:val="center"/>
                </w:tcPr>
                <w:p w14:paraId="09D8EDC2">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0.0012 </w:t>
                  </w:r>
                </w:p>
              </w:tc>
              <w:tc>
                <w:tcPr>
                  <w:tcW w:w="626" w:type="dxa"/>
                  <w:tcBorders>
                    <w:left w:val="single" w:color="auto" w:sz="4" w:space="0"/>
                    <w:right w:val="single" w:color="auto" w:sz="4" w:space="0"/>
                  </w:tcBorders>
                  <w:vAlign w:val="center"/>
                </w:tcPr>
                <w:p w14:paraId="613B36DD">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w:t>
                  </w:r>
                  <w:r>
                    <w:rPr>
                      <w:rFonts w:hint="eastAsia" w:cs="Times New Roman"/>
                      <w:b w:val="0"/>
                      <w:bCs w:val="0"/>
                      <w:i w:val="0"/>
                      <w:iCs w:val="0"/>
                      <w:color w:val="000000"/>
                      <w:kern w:val="0"/>
                      <w:sz w:val="21"/>
                      <w:szCs w:val="21"/>
                      <w:highlight w:val="none"/>
                      <w:u w:val="none"/>
                      <w:lang w:val="en-US" w:eastAsia="zh-CN" w:bidi="ar"/>
                    </w:rPr>
                    <w:t>3</w:t>
                  </w: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23 </w:t>
                  </w:r>
                </w:p>
              </w:tc>
              <w:tc>
                <w:tcPr>
                  <w:tcW w:w="604" w:type="dxa"/>
                  <w:tcBorders>
                    <w:left w:val="single" w:color="auto" w:sz="4" w:space="0"/>
                  </w:tcBorders>
                  <w:vAlign w:val="center"/>
                </w:tcPr>
                <w:p w14:paraId="33979355">
                  <w:pPr>
                    <w:keepNext w:val="0"/>
                    <w:keepLines w:val="0"/>
                    <w:widowControl/>
                    <w:suppressLineNumbers w:val="0"/>
                    <w:jc w:val="center"/>
                    <w:textAlignment w:val="center"/>
                    <w:rPr>
                      <w:rFonts w:hint="default" w:eastAsia="宋体"/>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 xml:space="preserve">0.1706 </w:t>
                  </w:r>
                </w:p>
              </w:tc>
              <w:tc>
                <w:tcPr>
                  <w:tcW w:w="851" w:type="dxa"/>
                  <w:vAlign w:val="center"/>
                </w:tcPr>
                <w:p w14:paraId="42CBA950">
                  <w:pPr>
                    <w:jc w:val="center"/>
                    <w:rPr>
                      <w:rFonts w:hint="default" w:eastAsia="宋体"/>
                      <w:color w:val="auto"/>
                      <w:szCs w:val="21"/>
                      <w:highlight w:val="none"/>
                      <w:lang w:val="en-US" w:eastAsia="zh-CN"/>
                    </w:rPr>
                  </w:pPr>
                  <w:r>
                    <w:rPr>
                      <w:rFonts w:hint="eastAsia"/>
                      <w:color w:val="auto"/>
                      <w:szCs w:val="21"/>
                      <w:highlight w:val="none"/>
                      <w:lang w:val="en-US" w:eastAsia="zh-CN"/>
                    </w:rPr>
                    <w:t>7.5598</w:t>
                  </w:r>
                </w:p>
              </w:tc>
            </w:tr>
          </w:tbl>
          <w:p w14:paraId="46EB7D66">
            <w:pPr>
              <w:spacing w:line="360" w:lineRule="auto"/>
              <w:rPr>
                <w:rFonts w:hint="eastAsia"/>
                <w:b/>
                <w:color w:val="auto"/>
                <w:sz w:val="24"/>
                <w:highlight w:val="none"/>
                <w:lang w:val="en-US" w:eastAsia="zh-CN"/>
              </w:rPr>
            </w:pPr>
            <w:r>
              <w:rPr>
                <w:rFonts w:hint="eastAsia"/>
                <w:b/>
                <w:color w:val="auto"/>
                <w:sz w:val="21"/>
                <w:szCs w:val="21"/>
                <w:highlight w:val="none"/>
                <w:lang w:val="en-US" w:eastAsia="zh-CN"/>
              </w:rPr>
              <w:t>注：</w:t>
            </w:r>
            <w:r>
              <w:rPr>
                <w:rFonts w:hint="eastAsia"/>
                <w:b w:val="0"/>
                <w:bCs/>
                <w:color w:val="auto"/>
                <w:sz w:val="21"/>
                <w:szCs w:val="21"/>
                <w:highlight w:val="none"/>
                <w:lang w:val="en-US" w:eastAsia="zh-CN"/>
              </w:rPr>
              <w:t>变电站优化设计后站区永久占地面积由0.7671hm</w:t>
            </w:r>
            <w:r>
              <w:rPr>
                <w:rFonts w:hint="eastAsia"/>
                <w:b w:val="0"/>
                <w:bCs/>
                <w:color w:val="auto"/>
                <w:sz w:val="21"/>
                <w:szCs w:val="21"/>
                <w:highlight w:val="none"/>
                <w:vertAlign w:val="superscript"/>
                <w:lang w:val="en-US" w:eastAsia="zh-CN"/>
              </w:rPr>
              <w:t>2</w:t>
            </w:r>
            <w:r>
              <w:rPr>
                <w:rFonts w:hint="eastAsia"/>
                <w:b w:val="0"/>
                <w:bCs/>
                <w:color w:val="auto"/>
                <w:sz w:val="21"/>
                <w:szCs w:val="21"/>
                <w:highlight w:val="none"/>
                <w:lang w:val="en-US" w:eastAsia="zh-CN"/>
              </w:rPr>
              <w:t>调整为0.7035hm</w:t>
            </w:r>
            <w:r>
              <w:rPr>
                <w:rFonts w:hint="eastAsia"/>
                <w:b w:val="0"/>
                <w:bCs/>
                <w:color w:val="auto"/>
                <w:sz w:val="21"/>
                <w:szCs w:val="21"/>
                <w:highlight w:val="none"/>
                <w:vertAlign w:val="superscript"/>
                <w:lang w:val="en-US" w:eastAsia="zh-CN"/>
              </w:rPr>
              <w:t>2</w:t>
            </w:r>
            <w:r>
              <w:rPr>
                <w:rFonts w:hint="eastAsia"/>
                <w:b w:val="0"/>
                <w:bCs/>
                <w:color w:val="auto"/>
                <w:sz w:val="21"/>
                <w:szCs w:val="21"/>
                <w:highlight w:val="none"/>
                <w:lang w:val="en-US" w:eastAsia="zh-CN"/>
              </w:rPr>
              <w:t>。</w:t>
            </w:r>
          </w:p>
          <w:p w14:paraId="6F1BBCF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highlight w:val="none"/>
              </w:rPr>
            </w:pPr>
            <w:r>
              <w:rPr>
                <w:rFonts w:hint="eastAsia"/>
                <w:b/>
                <w:color w:val="auto"/>
                <w:sz w:val="24"/>
                <w:highlight w:val="none"/>
                <w:lang w:val="en-US" w:eastAsia="zh-CN"/>
              </w:rPr>
              <w:t>8</w:t>
            </w:r>
            <w:r>
              <w:rPr>
                <w:rFonts w:hint="eastAsia"/>
                <w:b/>
                <w:color w:val="auto"/>
                <w:sz w:val="24"/>
                <w:highlight w:val="none"/>
              </w:rPr>
              <w:t>、项目土石方</w:t>
            </w:r>
          </w:p>
          <w:p w14:paraId="162C89E6">
            <w:pPr>
              <w:spacing w:line="360" w:lineRule="auto"/>
              <w:ind w:firstLine="480" w:firstLineChars="200"/>
              <w:rPr>
                <w:rFonts w:eastAsia="黑体"/>
                <w:b/>
                <w:color w:val="auto"/>
                <w:sz w:val="24"/>
                <w:highlight w:val="none"/>
              </w:rPr>
            </w:pPr>
            <w:r>
              <w:rPr>
                <w:rFonts w:hint="eastAsia"/>
                <w:bCs/>
                <w:color w:val="auto"/>
                <w:sz w:val="24"/>
                <w:highlight w:val="none"/>
              </w:rPr>
              <w:t>本</w:t>
            </w:r>
            <w:r>
              <w:rPr>
                <w:rFonts w:hint="eastAsia"/>
                <w:bCs/>
                <w:color w:val="auto"/>
                <w:sz w:val="24"/>
                <w:highlight w:val="none"/>
                <w:lang w:val="en-US" w:eastAsia="zh-CN"/>
              </w:rPr>
              <w:t>项目不设置取、弃土场，项目</w:t>
            </w:r>
            <w:r>
              <w:rPr>
                <w:rFonts w:hint="eastAsia"/>
                <w:bCs/>
                <w:color w:val="auto"/>
                <w:sz w:val="24"/>
                <w:highlight w:val="none"/>
              </w:rPr>
              <w:t>建设期土石方挖方总量</w:t>
            </w:r>
            <w:r>
              <w:rPr>
                <w:rFonts w:hint="eastAsia"/>
                <w:bCs/>
                <w:color w:val="auto"/>
                <w:sz w:val="24"/>
                <w:highlight w:val="none"/>
                <w:lang w:val="en-US" w:eastAsia="zh-CN"/>
              </w:rPr>
              <w:t>35827</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rPr>
              <w:t>，填方总量</w:t>
            </w:r>
            <w:r>
              <w:rPr>
                <w:rFonts w:hint="eastAsia"/>
                <w:bCs/>
                <w:color w:val="auto"/>
                <w:sz w:val="24"/>
                <w:highlight w:val="none"/>
                <w:lang w:val="en-US" w:eastAsia="zh-CN"/>
              </w:rPr>
              <w:t>50227</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vertAlign w:val="baseline"/>
                <w:lang w:eastAsia="zh-CN"/>
              </w:rPr>
              <w:t>，</w:t>
            </w:r>
            <w:r>
              <w:rPr>
                <w:rFonts w:hint="eastAsia"/>
                <w:bCs/>
                <w:color w:val="auto"/>
                <w:sz w:val="24"/>
                <w:highlight w:val="none"/>
                <w:vertAlign w:val="baseline"/>
                <w:lang w:val="en-US" w:eastAsia="zh-CN"/>
              </w:rPr>
              <w:t>外购方14400m</w:t>
            </w:r>
            <w:r>
              <w:rPr>
                <w:rFonts w:hint="eastAsia"/>
                <w:bCs/>
                <w:color w:val="auto"/>
                <w:sz w:val="24"/>
                <w:highlight w:val="none"/>
                <w:vertAlign w:val="superscript"/>
                <w:lang w:val="en-US" w:eastAsia="zh-CN"/>
              </w:rPr>
              <w:t>3</w:t>
            </w:r>
            <w:r>
              <w:rPr>
                <w:rFonts w:hint="eastAsia"/>
                <w:bCs/>
                <w:color w:val="auto"/>
                <w:sz w:val="24"/>
                <w:highlight w:val="none"/>
                <w:vertAlign w:val="baseline"/>
                <w:lang w:val="en-US" w:eastAsia="zh-CN"/>
              </w:rPr>
              <w:t>，综合利用</w:t>
            </w:r>
            <w:r>
              <w:rPr>
                <w:rFonts w:hint="eastAsia"/>
                <w:bCs/>
                <w:color w:val="auto"/>
                <w:sz w:val="24"/>
                <w:highlight w:val="none"/>
                <w:lang w:val="en-US" w:eastAsia="zh-CN"/>
              </w:rPr>
              <w:t>8154</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lang w:eastAsia="zh-CN"/>
              </w:rPr>
              <w:t>。</w:t>
            </w:r>
            <w:r>
              <w:rPr>
                <w:rFonts w:hint="eastAsia"/>
                <w:bCs/>
                <w:color w:val="auto"/>
                <w:sz w:val="24"/>
                <w:highlight w:val="none"/>
                <w:lang w:val="en-US" w:eastAsia="zh-CN"/>
              </w:rPr>
              <w:t>站区剥离的表层土（4604</w:t>
            </w:r>
            <w:r>
              <w:rPr>
                <w:rFonts w:hint="eastAsia"/>
                <w:bCs/>
                <w:color w:val="auto"/>
                <w:sz w:val="24"/>
                <w:highlight w:val="none"/>
              </w:rPr>
              <w:t>m</w:t>
            </w:r>
            <w:r>
              <w:rPr>
                <w:rFonts w:hint="eastAsia"/>
                <w:bCs/>
                <w:color w:val="auto"/>
                <w:sz w:val="24"/>
                <w:highlight w:val="none"/>
                <w:vertAlign w:val="superscript"/>
              </w:rPr>
              <w:t>3</w:t>
            </w:r>
            <w:r>
              <w:rPr>
                <w:rFonts w:hint="eastAsia"/>
                <w:bCs/>
                <w:color w:val="auto"/>
                <w:sz w:val="24"/>
                <w:highlight w:val="none"/>
                <w:lang w:val="en-US" w:eastAsia="zh-CN"/>
              </w:rPr>
              <w:t>）用于施工营地等临时占地土地平整恢复使用，</w:t>
            </w:r>
            <w:r>
              <w:rPr>
                <w:bCs/>
                <w:color w:val="auto"/>
                <w:sz w:val="24"/>
                <w:highlight w:val="none"/>
              </w:rPr>
              <w:t>塔基基础开挖出的土石方用于回填及塔基周围培土</w:t>
            </w:r>
            <w:r>
              <w:rPr>
                <w:rFonts w:hint="eastAsia"/>
                <w:bCs/>
                <w:color w:val="auto"/>
                <w:sz w:val="24"/>
                <w:highlight w:val="none"/>
                <w:lang w:eastAsia="zh-CN"/>
              </w:rPr>
              <w:t>，</w:t>
            </w:r>
            <w:r>
              <w:rPr>
                <w:rFonts w:hint="eastAsia"/>
                <w:bCs/>
                <w:color w:val="auto"/>
                <w:sz w:val="24"/>
                <w:highlight w:val="none"/>
                <w:lang w:val="en-US" w:eastAsia="zh-CN"/>
              </w:rPr>
              <w:t>无弃土产生。</w:t>
            </w:r>
            <w:r>
              <w:rPr>
                <w:rFonts w:hint="eastAsia"/>
                <w:bCs/>
                <w:color w:val="auto"/>
                <w:sz w:val="24"/>
                <w:highlight w:val="none"/>
              </w:rPr>
              <w:t>本项目土石方平衡情况见表2-</w:t>
            </w:r>
            <w:r>
              <w:rPr>
                <w:rFonts w:hint="eastAsia"/>
                <w:bCs/>
                <w:color w:val="auto"/>
                <w:sz w:val="24"/>
                <w:highlight w:val="none"/>
                <w:lang w:val="en-US" w:eastAsia="zh-CN"/>
              </w:rPr>
              <w:t>5</w:t>
            </w:r>
            <w:r>
              <w:rPr>
                <w:rFonts w:hint="eastAsia"/>
                <w:bCs/>
                <w:color w:val="auto"/>
                <w:sz w:val="24"/>
                <w:highlight w:val="none"/>
              </w:rPr>
              <w:t>。</w:t>
            </w:r>
          </w:p>
          <w:p w14:paraId="45B30B4E">
            <w:pPr>
              <w:spacing w:line="360" w:lineRule="auto"/>
              <w:jc w:val="right"/>
              <w:outlineLvl w:val="0"/>
              <w:rPr>
                <w:rFonts w:eastAsia="黑体"/>
                <w:bCs/>
                <w:color w:val="auto"/>
                <w:sz w:val="24"/>
                <w:highlight w:val="none"/>
                <w:vertAlign w:val="superscript"/>
              </w:rPr>
            </w:pPr>
            <w:r>
              <w:rPr>
                <w:rFonts w:hint="eastAsia" w:eastAsia="黑体"/>
                <w:b/>
                <w:color w:val="auto"/>
                <w:sz w:val="24"/>
                <w:highlight w:val="none"/>
                <w:lang w:val="en-US" w:eastAsia="zh-CN"/>
              </w:rPr>
              <w:t xml:space="preserve">      </w:t>
            </w:r>
            <w:bookmarkStart w:id="23" w:name="_Toc25643"/>
            <w:bookmarkStart w:id="24" w:name="_Toc4471"/>
            <w:r>
              <w:rPr>
                <w:rFonts w:eastAsia="黑体"/>
                <w:b/>
                <w:color w:val="auto"/>
                <w:sz w:val="24"/>
                <w:highlight w:val="none"/>
              </w:rPr>
              <w:t>表2-</w:t>
            </w:r>
            <w:r>
              <w:rPr>
                <w:rFonts w:hint="eastAsia" w:eastAsia="黑体"/>
                <w:b/>
                <w:color w:val="auto"/>
                <w:sz w:val="24"/>
                <w:highlight w:val="none"/>
                <w:lang w:val="en-US" w:eastAsia="zh-CN"/>
              </w:rPr>
              <w:t>5</w:t>
            </w:r>
            <w:r>
              <w:rPr>
                <w:rFonts w:eastAsia="黑体"/>
                <w:b/>
                <w:color w:val="auto"/>
                <w:sz w:val="24"/>
                <w:highlight w:val="none"/>
              </w:rPr>
              <w:t xml:space="preserve">  本项目</w:t>
            </w:r>
            <w:r>
              <w:rPr>
                <w:rFonts w:hint="eastAsia" w:eastAsia="黑体"/>
                <w:b/>
                <w:color w:val="auto"/>
                <w:sz w:val="24"/>
                <w:highlight w:val="none"/>
              </w:rPr>
              <w:t>土石方平衡</w:t>
            </w:r>
            <w:r>
              <w:rPr>
                <w:rFonts w:eastAsia="黑体"/>
                <w:b/>
                <w:color w:val="auto"/>
                <w:sz w:val="24"/>
                <w:highlight w:val="none"/>
              </w:rPr>
              <w:t xml:space="preserve">情况一览表          </w:t>
            </w:r>
            <w:r>
              <w:rPr>
                <w:rFonts w:eastAsia="黑体"/>
                <w:bCs/>
                <w:color w:val="auto"/>
                <w:sz w:val="24"/>
                <w:highlight w:val="none"/>
              </w:rPr>
              <w:t>单位：m</w:t>
            </w:r>
            <w:r>
              <w:rPr>
                <w:rFonts w:hint="eastAsia" w:eastAsia="黑体"/>
                <w:bCs/>
                <w:color w:val="auto"/>
                <w:sz w:val="24"/>
                <w:highlight w:val="none"/>
                <w:vertAlign w:val="superscript"/>
              </w:rPr>
              <w:t>3</w:t>
            </w:r>
            <w:bookmarkEnd w:id="23"/>
            <w:bookmarkEnd w:id="24"/>
          </w:p>
          <w:tbl>
            <w:tblPr>
              <w:tblStyle w:val="28"/>
              <w:tblW w:w="86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759"/>
              <w:gridCol w:w="1304"/>
              <w:gridCol w:w="900"/>
              <w:gridCol w:w="814"/>
              <w:gridCol w:w="813"/>
              <w:gridCol w:w="660"/>
              <w:gridCol w:w="660"/>
              <w:gridCol w:w="675"/>
              <w:gridCol w:w="797"/>
              <w:gridCol w:w="567"/>
            </w:tblGrid>
            <w:tr w14:paraId="081362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Merge w:val="restart"/>
                  <w:vAlign w:val="center"/>
                </w:tcPr>
                <w:p w14:paraId="00C58582">
                  <w:pPr>
                    <w:spacing w:line="240" w:lineRule="atLeast"/>
                    <w:jc w:val="center"/>
                    <w:rPr>
                      <w:b/>
                      <w:bCs/>
                      <w:color w:val="auto"/>
                      <w:szCs w:val="21"/>
                      <w:highlight w:val="none"/>
                    </w:rPr>
                  </w:pPr>
                  <w:r>
                    <w:rPr>
                      <w:rFonts w:hint="eastAsia"/>
                      <w:b/>
                      <w:bCs/>
                      <w:color w:val="auto"/>
                      <w:szCs w:val="21"/>
                      <w:highlight w:val="none"/>
                    </w:rPr>
                    <w:t>序号</w:t>
                  </w:r>
                </w:p>
              </w:tc>
              <w:tc>
                <w:tcPr>
                  <w:tcW w:w="2063" w:type="dxa"/>
                  <w:gridSpan w:val="2"/>
                  <w:vMerge w:val="restart"/>
                  <w:vAlign w:val="center"/>
                </w:tcPr>
                <w:p w14:paraId="349F7B5C">
                  <w:pPr>
                    <w:spacing w:line="240" w:lineRule="atLeast"/>
                    <w:jc w:val="center"/>
                    <w:rPr>
                      <w:b/>
                      <w:bCs/>
                      <w:color w:val="auto"/>
                      <w:szCs w:val="21"/>
                      <w:highlight w:val="none"/>
                    </w:rPr>
                  </w:pPr>
                  <w:r>
                    <w:rPr>
                      <w:rFonts w:hint="eastAsia"/>
                      <w:b/>
                      <w:bCs/>
                      <w:color w:val="auto"/>
                      <w:szCs w:val="21"/>
                      <w:highlight w:val="none"/>
                    </w:rPr>
                    <w:t>项目分区</w:t>
                  </w:r>
                </w:p>
              </w:tc>
              <w:tc>
                <w:tcPr>
                  <w:tcW w:w="900" w:type="dxa"/>
                  <w:vMerge w:val="restart"/>
                  <w:vAlign w:val="center"/>
                </w:tcPr>
                <w:p w14:paraId="654C3590">
                  <w:pPr>
                    <w:spacing w:line="240" w:lineRule="atLeast"/>
                    <w:jc w:val="center"/>
                    <w:rPr>
                      <w:b/>
                      <w:bCs/>
                      <w:color w:val="auto"/>
                      <w:szCs w:val="21"/>
                      <w:highlight w:val="none"/>
                    </w:rPr>
                  </w:pPr>
                  <w:r>
                    <w:rPr>
                      <w:rFonts w:hint="eastAsia"/>
                      <w:b/>
                      <w:bCs/>
                      <w:color w:val="auto"/>
                      <w:szCs w:val="21"/>
                      <w:highlight w:val="none"/>
                    </w:rPr>
                    <w:t xml:space="preserve">挖方 </w:t>
                  </w:r>
                </w:p>
              </w:tc>
              <w:tc>
                <w:tcPr>
                  <w:tcW w:w="814" w:type="dxa"/>
                  <w:vMerge w:val="restart"/>
                  <w:vAlign w:val="center"/>
                </w:tcPr>
                <w:p w14:paraId="37AFC30C">
                  <w:pPr>
                    <w:spacing w:line="240" w:lineRule="atLeast"/>
                    <w:jc w:val="center"/>
                    <w:rPr>
                      <w:b/>
                      <w:bCs/>
                      <w:color w:val="auto"/>
                      <w:szCs w:val="21"/>
                      <w:highlight w:val="none"/>
                    </w:rPr>
                  </w:pPr>
                  <w:r>
                    <w:rPr>
                      <w:rFonts w:hint="eastAsia"/>
                      <w:b/>
                      <w:bCs/>
                      <w:color w:val="auto"/>
                      <w:szCs w:val="21"/>
                      <w:highlight w:val="none"/>
                    </w:rPr>
                    <w:t>填方</w:t>
                  </w:r>
                </w:p>
              </w:tc>
              <w:tc>
                <w:tcPr>
                  <w:tcW w:w="2808" w:type="dxa"/>
                  <w:gridSpan w:val="4"/>
                  <w:vAlign w:val="center"/>
                </w:tcPr>
                <w:p w14:paraId="6CDA6A8A">
                  <w:pPr>
                    <w:spacing w:line="240" w:lineRule="atLeast"/>
                    <w:jc w:val="center"/>
                    <w:rPr>
                      <w:b/>
                      <w:bCs/>
                      <w:color w:val="auto"/>
                      <w:szCs w:val="21"/>
                      <w:highlight w:val="none"/>
                    </w:rPr>
                  </w:pPr>
                  <w:r>
                    <w:rPr>
                      <w:rFonts w:hint="eastAsia"/>
                      <w:b/>
                      <w:bCs/>
                      <w:color w:val="auto"/>
                      <w:szCs w:val="21"/>
                      <w:highlight w:val="none"/>
                    </w:rPr>
                    <w:t>综合利用</w:t>
                  </w:r>
                </w:p>
              </w:tc>
              <w:tc>
                <w:tcPr>
                  <w:tcW w:w="797" w:type="dxa"/>
                  <w:vMerge w:val="restart"/>
                  <w:vAlign w:val="center"/>
                </w:tcPr>
                <w:p w14:paraId="12361F68">
                  <w:pPr>
                    <w:spacing w:line="240" w:lineRule="atLeast"/>
                    <w:jc w:val="center"/>
                    <w:rPr>
                      <w:b/>
                      <w:bCs/>
                      <w:color w:val="auto"/>
                      <w:szCs w:val="21"/>
                      <w:highlight w:val="none"/>
                    </w:rPr>
                  </w:pPr>
                  <w:r>
                    <w:rPr>
                      <w:rFonts w:hint="eastAsia"/>
                      <w:b/>
                      <w:bCs/>
                      <w:color w:val="auto"/>
                      <w:szCs w:val="21"/>
                      <w:highlight w:val="none"/>
                      <w:lang w:val="en-US" w:eastAsia="zh-CN"/>
                    </w:rPr>
                    <w:t>外购</w:t>
                  </w:r>
                  <w:r>
                    <w:rPr>
                      <w:rFonts w:hint="eastAsia"/>
                      <w:b/>
                      <w:bCs/>
                      <w:color w:val="auto"/>
                      <w:szCs w:val="21"/>
                      <w:highlight w:val="none"/>
                    </w:rPr>
                    <w:t>方</w:t>
                  </w:r>
                </w:p>
              </w:tc>
              <w:tc>
                <w:tcPr>
                  <w:tcW w:w="567" w:type="dxa"/>
                  <w:vMerge w:val="restart"/>
                  <w:vAlign w:val="center"/>
                </w:tcPr>
                <w:p w14:paraId="415F8238">
                  <w:pPr>
                    <w:spacing w:line="240" w:lineRule="atLeast"/>
                    <w:jc w:val="center"/>
                    <w:rPr>
                      <w:b/>
                      <w:bCs/>
                      <w:color w:val="auto"/>
                      <w:szCs w:val="21"/>
                      <w:highlight w:val="none"/>
                    </w:rPr>
                  </w:pPr>
                  <w:r>
                    <w:rPr>
                      <w:rFonts w:hint="eastAsia"/>
                      <w:b/>
                      <w:bCs/>
                      <w:color w:val="auto"/>
                      <w:szCs w:val="21"/>
                      <w:highlight w:val="none"/>
                    </w:rPr>
                    <w:t>余方</w:t>
                  </w:r>
                </w:p>
              </w:tc>
            </w:tr>
            <w:tr w14:paraId="456F6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Merge w:val="continue"/>
                  <w:vAlign w:val="center"/>
                </w:tcPr>
                <w:p w14:paraId="6AC8F958">
                  <w:pPr>
                    <w:spacing w:line="240" w:lineRule="atLeast"/>
                    <w:jc w:val="center"/>
                    <w:rPr>
                      <w:color w:val="auto"/>
                      <w:szCs w:val="21"/>
                      <w:highlight w:val="none"/>
                    </w:rPr>
                  </w:pPr>
                </w:p>
              </w:tc>
              <w:tc>
                <w:tcPr>
                  <w:tcW w:w="2063" w:type="dxa"/>
                  <w:gridSpan w:val="2"/>
                  <w:vMerge w:val="continue"/>
                  <w:vAlign w:val="center"/>
                </w:tcPr>
                <w:p w14:paraId="3B128DB8">
                  <w:pPr>
                    <w:spacing w:line="240" w:lineRule="atLeast"/>
                    <w:jc w:val="center"/>
                    <w:rPr>
                      <w:color w:val="auto"/>
                      <w:szCs w:val="21"/>
                      <w:highlight w:val="none"/>
                    </w:rPr>
                  </w:pPr>
                </w:p>
              </w:tc>
              <w:tc>
                <w:tcPr>
                  <w:tcW w:w="900" w:type="dxa"/>
                  <w:vMerge w:val="continue"/>
                  <w:vAlign w:val="center"/>
                </w:tcPr>
                <w:p w14:paraId="51D3A349">
                  <w:pPr>
                    <w:spacing w:line="240" w:lineRule="atLeast"/>
                    <w:jc w:val="center"/>
                    <w:rPr>
                      <w:color w:val="auto"/>
                      <w:szCs w:val="21"/>
                      <w:highlight w:val="none"/>
                    </w:rPr>
                  </w:pPr>
                </w:p>
              </w:tc>
              <w:tc>
                <w:tcPr>
                  <w:tcW w:w="814" w:type="dxa"/>
                  <w:vMerge w:val="continue"/>
                  <w:vAlign w:val="center"/>
                </w:tcPr>
                <w:p w14:paraId="3F2C0063">
                  <w:pPr>
                    <w:spacing w:line="240" w:lineRule="atLeast"/>
                    <w:jc w:val="center"/>
                    <w:rPr>
                      <w:color w:val="auto"/>
                      <w:szCs w:val="21"/>
                      <w:highlight w:val="none"/>
                    </w:rPr>
                  </w:pPr>
                </w:p>
              </w:tc>
              <w:tc>
                <w:tcPr>
                  <w:tcW w:w="1473" w:type="dxa"/>
                  <w:gridSpan w:val="2"/>
                  <w:vAlign w:val="center"/>
                </w:tcPr>
                <w:p w14:paraId="161799C7">
                  <w:pPr>
                    <w:spacing w:line="240" w:lineRule="atLeast"/>
                    <w:jc w:val="center"/>
                    <w:rPr>
                      <w:b/>
                      <w:bCs/>
                      <w:color w:val="auto"/>
                      <w:szCs w:val="21"/>
                      <w:highlight w:val="none"/>
                    </w:rPr>
                  </w:pPr>
                  <w:r>
                    <w:rPr>
                      <w:rFonts w:hint="eastAsia"/>
                      <w:b/>
                      <w:bCs/>
                      <w:color w:val="auto"/>
                      <w:szCs w:val="21"/>
                      <w:highlight w:val="none"/>
                    </w:rPr>
                    <w:t>调入</w:t>
                  </w:r>
                </w:p>
              </w:tc>
              <w:tc>
                <w:tcPr>
                  <w:tcW w:w="1335" w:type="dxa"/>
                  <w:gridSpan w:val="2"/>
                  <w:vAlign w:val="center"/>
                </w:tcPr>
                <w:p w14:paraId="22732988">
                  <w:pPr>
                    <w:spacing w:line="240" w:lineRule="atLeast"/>
                    <w:jc w:val="center"/>
                    <w:rPr>
                      <w:b/>
                      <w:bCs/>
                      <w:color w:val="auto"/>
                      <w:szCs w:val="21"/>
                      <w:highlight w:val="none"/>
                    </w:rPr>
                  </w:pPr>
                  <w:r>
                    <w:rPr>
                      <w:rFonts w:hint="eastAsia"/>
                      <w:b/>
                      <w:bCs/>
                      <w:color w:val="auto"/>
                      <w:szCs w:val="21"/>
                      <w:highlight w:val="none"/>
                    </w:rPr>
                    <w:t>调出</w:t>
                  </w:r>
                </w:p>
              </w:tc>
              <w:tc>
                <w:tcPr>
                  <w:tcW w:w="797" w:type="dxa"/>
                  <w:vMerge w:val="continue"/>
                  <w:vAlign w:val="center"/>
                </w:tcPr>
                <w:p w14:paraId="370D0FC3">
                  <w:pPr>
                    <w:spacing w:line="240" w:lineRule="atLeast"/>
                    <w:jc w:val="center"/>
                    <w:rPr>
                      <w:color w:val="auto"/>
                      <w:szCs w:val="21"/>
                      <w:highlight w:val="none"/>
                    </w:rPr>
                  </w:pPr>
                </w:p>
              </w:tc>
              <w:tc>
                <w:tcPr>
                  <w:tcW w:w="567" w:type="dxa"/>
                  <w:vMerge w:val="continue"/>
                  <w:vAlign w:val="center"/>
                </w:tcPr>
                <w:p w14:paraId="0B227F04">
                  <w:pPr>
                    <w:spacing w:line="240" w:lineRule="atLeast"/>
                    <w:jc w:val="center"/>
                    <w:rPr>
                      <w:color w:val="auto"/>
                      <w:szCs w:val="21"/>
                      <w:highlight w:val="none"/>
                    </w:rPr>
                  </w:pPr>
                </w:p>
              </w:tc>
            </w:tr>
            <w:tr w14:paraId="1E79AB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Merge w:val="continue"/>
                  <w:vAlign w:val="center"/>
                </w:tcPr>
                <w:p w14:paraId="5CF82838">
                  <w:pPr>
                    <w:spacing w:line="240" w:lineRule="atLeast"/>
                    <w:jc w:val="center"/>
                    <w:rPr>
                      <w:color w:val="auto"/>
                      <w:szCs w:val="21"/>
                      <w:highlight w:val="none"/>
                    </w:rPr>
                  </w:pPr>
                </w:p>
              </w:tc>
              <w:tc>
                <w:tcPr>
                  <w:tcW w:w="2063" w:type="dxa"/>
                  <w:gridSpan w:val="2"/>
                  <w:vMerge w:val="continue"/>
                  <w:vAlign w:val="center"/>
                </w:tcPr>
                <w:p w14:paraId="372BE5F4">
                  <w:pPr>
                    <w:spacing w:line="240" w:lineRule="atLeast"/>
                    <w:jc w:val="center"/>
                    <w:rPr>
                      <w:color w:val="auto"/>
                      <w:szCs w:val="21"/>
                      <w:highlight w:val="none"/>
                    </w:rPr>
                  </w:pPr>
                </w:p>
              </w:tc>
              <w:tc>
                <w:tcPr>
                  <w:tcW w:w="900" w:type="dxa"/>
                  <w:vMerge w:val="continue"/>
                  <w:vAlign w:val="center"/>
                </w:tcPr>
                <w:p w14:paraId="2A2193EA">
                  <w:pPr>
                    <w:spacing w:line="240" w:lineRule="atLeast"/>
                    <w:jc w:val="center"/>
                    <w:rPr>
                      <w:color w:val="auto"/>
                      <w:szCs w:val="21"/>
                      <w:highlight w:val="none"/>
                    </w:rPr>
                  </w:pPr>
                </w:p>
              </w:tc>
              <w:tc>
                <w:tcPr>
                  <w:tcW w:w="814" w:type="dxa"/>
                  <w:vMerge w:val="continue"/>
                  <w:vAlign w:val="center"/>
                </w:tcPr>
                <w:p w14:paraId="65343C6A">
                  <w:pPr>
                    <w:spacing w:line="240" w:lineRule="atLeast"/>
                    <w:jc w:val="center"/>
                    <w:rPr>
                      <w:color w:val="auto"/>
                      <w:szCs w:val="21"/>
                      <w:highlight w:val="none"/>
                    </w:rPr>
                  </w:pPr>
                </w:p>
              </w:tc>
              <w:tc>
                <w:tcPr>
                  <w:tcW w:w="813" w:type="dxa"/>
                  <w:vAlign w:val="center"/>
                </w:tcPr>
                <w:p w14:paraId="1FFEA87E">
                  <w:pPr>
                    <w:spacing w:line="240" w:lineRule="atLeast"/>
                    <w:jc w:val="center"/>
                    <w:rPr>
                      <w:b/>
                      <w:bCs/>
                      <w:color w:val="auto"/>
                      <w:szCs w:val="21"/>
                      <w:highlight w:val="none"/>
                    </w:rPr>
                  </w:pPr>
                  <w:r>
                    <w:rPr>
                      <w:rFonts w:hint="eastAsia"/>
                      <w:b/>
                      <w:bCs/>
                      <w:color w:val="auto"/>
                      <w:szCs w:val="21"/>
                      <w:highlight w:val="none"/>
                    </w:rPr>
                    <w:t>数量</w:t>
                  </w:r>
                </w:p>
              </w:tc>
              <w:tc>
                <w:tcPr>
                  <w:tcW w:w="660" w:type="dxa"/>
                  <w:vAlign w:val="center"/>
                </w:tcPr>
                <w:p w14:paraId="0792B887">
                  <w:pPr>
                    <w:spacing w:line="240" w:lineRule="atLeast"/>
                    <w:jc w:val="center"/>
                    <w:rPr>
                      <w:b/>
                      <w:bCs/>
                      <w:color w:val="auto"/>
                      <w:szCs w:val="21"/>
                      <w:highlight w:val="none"/>
                    </w:rPr>
                  </w:pPr>
                  <w:r>
                    <w:rPr>
                      <w:rFonts w:hint="eastAsia"/>
                      <w:b/>
                      <w:bCs/>
                      <w:color w:val="auto"/>
                      <w:szCs w:val="21"/>
                      <w:highlight w:val="none"/>
                    </w:rPr>
                    <w:t>来源</w:t>
                  </w:r>
                </w:p>
              </w:tc>
              <w:tc>
                <w:tcPr>
                  <w:tcW w:w="660" w:type="dxa"/>
                  <w:vAlign w:val="center"/>
                </w:tcPr>
                <w:p w14:paraId="22BDC2D9">
                  <w:pPr>
                    <w:spacing w:line="240" w:lineRule="atLeast"/>
                    <w:jc w:val="center"/>
                    <w:rPr>
                      <w:b/>
                      <w:bCs/>
                      <w:color w:val="auto"/>
                      <w:szCs w:val="21"/>
                      <w:highlight w:val="none"/>
                    </w:rPr>
                  </w:pPr>
                  <w:r>
                    <w:rPr>
                      <w:rFonts w:hint="eastAsia"/>
                      <w:b/>
                      <w:bCs/>
                      <w:color w:val="auto"/>
                      <w:szCs w:val="21"/>
                      <w:highlight w:val="none"/>
                    </w:rPr>
                    <w:t>数量</w:t>
                  </w:r>
                </w:p>
              </w:tc>
              <w:tc>
                <w:tcPr>
                  <w:tcW w:w="675" w:type="dxa"/>
                  <w:vAlign w:val="center"/>
                </w:tcPr>
                <w:p w14:paraId="64E8D453">
                  <w:pPr>
                    <w:spacing w:line="240" w:lineRule="atLeast"/>
                    <w:jc w:val="center"/>
                    <w:rPr>
                      <w:b/>
                      <w:bCs/>
                      <w:color w:val="auto"/>
                      <w:szCs w:val="21"/>
                      <w:highlight w:val="none"/>
                    </w:rPr>
                  </w:pPr>
                  <w:r>
                    <w:rPr>
                      <w:rFonts w:hint="eastAsia"/>
                      <w:b/>
                      <w:bCs/>
                      <w:color w:val="auto"/>
                      <w:szCs w:val="21"/>
                      <w:highlight w:val="none"/>
                    </w:rPr>
                    <w:t>去向</w:t>
                  </w:r>
                </w:p>
              </w:tc>
              <w:tc>
                <w:tcPr>
                  <w:tcW w:w="797" w:type="dxa"/>
                  <w:vMerge w:val="continue"/>
                  <w:vAlign w:val="center"/>
                </w:tcPr>
                <w:p w14:paraId="532657A8">
                  <w:pPr>
                    <w:spacing w:line="240" w:lineRule="atLeast"/>
                    <w:jc w:val="center"/>
                    <w:rPr>
                      <w:color w:val="auto"/>
                      <w:szCs w:val="21"/>
                      <w:highlight w:val="none"/>
                    </w:rPr>
                  </w:pPr>
                </w:p>
              </w:tc>
              <w:tc>
                <w:tcPr>
                  <w:tcW w:w="567" w:type="dxa"/>
                  <w:vMerge w:val="continue"/>
                  <w:vAlign w:val="center"/>
                </w:tcPr>
                <w:p w14:paraId="00FDAA44">
                  <w:pPr>
                    <w:spacing w:line="240" w:lineRule="atLeast"/>
                    <w:jc w:val="center"/>
                    <w:rPr>
                      <w:color w:val="auto"/>
                      <w:szCs w:val="21"/>
                      <w:highlight w:val="none"/>
                    </w:rPr>
                  </w:pPr>
                </w:p>
              </w:tc>
            </w:tr>
            <w:tr w14:paraId="10C94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3CA99BB8">
                  <w:pPr>
                    <w:spacing w:line="240" w:lineRule="atLeast"/>
                    <w:jc w:val="center"/>
                    <w:rPr>
                      <w:color w:val="auto"/>
                      <w:szCs w:val="21"/>
                      <w:highlight w:val="none"/>
                    </w:rPr>
                  </w:pPr>
                  <w:r>
                    <w:rPr>
                      <w:rFonts w:hint="eastAsia"/>
                      <w:color w:val="auto"/>
                      <w:szCs w:val="21"/>
                      <w:highlight w:val="none"/>
                    </w:rPr>
                    <w:t>1</w:t>
                  </w:r>
                </w:p>
              </w:tc>
              <w:tc>
                <w:tcPr>
                  <w:tcW w:w="759" w:type="dxa"/>
                  <w:vMerge w:val="restart"/>
                  <w:vAlign w:val="center"/>
                </w:tcPr>
                <w:p w14:paraId="51C7BF2B">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变电站工程</w:t>
                  </w:r>
                </w:p>
              </w:tc>
              <w:tc>
                <w:tcPr>
                  <w:tcW w:w="1304" w:type="dxa"/>
                  <w:vAlign w:val="center"/>
                </w:tcPr>
                <w:p w14:paraId="76FDA431">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站区场地平整（含表层土剥离）</w:t>
                  </w:r>
                </w:p>
              </w:tc>
              <w:tc>
                <w:tcPr>
                  <w:tcW w:w="900" w:type="dxa"/>
                  <w:shd w:val="clear" w:color="auto" w:fill="auto"/>
                  <w:vAlign w:val="center"/>
                </w:tcPr>
                <w:p w14:paraId="7B90E841">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7804</w:t>
                  </w:r>
                </w:p>
              </w:tc>
              <w:tc>
                <w:tcPr>
                  <w:tcW w:w="814" w:type="dxa"/>
                  <w:shd w:val="clear" w:color="auto" w:fill="auto"/>
                  <w:vAlign w:val="center"/>
                </w:tcPr>
                <w:p w14:paraId="012AFA95">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4075</w:t>
                  </w:r>
                </w:p>
              </w:tc>
              <w:tc>
                <w:tcPr>
                  <w:tcW w:w="813" w:type="dxa"/>
                  <w:shd w:val="clear" w:color="auto" w:fill="auto"/>
                  <w:vAlign w:val="center"/>
                </w:tcPr>
                <w:p w14:paraId="21A6F10A">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875</w:t>
                  </w:r>
                </w:p>
              </w:tc>
              <w:tc>
                <w:tcPr>
                  <w:tcW w:w="660" w:type="dxa"/>
                  <w:shd w:val="clear" w:color="auto" w:fill="auto"/>
                  <w:vAlign w:val="center"/>
                </w:tcPr>
                <w:p w14:paraId="52973F3E">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w:t>
                  </w:r>
                </w:p>
              </w:tc>
              <w:tc>
                <w:tcPr>
                  <w:tcW w:w="660" w:type="dxa"/>
                  <w:shd w:val="clear" w:color="auto" w:fill="auto"/>
                  <w:vAlign w:val="center"/>
                </w:tcPr>
                <w:p w14:paraId="0F6217A0">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4604</w:t>
                  </w:r>
                </w:p>
              </w:tc>
              <w:tc>
                <w:tcPr>
                  <w:tcW w:w="675" w:type="dxa"/>
                  <w:shd w:val="clear" w:color="auto" w:fill="auto"/>
                  <w:vAlign w:val="center"/>
                </w:tcPr>
                <w:p w14:paraId="41311065">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6</w:t>
                  </w:r>
                </w:p>
              </w:tc>
              <w:tc>
                <w:tcPr>
                  <w:tcW w:w="797" w:type="dxa"/>
                  <w:vAlign w:val="center"/>
                </w:tcPr>
                <w:p w14:paraId="124EC02C">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722F046A">
                  <w:pPr>
                    <w:spacing w:line="240" w:lineRule="atLeast"/>
                    <w:jc w:val="center"/>
                    <w:rPr>
                      <w:color w:val="auto"/>
                      <w:szCs w:val="21"/>
                      <w:highlight w:val="none"/>
                    </w:rPr>
                  </w:pPr>
                  <w:r>
                    <w:rPr>
                      <w:rFonts w:hint="eastAsia"/>
                      <w:color w:val="auto"/>
                      <w:szCs w:val="21"/>
                      <w:highlight w:val="none"/>
                    </w:rPr>
                    <w:t>/</w:t>
                  </w:r>
                </w:p>
              </w:tc>
            </w:tr>
            <w:tr w14:paraId="04DBD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1569C8CE">
                  <w:pPr>
                    <w:spacing w:line="240" w:lineRule="atLeast"/>
                    <w:jc w:val="center"/>
                    <w:rPr>
                      <w:color w:val="auto"/>
                      <w:szCs w:val="21"/>
                      <w:highlight w:val="none"/>
                    </w:rPr>
                  </w:pPr>
                  <w:r>
                    <w:rPr>
                      <w:rFonts w:hint="eastAsia"/>
                      <w:color w:val="auto"/>
                      <w:szCs w:val="21"/>
                      <w:highlight w:val="none"/>
                    </w:rPr>
                    <w:t>2</w:t>
                  </w:r>
                </w:p>
              </w:tc>
              <w:tc>
                <w:tcPr>
                  <w:tcW w:w="759" w:type="dxa"/>
                  <w:vMerge w:val="continue"/>
                  <w:vAlign w:val="center"/>
                </w:tcPr>
                <w:p w14:paraId="164931D9">
                  <w:pPr>
                    <w:spacing w:line="240" w:lineRule="atLeast"/>
                    <w:jc w:val="center"/>
                    <w:rPr>
                      <w:color w:val="auto"/>
                      <w:szCs w:val="21"/>
                      <w:highlight w:val="none"/>
                    </w:rPr>
                  </w:pPr>
                </w:p>
              </w:tc>
              <w:tc>
                <w:tcPr>
                  <w:tcW w:w="1304" w:type="dxa"/>
                  <w:vAlign w:val="center"/>
                </w:tcPr>
                <w:p w14:paraId="110A0F5A">
                  <w:pPr>
                    <w:spacing w:line="240" w:lineRule="atLeast"/>
                    <w:jc w:val="center"/>
                    <w:rPr>
                      <w:rFonts w:hint="eastAsia" w:eastAsia="宋体"/>
                      <w:color w:val="auto"/>
                      <w:szCs w:val="21"/>
                      <w:highlight w:val="none"/>
                      <w:lang w:eastAsia="zh-CN"/>
                    </w:rPr>
                  </w:pPr>
                  <w:r>
                    <w:rPr>
                      <w:rFonts w:hint="eastAsia"/>
                      <w:color w:val="auto"/>
                      <w:szCs w:val="21"/>
                      <w:highlight w:val="none"/>
                      <w:lang w:val="en-US" w:eastAsia="zh-CN"/>
                    </w:rPr>
                    <w:t>进站道路</w:t>
                  </w:r>
                </w:p>
              </w:tc>
              <w:tc>
                <w:tcPr>
                  <w:tcW w:w="900" w:type="dxa"/>
                  <w:shd w:val="clear" w:color="auto" w:fill="auto"/>
                  <w:vAlign w:val="center"/>
                </w:tcPr>
                <w:p w14:paraId="20D1FE24">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150</w:t>
                  </w:r>
                </w:p>
              </w:tc>
              <w:tc>
                <w:tcPr>
                  <w:tcW w:w="814" w:type="dxa"/>
                  <w:shd w:val="clear" w:color="auto" w:fill="auto"/>
                  <w:vAlign w:val="center"/>
                </w:tcPr>
                <w:p w14:paraId="566A7840">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13" w:type="dxa"/>
                  <w:shd w:val="clear" w:color="auto" w:fill="auto"/>
                  <w:vAlign w:val="center"/>
                </w:tcPr>
                <w:p w14:paraId="4D940950">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p>
              </w:tc>
              <w:tc>
                <w:tcPr>
                  <w:tcW w:w="660" w:type="dxa"/>
                  <w:shd w:val="clear" w:color="auto" w:fill="auto"/>
                  <w:vAlign w:val="center"/>
                </w:tcPr>
                <w:p w14:paraId="433628A4">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p>
              </w:tc>
              <w:tc>
                <w:tcPr>
                  <w:tcW w:w="660" w:type="dxa"/>
                  <w:shd w:val="clear" w:color="auto" w:fill="auto"/>
                  <w:vAlign w:val="center"/>
                </w:tcPr>
                <w:p w14:paraId="0FC1E89C">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150</w:t>
                  </w:r>
                </w:p>
              </w:tc>
              <w:tc>
                <w:tcPr>
                  <w:tcW w:w="675" w:type="dxa"/>
                  <w:shd w:val="clear" w:color="auto" w:fill="auto"/>
                  <w:vAlign w:val="center"/>
                </w:tcPr>
                <w:p w14:paraId="1D0551A9">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w:t>
                  </w:r>
                </w:p>
              </w:tc>
              <w:tc>
                <w:tcPr>
                  <w:tcW w:w="797" w:type="dxa"/>
                  <w:vAlign w:val="center"/>
                </w:tcPr>
                <w:p w14:paraId="701A8194">
                  <w:pPr>
                    <w:spacing w:line="240" w:lineRule="atLeast"/>
                    <w:jc w:val="center"/>
                    <w:rPr>
                      <w:color w:val="auto"/>
                      <w:szCs w:val="21"/>
                      <w:highlight w:val="none"/>
                    </w:rPr>
                  </w:pPr>
                  <w:r>
                    <w:rPr>
                      <w:rFonts w:hint="eastAsia"/>
                      <w:color w:val="auto"/>
                      <w:szCs w:val="21"/>
                      <w:highlight w:val="none"/>
                    </w:rPr>
                    <w:t>/</w:t>
                  </w:r>
                </w:p>
              </w:tc>
              <w:tc>
                <w:tcPr>
                  <w:tcW w:w="567" w:type="dxa"/>
                  <w:vAlign w:val="center"/>
                </w:tcPr>
                <w:p w14:paraId="43EA0C04">
                  <w:pPr>
                    <w:spacing w:line="240" w:lineRule="atLeast"/>
                    <w:jc w:val="center"/>
                    <w:rPr>
                      <w:color w:val="auto"/>
                      <w:szCs w:val="21"/>
                      <w:highlight w:val="none"/>
                    </w:rPr>
                  </w:pPr>
                  <w:r>
                    <w:rPr>
                      <w:rFonts w:hint="eastAsia"/>
                      <w:color w:val="auto"/>
                      <w:szCs w:val="21"/>
                      <w:highlight w:val="none"/>
                    </w:rPr>
                    <w:t>/</w:t>
                  </w:r>
                </w:p>
              </w:tc>
            </w:tr>
            <w:tr w14:paraId="0F4049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0194EBF0">
                  <w:pPr>
                    <w:spacing w:line="240" w:lineRule="atLeast"/>
                    <w:jc w:val="center"/>
                    <w:rPr>
                      <w:color w:val="auto"/>
                      <w:szCs w:val="21"/>
                      <w:highlight w:val="none"/>
                    </w:rPr>
                  </w:pPr>
                  <w:r>
                    <w:rPr>
                      <w:rFonts w:hint="eastAsia"/>
                      <w:color w:val="auto"/>
                      <w:szCs w:val="21"/>
                      <w:highlight w:val="none"/>
                    </w:rPr>
                    <w:t>3</w:t>
                  </w:r>
                </w:p>
              </w:tc>
              <w:tc>
                <w:tcPr>
                  <w:tcW w:w="759" w:type="dxa"/>
                  <w:vMerge w:val="continue"/>
                  <w:vAlign w:val="center"/>
                </w:tcPr>
                <w:p w14:paraId="492BFF2C">
                  <w:pPr>
                    <w:spacing w:line="240" w:lineRule="atLeast"/>
                    <w:jc w:val="center"/>
                    <w:rPr>
                      <w:color w:val="auto"/>
                      <w:szCs w:val="21"/>
                      <w:highlight w:val="none"/>
                    </w:rPr>
                  </w:pPr>
                </w:p>
              </w:tc>
              <w:tc>
                <w:tcPr>
                  <w:tcW w:w="1304" w:type="dxa"/>
                  <w:vAlign w:val="center"/>
                </w:tcPr>
                <w:p w14:paraId="37E9228A">
                  <w:pPr>
                    <w:spacing w:line="240" w:lineRule="atLeast"/>
                    <w:jc w:val="center"/>
                    <w:rPr>
                      <w:rFonts w:hint="eastAsia" w:eastAsia="宋体"/>
                      <w:color w:val="auto"/>
                      <w:szCs w:val="21"/>
                      <w:highlight w:val="none"/>
                      <w:lang w:eastAsia="zh-CN"/>
                    </w:rPr>
                  </w:pPr>
                  <w:r>
                    <w:rPr>
                      <w:rFonts w:hint="eastAsia"/>
                      <w:color w:val="auto"/>
                      <w:szCs w:val="21"/>
                      <w:highlight w:val="none"/>
                      <w:lang w:val="en-US" w:eastAsia="zh-CN"/>
                    </w:rPr>
                    <w:t>边坡</w:t>
                  </w:r>
                </w:p>
              </w:tc>
              <w:tc>
                <w:tcPr>
                  <w:tcW w:w="900" w:type="dxa"/>
                  <w:shd w:val="clear" w:color="auto" w:fill="auto"/>
                  <w:vAlign w:val="center"/>
                </w:tcPr>
                <w:p w14:paraId="1D5308F0">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1000</w:t>
                  </w:r>
                </w:p>
              </w:tc>
              <w:tc>
                <w:tcPr>
                  <w:tcW w:w="814" w:type="dxa"/>
                  <w:shd w:val="clear" w:color="auto" w:fill="auto"/>
                  <w:vAlign w:val="center"/>
                </w:tcPr>
                <w:p w14:paraId="4EB02BBF">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13" w:type="dxa"/>
                  <w:shd w:val="clear" w:color="auto" w:fill="auto"/>
                  <w:vAlign w:val="center"/>
                </w:tcPr>
                <w:p w14:paraId="578B1A19">
                  <w:pPr>
                    <w:spacing w:line="240" w:lineRule="atLeast"/>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p>
              </w:tc>
              <w:tc>
                <w:tcPr>
                  <w:tcW w:w="660" w:type="dxa"/>
                  <w:shd w:val="clear" w:color="auto" w:fill="auto"/>
                  <w:vAlign w:val="center"/>
                </w:tcPr>
                <w:p w14:paraId="0E751783">
                  <w:pPr>
                    <w:spacing w:line="240" w:lineRule="atLeast"/>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w:t>
                  </w:r>
                </w:p>
              </w:tc>
              <w:tc>
                <w:tcPr>
                  <w:tcW w:w="660" w:type="dxa"/>
                  <w:shd w:val="clear" w:color="auto" w:fill="auto"/>
                  <w:vAlign w:val="center"/>
                </w:tcPr>
                <w:p w14:paraId="3D13BBAE">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1000</w:t>
                  </w:r>
                </w:p>
              </w:tc>
              <w:tc>
                <w:tcPr>
                  <w:tcW w:w="675" w:type="dxa"/>
                  <w:shd w:val="clear" w:color="auto" w:fill="auto"/>
                  <w:vAlign w:val="center"/>
                </w:tcPr>
                <w:p w14:paraId="3913D9CE">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w:t>
                  </w:r>
                </w:p>
              </w:tc>
              <w:tc>
                <w:tcPr>
                  <w:tcW w:w="797" w:type="dxa"/>
                  <w:vAlign w:val="center"/>
                </w:tcPr>
                <w:p w14:paraId="49977446">
                  <w:pPr>
                    <w:spacing w:line="240" w:lineRule="atLeast"/>
                    <w:jc w:val="center"/>
                    <w:rPr>
                      <w:color w:val="auto"/>
                      <w:szCs w:val="21"/>
                      <w:highlight w:val="none"/>
                    </w:rPr>
                  </w:pPr>
                  <w:r>
                    <w:rPr>
                      <w:rFonts w:hint="eastAsia"/>
                      <w:color w:val="auto"/>
                      <w:szCs w:val="21"/>
                      <w:highlight w:val="none"/>
                    </w:rPr>
                    <w:t>/</w:t>
                  </w:r>
                </w:p>
              </w:tc>
              <w:tc>
                <w:tcPr>
                  <w:tcW w:w="567" w:type="dxa"/>
                  <w:vAlign w:val="center"/>
                </w:tcPr>
                <w:p w14:paraId="5254835C">
                  <w:pPr>
                    <w:spacing w:line="240" w:lineRule="atLeast"/>
                    <w:jc w:val="center"/>
                    <w:rPr>
                      <w:color w:val="auto"/>
                      <w:szCs w:val="21"/>
                      <w:highlight w:val="none"/>
                    </w:rPr>
                  </w:pPr>
                  <w:r>
                    <w:rPr>
                      <w:rFonts w:hint="eastAsia"/>
                      <w:color w:val="auto"/>
                      <w:szCs w:val="21"/>
                      <w:highlight w:val="none"/>
                    </w:rPr>
                    <w:t>/</w:t>
                  </w:r>
                </w:p>
              </w:tc>
            </w:tr>
            <w:tr w14:paraId="1F5A83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305AF33E">
                  <w:pPr>
                    <w:spacing w:line="240" w:lineRule="atLeast"/>
                    <w:jc w:val="center"/>
                    <w:rPr>
                      <w:color w:val="auto"/>
                      <w:szCs w:val="21"/>
                      <w:highlight w:val="none"/>
                    </w:rPr>
                  </w:pPr>
                  <w:r>
                    <w:rPr>
                      <w:rFonts w:hint="eastAsia"/>
                      <w:color w:val="auto"/>
                      <w:szCs w:val="21"/>
                      <w:highlight w:val="none"/>
                    </w:rPr>
                    <w:t>4</w:t>
                  </w:r>
                </w:p>
              </w:tc>
              <w:tc>
                <w:tcPr>
                  <w:tcW w:w="759" w:type="dxa"/>
                  <w:vMerge w:val="continue"/>
                  <w:vAlign w:val="center"/>
                </w:tcPr>
                <w:p w14:paraId="2C3261D9">
                  <w:pPr>
                    <w:spacing w:line="240" w:lineRule="atLeast"/>
                    <w:jc w:val="center"/>
                    <w:rPr>
                      <w:color w:val="auto"/>
                      <w:szCs w:val="21"/>
                      <w:highlight w:val="none"/>
                    </w:rPr>
                  </w:pPr>
                </w:p>
              </w:tc>
              <w:tc>
                <w:tcPr>
                  <w:tcW w:w="1304" w:type="dxa"/>
                  <w:vAlign w:val="center"/>
                </w:tcPr>
                <w:p w14:paraId="23E090E2">
                  <w:pPr>
                    <w:spacing w:line="240" w:lineRule="atLeast"/>
                    <w:jc w:val="center"/>
                    <w:rPr>
                      <w:rFonts w:hint="eastAsia" w:eastAsia="宋体"/>
                      <w:color w:val="auto"/>
                      <w:szCs w:val="21"/>
                      <w:highlight w:val="none"/>
                      <w:lang w:eastAsia="zh-CN"/>
                    </w:rPr>
                  </w:pPr>
                  <w:r>
                    <w:rPr>
                      <w:rFonts w:hint="eastAsia"/>
                      <w:color w:val="auto"/>
                      <w:szCs w:val="21"/>
                      <w:highlight w:val="none"/>
                      <w:lang w:val="en-US" w:eastAsia="zh-CN"/>
                    </w:rPr>
                    <w:t>建（构）筑物基槽余土</w:t>
                  </w:r>
                </w:p>
              </w:tc>
              <w:tc>
                <w:tcPr>
                  <w:tcW w:w="900" w:type="dxa"/>
                  <w:shd w:val="clear" w:color="auto" w:fill="auto"/>
                  <w:vAlign w:val="center"/>
                </w:tcPr>
                <w:p w14:paraId="6F84A894">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2400</w:t>
                  </w:r>
                </w:p>
              </w:tc>
              <w:tc>
                <w:tcPr>
                  <w:tcW w:w="814" w:type="dxa"/>
                  <w:shd w:val="clear" w:color="auto" w:fill="auto"/>
                  <w:vAlign w:val="center"/>
                </w:tcPr>
                <w:p w14:paraId="4DD532AA">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13" w:type="dxa"/>
                  <w:shd w:val="clear" w:color="auto" w:fill="auto"/>
                  <w:vAlign w:val="center"/>
                </w:tcPr>
                <w:p w14:paraId="070588D7">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60" w:type="dxa"/>
                  <w:shd w:val="clear" w:color="auto" w:fill="auto"/>
                  <w:vAlign w:val="center"/>
                </w:tcPr>
                <w:p w14:paraId="7A5F54DA">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60" w:type="dxa"/>
                  <w:shd w:val="clear" w:color="auto" w:fill="auto"/>
                  <w:vAlign w:val="center"/>
                </w:tcPr>
                <w:p w14:paraId="36472A9A">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2400</w:t>
                  </w:r>
                </w:p>
              </w:tc>
              <w:tc>
                <w:tcPr>
                  <w:tcW w:w="675" w:type="dxa"/>
                  <w:shd w:val="clear" w:color="auto" w:fill="auto"/>
                  <w:vAlign w:val="center"/>
                </w:tcPr>
                <w:p w14:paraId="633A3614">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1、5</w:t>
                  </w:r>
                </w:p>
              </w:tc>
              <w:tc>
                <w:tcPr>
                  <w:tcW w:w="797" w:type="dxa"/>
                  <w:vAlign w:val="center"/>
                </w:tcPr>
                <w:p w14:paraId="4B3978D4">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76DD3581">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0C58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0D9AA944">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759" w:type="dxa"/>
                  <w:vMerge w:val="continue"/>
                  <w:vAlign w:val="center"/>
                </w:tcPr>
                <w:p w14:paraId="70147304">
                  <w:pPr>
                    <w:spacing w:line="240" w:lineRule="atLeast"/>
                    <w:jc w:val="center"/>
                    <w:rPr>
                      <w:color w:val="auto"/>
                      <w:szCs w:val="21"/>
                      <w:highlight w:val="none"/>
                    </w:rPr>
                  </w:pPr>
                </w:p>
              </w:tc>
              <w:tc>
                <w:tcPr>
                  <w:tcW w:w="1304" w:type="dxa"/>
                  <w:vAlign w:val="center"/>
                </w:tcPr>
                <w:p w14:paraId="0E891FB9">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3:7灰土垫层</w:t>
                  </w:r>
                </w:p>
              </w:tc>
              <w:tc>
                <w:tcPr>
                  <w:tcW w:w="900" w:type="dxa"/>
                  <w:shd w:val="clear" w:color="auto" w:fill="auto"/>
                  <w:vAlign w:val="center"/>
                </w:tcPr>
                <w:p w14:paraId="205B812F">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w:t>
                  </w:r>
                </w:p>
              </w:tc>
              <w:tc>
                <w:tcPr>
                  <w:tcW w:w="814" w:type="dxa"/>
                  <w:shd w:val="clear" w:color="auto" w:fill="auto"/>
                  <w:vAlign w:val="center"/>
                </w:tcPr>
                <w:p w14:paraId="140261FE">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17075</w:t>
                  </w:r>
                </w:p>
              </w:tc>
              <w:tc>
                <w:tcPr>
                  <w:tcW w:w="813" w:type="dxa"/>
                  <w:shd w:val="clear" w:color="auto" w:fill="auto"/>
                  <w:vAlign w:val="center"/>
                </w:tcPr>
                <w:p w14:paraId="2CC48FFE">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2675</w:t>
                  </w:r>
                </w:p>
              </w:tc>
              <w:tc>
                <w:tcPr>
                  <w:tcW w:w="660" w:type="dxa"/>
                  <w:shd w:val="clear" w:color="auto" w:fill="auto"/>
                  <w:vAlign w:val="center"/>
                </w:tcPr>
                <w:p w14:paraId="6E0A04FE">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2、3、4</w:t>
                  </w:r>
                </w:p>
              </w:tc>
              <w:tc>
                <w:tcPr>
                  <w:tcW w:w="660" w:type="dxa"/>
                  <w:shd w:val="clear" w:color="auto" w:fill="auto"/>
                  <w:vAlign w:val="center"/>
                </w:tcPr>
                <w:p w14:paraId="3A0B1B61">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75" w:type="dxa"/>
                  <w:shd w:val="clear" w:color="auto" w:fill="auto"/>
                  <w:vAlign w:val="center"/>
                </w:tcPr>
                <w:p w14:paraId="4A127E23">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97" w:type="dxa"/>
                  <w:vAlign w:val="center"/>
                </w:tcPr>
                <w:p w14:paraId="15A984D6">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14400</w:t>
                  </w:r>
                </w:p>
              </w:tc>
              <w:tc>
                <w:tcPr>
                  <w:tcW w:w="567" w:type="dxa"/>
                  <w:vAlign w:val="center"/>
                </w:tcPr>
                <w:p w14:paraId="4FFF9848">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2379E9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4E63BDDA">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759" w:type="dxa"/>
                  <w:vMerge w:val="continue"/>
                  <w:vAlign w:val="center"/>
                </w:tcPr>
                <w:p w14:paraId="36F7F5DC">
                  <w:pPr>
                    <w:spacing w:line="240" w:lineRule="atLeast"/>
                    <w:jc w:val="center"/>
                    <w:rPr>
                      <w:color w:val="auto"/>
                      <w:szCs w:val="21"/>
                      <w:highlight w:val="none"/>
                    </w:rPr>
                  </w:pPr>
                </w:p>
              </w:tc>
              <w:tc>
                <w:tcPr>
                  <w:tcW w:w="1304" w:type="dxa"/>
                  <w:vAlign w:val="center"/>
                </w:tcPr>
                <w:p w14:paraId="49A2BDA6">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施工营地</w:t>
                  </w:r>
                </w:p>
              </w:tc>
              <w:tc>
                <w:tcPr>
                  <w:tcW w:w="900" w:type="dxa"/>
                  <w:vAlign w:val="center"/>
                </w:tcPr>
                <w:p w14:paraId="6D17FE11">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3600</w:t>
                  </w:r>
                </w:p>
              </w:tc>
              <w:tc>
                <w:tcPr>
                  <w:tcW w:w="814" w:type="dxa"/>
                  <w:vAlign w:val="center"/>
                </w:tcPr>
                <w:p w14:paraId="5507E395">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8204</w:t>
                  </w:r>
                </w:p>
              </w:tc>
              <w:tc>
                <w:tcPr>
                  <w:tcW w:w="813" w:type="dxa"/>
                  <w:vAlign w:val="center"/>
                </w:tcPr>
                <w:p w14:paraId="74A3FC09">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4604</w:t>
                  </w:r>
                </w:p>
              </w:tc>
              <w:tc>
                <w:tcPr>
                  <w:tcW w:w="660" w:type="dxa"/>
                  <w:vAlign w:val="center"/>
                </w:tcPr>
                <w:p w14:paraId="4DA09BA6">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w:t>
                  </w:r>
                </w:p>
              </w:tc>
              <w:tc>
                <w:tcPr>
                  <w:tcW w:w="660" w:type="dxa"/>
                  <w:vAlign w:val="center"/>
                </w:tcPr>
                <w:p w14:paraId="0C23C62B">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27F0A4FE">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11F10512">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2BE3C20A">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22C86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vAlign w:val="center"/>
                </w:tcPr>
                <w:p w14:paraId="026B1758">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7</w:t>
                  </w:r>
                </w:p>
              </w:tc>
              <w:tc>
                <w:tcPr>
                  <w:tcW w:w="759" w:type="dxa"/>
                  <w:vMerge w:val="continue"/>
                  <w:vAlign w:val="center"/>
                </w:tcPr>
                <w:p w14:paraId="759781A1">
                  <w:pPr>
                    <w:spacing w:line="240" w:lineRule="atLeast"/>
                    <w:jc w:val="center"/>
                    <w:rPr>
                      <w:color w:val="auto"/>
                      <w:szCs w:val="21"/>
                      <w:highlight w:val="none"/>
                    </w:rPr>
                  </w:pPr>
                </w:p>
              </w:tc>
              <w:tc>
                <w:tcPr>
                  <w:tcW w:w="1304" w:type="dxa"/>
                  <w:vAlign w:val="center"/>
                </w:tcPr>
                <w:p w14:paraId="3EC66291">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站外供水、排水管线</w:t>
                  </w:r>
                </w:p>
              </w:tc>
              <w:tc>
                <w:tcPr>
                  <w:tcW w:w="900" w:type="dxa"/>
                  <w:vAlign w:val="center"/>
                </w:tcPr>
                <w:p w14:paraId="0A4065FB">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1200</w:t>
                  </w:r>
                </w:p>
              </w:tc>
              <w:tc>
                <w:tcPr>
                  <w:tcW w:w="814" w:type="dxa"/>
                  <w:vAlign w:val="center"/>
                </w:tcPr>
                <w:p w14:paraId="4DF4CB60">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1200</w:t>
                  </w:r>
                </w:p>
              </w:tc>
              <w:tc>
                <w:tcPr>
                  <w:tcW w:w="813" w:type="dxa"/>
                  <w:vAlign w:val="center"/>
                </w:tcPr>
                <w:p w14:paraId="1C0A50A4">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6AA74615">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51614B27">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7D12A99E">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398D49C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37848CD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7DB049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63" w:type="dxa"/>
                  <w:gridSpan w:val="3"/>
                  <w:vAlign w:val="center"/>
                </w:tcPr>
                <w:p w14:paraId="1FC1659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小计</w:t>
                  </w:r>
                </w:p>
              </w:tc>
              <w:tc>
                <w:tcPr>
                  <w:tcW w:w="900" w:type="dxa"/>
                  <w:shd w:val="clear" w:color="auto" w:fill="auto"/>
                  <w:vAlign w:val="center"/>
                </w:tcPr>
                <w:p w14:paraId="77178779">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16154</w:t>
                  </w:r>
                </w:p>
              </w:tc>
              <w:tc>
                <w:tcPr>
                  <w:tcW w:w="814" w:type="dxa"/>
                  <w:shd w:val="clear" w:color="auto" w:fill="auto"/>
                  <w:vAlign w:val="center"/>
                </w:tcPr>
                <w:p w14:paraId="740E5F64">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30554</w:t>
                  </w:r>
                </w:p>
              </w:tc>
              <w:tc>
                <w:tcPr>
                  <w:tcW w:w="813" w:type="dxa"/>
                  <w:shd w:val="clear" w:color="auto" w:fill="auto"/>
                  <w:vAlign w:val="center"/>
                </w:tcPr>
                <w:p w14:paraId="67FCD808">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8154</w:t>
                  </w:r>
                </w:p>
              </w:tc>
              <w:tc>
                <w:tcPr>
                  <w:tcW w:w="660" w:type="dxa"/>
                  <w:shd w:val="clear" w:color="auto" w:fill="auto"/>
                  <w:vAlign w:val="center"/>
                </w:tcPr>
                <w:p w14:paraId="3A358DF0">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660" w:type="dxa"/>
                  <w:shd w:val="clear" w:color="auto" w:fill="auto"/>
                  <w:vAlign w:val="center"/>
                </w:tcPr>
                <w:p w14:paraId="6DF32A5B">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8154</w:t>
                  </w:r>
                </w:p>
              </w:tc>
              <w:tc>
                <w:tcPr>
                  <w:tcW w:w="675" w:type="dxa"/>
                  <w:vAlign w:val="center"/>
                </w:tcPr>
                <w:p w14:paraId="5F6C39A6">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5FEE47D5">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14400</w:t>
                  </w:r>
                </w:p>
              </w:tc>
              <w:tc>
                <w:tcPr>
                  <w:tcW w:w="567" w:type="dxa"/>
                  <w:vAlign w:val="center"/>
                </w:tcPr>
                <w:p w14:paraId="5077275C">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5B4E0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shd w:val="clear" w:color="auto" w:fill="auto"/>
                  <w:vAlign w:val="center"/>
                </w:tcPr>
                <w:p w14:paraId="37971206">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8</w:t>
                  </w:r>
                </w:p>
              </w:tc>
              <w:tc>
                <w:tcPr>
                  <w:tcW w:w="759" w:type="dxa"/>
                  <w:vMerge w:val="restart"/>
                  <w:vAlign w:val="center"/>
                </w:tcPr>
                <w:p w14:paraId="6417E7D0">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输电线路工程</w:t>
                  </w:r>
                </w:p>
              </w:tc>
              <w:tc>
                <w:tcPr>
                  <w:tcW w:w="1304" w:type="dxa"/>
                  <w:shd w:val="clear" w:color="auto" w:fill="auto"/>
                  <w:vAlign w:val="center"/>
                </w:tcPr>
                <w:p w14:paraId="7AB1AED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输电线路塔基及临时</w:t>
                  </w:r>
                  <w:r>
                    <w:rPr>
                      <w:rFonts w:hint="eastAsia"/>
                      <w:color w:val="auto"/>
                      <w:szCs w:val="21"/>
                      <w:highlight w:val="none"/>
                    </w:rPr>
                    <w:t>施工</w:t>
                  </w:r>
                  <w:r>
                    <w:rPr>
                      <w:rFonts w:hint="eastAsia"/>
                      <w:color w:val="auto"/>
                      <w:szCs w:val="21"/>
                      <w:highlight w:val="none"/>
                      <w:lang w:val="en-US" w:eastAsia="zh-CN"/>
                    </w:rPr>
                    <w:t>区域（含10千伏临时施工电源线路）</w:t>
                  </w:r>
                </w:p>
              </w:tc>
              <w:tc>
                <w:tcPr>
                  <w:tcW w:w="900" w:type="dxa"/>
                  <w:vAlign w:val="center"/>
                </w:tcPr>
                <w:p w14:paraId="2E49777D">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9760</w:t>
                  </w:r>
                </w:p>
              </w:tc>
              <w:tc>
                <w:tcPr>
                  <w:tcW w:w="814" w:type="dxa"/>
                  <w:vAlign w:val="center"/>
                </w:tcPr>
                <w:p w14:paraId="71006514">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9760</w:t>
                  </w:r>
                </w:p>
              </w:tc>
              <w:tc>
                <w:tcPr>
                  <w:tcW w:w="813" w:type="dxa"/>
                  <w:vAlign w:val="center"/>
                </w:tcPr>
                <w:p w14:paraId="434B8AF4">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1A29D863">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64ABEC58">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296C9FCA">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2E37A7F2">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2EBB3974">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163B54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shd w:val="clear" w:color="auto" w:fill="auto"/>
                  <w:vAlign w:val="center"/>
                </w:tcPr>
                <w:p w14:paraId="402BB8BD">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9</w:t>
                  </w:r>
                </w:p>
              </w:tc>
              <w:tc>
                <w:tcPr>
                  <w:tcW w:w="759" w:type="dxa"/>
                  <w:vMerge w:val="continue"/>
                  <w:vAlign w:val="center"/>
                </w:tcPr>
                <w:p w14:paraId="2342B177">
                  <w:pPr>
                    <w:spacing w:line="240" w:lineRule="atLeast"/>
                    <w:jc w:val="center"/>
                    <w:rPr>
                      <w:rFonts w:hint="eastAsia"/>
                      <w:color w:val="auto"/>
                      <w:szCs w:val="21"/>
                      <w:highlight w:val="none"/>
                      <w:lang w:val="en-US" w:eastAsia="zh-CN"/>
                    </w:rPr>
                  </w:pPr>
                </w:p>
              </w:tc>
              <w:tc>
                <w:tcPr>
                  <w:tcW w:w="1304" w:type="dxa"/>
                  <w:shd w:val="clear" w:color="auto" w:fill="auto"/>
                  <w:vAlign w:val="center"/>
                </w:tcPr>
                <w:p w14:paraId="145B540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牵张场</w:t>
                  </w:r>
                </w:p>
              </w:tc>
              <w:tc>
                <w:tcPr>
                  <w:tcW w:w="900" w:type="dxa"/>
                  <w:vAlign w:val="center"/>
                </w:tcPr>
                <w:p w14:paraId="5E69493F">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814" w:type="dxa"/>
                  <w:vAlign w:val="center"/>
                </w:tcPr>
                <w:p w14:paraId="47DDCC34">
                  <w:pPr>
                    <w:spacing w:line="240" w:lineRule="atLeast"/>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813" w:type="dxa"/>
                  <w:vAlign w:val="center"/>
                </w:tcPr>
                <w:p w14:paraId="15AF22DB">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03207314">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5ECB1C3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570DE4E4">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4E4B6786">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0011B69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34150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00" w:type="dxa"/>
                  <w:shd w:val="clear" w:color="auto" w:fill="auto"/>
                  <w:vAlign w:val="center"/>
                </w:tcPr>
                <w:p w14:paraId="50582700">
                  <w:pPr>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10</w:t>
                  </w:r>
                </w:p>
              </w:tc>
              <w:tc>
                <w:tcPr>
                  <w:tcW w:w="759" w:type="dxa"/>
                  <w:vMerge w:val="continue"/>
                  <w:vAlign w:val="center"/>
                </w:tcPr>
                <w:p w14:paraId="6FC8B654">
                  <w:pPr>
                    <w:spacing w:line="240" w:lineRule="atLeast"/>
                    <w:jc w:val="center"/>
                    <w:rPr>
                      <w:rFonts w:hint="eastAsia"/>
                      <w:color w:val="auto"/>
                      <w:szCs w:val="21"/>
                      <w:highlight w:val="none"/>
                      <w:lang w:val="en-US" w:eastAsia="zh-CN"/>
                    </w:rPr>
                  </w:pPr>
                </w:p>
              </w:tc>
              <w:tc>
                <w:tcPr>
                  <w:tcW w:w="1304" w:type="dxa"/>
                  <w:shd w:val="clear" w:color="auto" w:fill="auto"/>
                  <w:vAlign w:val="center"/>
                </w:tcPr>
                <w:p w14:paraId="4FF9BE4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施工便道</w:t>
                  </w:r>
                </w:p>
              </w:tc>
              <w:tc>
                <w:tcPr>
                  <w:tcW w:w="900" w:type="dxa"/>
                  <w:vAlign w:val="center"/>
                </w:tcPr>
                <w:p w14:paraId="1A0609AD">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9913</w:t>
                  </w:r>
                </w:p>
              </w:tc>
              <w:tc>
                <w:tcPr>
                  <w:tcW w:w="814" w:type="dxa"/>
                  <w:vAlign w:val="center"/>
                </w:tcPr>
                <w:p w14:paraId="7B58A099">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9913</w:t>
                  </w:r>
                </w:p>
              </w:tc>
              <w:tc>
                <w:tcPr>
                  <w:tcW w:w="813" w:type="dxa"/>
                  <w:vAlign w:val="center"/>
                </w:tcPr>
                <w:p w14:paraId="2D39160D">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169CDED1">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577AA08D">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206C927F">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79137C7A">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56839685">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0F6E6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63" w:type="dxa"/>
                  <w:gridSpan w:val="3"/>
                  <w:vAlign w:val="center"/>
                </w:tcPr>
                <w:p w14:paraId="42407F23">
                  <w:pPr>
                    <w:spacing w:line="240" w:lineRule="atLeast"/>
                    <w:jc w:val="center"/>
                    <w:rPr>
                      <w:rFonts w:hint="eastAsia"/>
                      <w:color w:val="auto"/>
                      <w:szCs w:val="21"/>
                      <w:highlight w:val="none"/>
                    </w:rPr>
                  </w:pPr>
                  <w:r>
                    <w:rPr>
                      <w:rFonts w:hint="eastAsia"/>
                      <w:color w:val="auto"/>
                      <w:szCs w:val="21"/>
                      <w:highlight w:val="none"/>
                      <w:lang w:val="en-US" w:eastAsia="zh-CN"/>
                    </w:rPr>
                    <w:t>小计</w:t>
                  </w:r>
                </w:p>
              </w:tc>
              <w:tc>
                <w:tcPr>
                  <w:tcW w:w="900" w:type="dxa"/>
                  <w:vAlign w:val="center"/>
                </w:tcPr>
                <w:p w14:paraId="2E748ECD">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19673</w:t>
                  </w:r>
                </w:p>
              </w:tc>
              <w:tc>
                <w:tcPr>
                  <w:tcW w:w="814" w:type="dxa"/>
                  <w:vAlign w:val="center"/>
                </w:tcPr>
                <w:p w14:paraId="2B78A4F2">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19673</w:t>
                  </w:r>
                </w:p>
              </w:tc>
              <w:tc>
                <w:tcPr>
                  <w:tcW w:w="813" w:type="dxa"/>
                  <w:vAlign w:val="center"/>
                </w:tcPr>
                <w:p w14:paraId="21C192FE">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6115958B">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7E9A4207">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44C75428">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797" w:type="dxa"/>
                  <w:vAlign w:val="center"/>
                </w:tcPr>
                <w:p w14:paraId="21AF217D">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06D574BE">
                  <w:pPr>
                    <w:spacing w:line="240" w:lineRule="atLeast"/>
                    <w:jc w:val="center"/>
                    <w:rPr>
                      <w:rFonts w:hint="eastAsia"/>
                      <w:color w:val="auto"/>
                      <w:szCs w:val="21"/>
                      <w:highlight w:val="none"/>
                      <w:lang w:val="en-US" w:eastAsia="zh-CN"/>
                    </w:rPr>
                  </w:pPr>
                  <w:r>
                    <w:rPr>
                      <w:rFonts w:hint="eastAsia"/>
                      <w:color w:val="auto"/>
                      <w:szCs w:val="21"/>
                      <w:highlight w:val="none"/>
                      <w:lang w:val="en-US" w:eastAsia="zh-CN"/>
                    </w:rPr>
                    <w:t>/</w:t>
                  </w:r>
                </w:p>
              </w:tc>
            </w:tr>
            <w:tr w14:paraId="39E97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63" w:type="dxa"/>
                  <w:gridSpan w:val="3"/>
                  <w:vAlign w:val="center"/>
                </w:tcPr>
                <w:p w14:paraId="6E75DBCA">
                  <w:pPr>
                    <w:spacing w:line="240" w:lineRule="atLeast"/>
                    <w:jc w:val="center"/>
                    <w:rPr>
                      <w:color w:val="auto"/>
                      <w:szCs w:val="21"/>
                      <w:highlight w:val="none"/>
                    </w:rPr>
                  </w:pPr>
                  <w:r>
                    <w:rPr>
                      <w:rFonts w:hint="eastAsia"/>
                      <w:color w:val="auto"/>
                      <w:szCs w:val="21"/>
                      <w:highlight w:val="none"/>
                    </w:rPr>
                    <w:t>合计</w:t>
                  </w:r>
                </w:p>
              </w:tc>
              <w:tc>
                <w:tcPr>
                  <w:tcW w:w="900" w:type="dxa"/>
                  <w:vAlign w:val="center"/>
                </w:tcPr>
                <w:p w14:paraId="3A7DC23A">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35827</w:t>
                  </w:r>
                </w:p>
              </w:tc>
              <w:tc>
                <w:tcPr>
                  <w:tcW w:w="814" w:type="dxa"/>
                  <w:vAlign w:val="center"/>
                </w:tcPr>
                <w:p w14:paraId="05911001">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50227</w:t>
                  </w:r>
                </w:p>
              </w:tc>
              <w:tc>
                <w:tcPr>
                  <w:tcW w:w="813" w:type="dxa"/>
                  <w:vAlign w:val="center"/>
                </w:tcPr>
                <w:p w14:paraId="291F9D2E">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660" w:type="dxa"/>
                  <w:vAlign w:val="center"/>
                </w:tcPr>
                <w:p w14:paraId="3CDDA4A2">
                  <w:pPr>
                    <w:spacing w:line="240" w:lineRule="atLeast"/>
                    <w:jc w:val="center"/>
                    <w:rPr>
                      <w:color w:val="auto"/>
                      <w:szCs w:val="21"/>
                      <w:highlight w:val="none"/>
                    </w:rPr>
                  </w:pPr>
                  <w:r>
                    <w:rPr>
                      <w:rFonts w:hint="eastAsia"/>
                      <w:color w:val="auto"/>
                      <w:szCs w:val="21"/>
                      <w:highlight w:val="none"/>
                    </w:rPr>
                    <w:t>/</w:t>
                  </w:r>
                </w:p>
              </w:tc>
              <w:tc>
                <w:tcPr>
                  <w:tcW w:w="660" w:type="dxa"/>
                  <w:vAlign w:val="center"/>
                </w:tcPr>
                <w:p w14:paraId="1E01BA2A">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675" w:type="dxa"/>
                  <w:vAlign w:val="center"/>
                </w:tcPr>
                <w:p w14:paraId="434F9288">
                  <w:pPr>
                    <w:spacing w:line="240" w:lineRule="atLeast"/>
                    <w:jc w:val="center"/>
                    <w:rPr>
                      <w:color w:val="auto"/>
                      <w:szCs w:val="21"/>
                      <w:highlight w:val="none"/>
                    </w:rPr>
                  </w:pPr>
                  <w:r>
                    <w:rPr>
                      <w:rFonts w:hint="eastAsia"/>
                      <w:color w:val="auto"/>
                      <w:szCs w:val="21"/>
                      <w:highlight w:val="none"/>
                    </w:rPr>
                    <w:t>/</w:t>
                  </w:r>
                </w:p>
              </w:tc>
              <w:tc>
                <w:tcPr>
                  <w:tcW w:w="797" w:type="dxa"/>
                  <w:vAlign w:val="center"/>
                </w:tcPr>
                <w:p w14:paraId="5EB54ADD">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w:t>
                  </w:r>
                </w:p>
              </w:tc>
              <w:tc>
                <w:tcPr>
                  <w:tcW w:w="567" w:type="dxa"/>
                  <w:vAlign w:val="center"/>
                </w:tcPr>
                <w:p w14:paraId="6C05E9DB">
                  <w:pPr>
                    <w:spacing w:line="240" w:lineRule="atLeast"/>
                    <w:jc w:val="center"/>
                    <w:rPr>
                      <w:color w:val="auto"/>
                      <w:szCs w:val="21"/>
                      <w:highlight w:val="none"/>
                    </w:rPr>
                  </w:pPr>
                  <w:r>
                    <w:rPr>
                      <w:rFonts w:hint="eastAsia"/>
                      <w:color w:val="auto"/>
                      <w:szCs w:val="21"/>
                      <w:highlight w:val="none"/>
                    </w:rPr>
                    <w:t>/</w:t>
                  </w:r>
                </w:p>
              </w:tc>
            </w:tr>
          </w:tbl>
          <w:p w14:paraId="32757154">
            <w:pPr>
              <w:pStyle w:val="26"/>
              <w:spacing w:before="0" w:beforeAutospacing="0" w:after="0" w:afterAutospacing="0" w:line="360" w:lineRule="auto"/>
              <w:jc w:val="both"/>
              <w:outlineLvl w:val="0"/>
              <w:rPr>
                <w:rFonts w:ascii="Times New Roman" w:hAnsi="Times New Roman" w:eastAsia="黑体"/>
                <w:b/>
                <w:bCs/>
                <w:snapToGrid w:val="0"/>
                <w:color w:val="auto"/>
                <w:sz w:val="30"/>
                <w:szCs w:val="30"/>
                <w:highlight w:val="none"/>
              </w:rPr>
            </w:pPr>
          </w:p>
        </w:tc>
      </w:tr>
      <w:tr w14:paraId="1053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6FCEEE4F">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25" w:name="_Toc21511"/>
            <w:bookmarkStart w:id="26" w:name="_Toc8937"/>
            <w:r>
              <w:rPr>
                <w:rFonts w:ascii="Times New Roman" w:hAnsi="Times New Roman"/>
                <w:color w:val="auto"/>
                <w:highlight w:val="none"/>
              </w:rPr>
              <w:t>总平面及现场布置</w:t>
            </w:r>
            <w:bookmarkEnd w:id="25"/>
            <w:bookmarkEnd w:id="26"/>
          </w:p>
        </w:tc>
        <w:tc>
          <w:tcPr>
            <w:tcW w:w="8991" w:type="dxa"/>
          </w:tcPr>
          <w:p w14:paraId="709946FB">
            <w:pPr>
              <w:pStyle w:val="8"/>
              <w:spacing w:after="0" w:line="360" w:lineRule="auto"/>
              <w:ind w:left="0" w:leftChars="0" w:firstLine="482" w:firstLineChars="200"/>
              <w:jc w:val="left"/>
              <w:rPr>
                <w:b/>
                <w:bCs/>
                <w:color w:val="auto"/>
                <w:sz w:val="24"/>
                <w:highlight w:val="none"/>
              </w:rPr>
            </w:pPr>
            <w:r>
              <w:rPr>
                <w:b/>
                <w:bCs/>
                <w:color w:val="auto"/>
                <w:sz w:val="24"/>
                <w:highlight w:val="none"/>
              </w:rPr>
              <w:t>1、项目布局情况</w:t>
            </w:r>
          </w:p>
          <w:p w14:paraId="3D4C6DA3">
            <w:pPr>
              <w:autoSpaceDE w:val="0"/>
              <w:autoSpaceDN w:val="0"/>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lang w:val="en-US" w:eastAsia="zh-CN"/>
              </w:rPr>
              <w:t>新建张程110千伏变电站工程</w:t>
            </w:r>
          </w:p>
          <w:p w14:paraId="1EB92B45">
            <w:pPr>
              <w:autoSpaceDE w:val="0"/>
              <w:autoSpaceDN w:val="0"/>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w:t>
            </w:r>
          </w:p>
          <w:p w14:paraId="4AEB9DC2">
            <w:pPr>
              <w:autoSpaceDE w:val="0"/>
              <w:autoSpaceDN w:val="0"/>
              <w:spacing w:line="360" w:lineRule="auto"/>
              <w:ind w:firstLine="480" w:firstLineChars="200"/>
              <w:rPr>
                <w:rFonts w:hint="eastAsia"/>
                <w:color w:val="auto"/>
                <w:sz w:val="24"/>
                <w:highlight w:val="none"/>
              </w:rPr>
            </w:pPr>
            <w:r>
              <w:rPr>
                <w:rFonts w:hint="default" w:ascii="Times New Roman" w:hAnsi="Times New Roman" w:cs="Times New Roman"/>
                <w:color w:val="auto"/>
                <w:sz w:val="24"/>
                <w:highlight w:val="none"/>
              </w:rPr>
              <w:t>变电站平面</w:t>
            </w:r>
            <w:r>
              <w:rPr>
                <w:rFonts w:hint="eastAsia" w:ascii="Times New Roman" w:hAnsi="Times New Roman" w:cs="Times New Roman"/>
                <w:color w:val="auto"/>
                <w:sz w:val="24"/>
                <w:highlight w:val="none"/>
                <w:lang w:val="en-US" w:eastAsia="zh-CN"/>
              </w:rPr>
              <w:t>布置</w:t>
            </w:r>
            <w:r>
              <w:rPr>
                <w:rFonts w:hint="default" w:ascii="Times New Roman" w:hAnsi="Times New Roman" w:cs="Times New Roman"/>
                <w:color w:val="auto"/>
                <w:sz w:val="24"/>
                <w:highlight w:val="none"/>
              </w:rPr>
              <w:t>详见</w:t>
            </w:r>
            <w:r>
              <w:rPr>
                <w:rFonts w:hint="eastAsia" w:ascii="Times New Roman" w:hAnsi="Times New Roman" w:cs="Times New Roman"/>
                <w:b/>
                <w:bCs/>
                <w:color w:val="auto"/>
                <w:sz w:val="24"/>
                <w:highlight w:val="none"/>
                <w:lang w:val="en-US" w:eastAsia="zh-CN"/>
              </w:rPr>
              <w:t>附图2-4</w:t>
            </w:r>
            <w:r>
              <w:rPr>
                <w:rFonts w:hint="eastAsia" w:ascii="Times New Roman" w:hAnsi="Times New Roman" w:cs="Times New Roman"/>
                <w:b w:val="0"/>
                <w:bCs w:val="0"/>
                <w:color w:val="auto"/>
                <w:sz w:val="24"/>
                <w:highlight w:val="none"/>
                <w:lang w:val="en-US" w:eastAsia="zh-CN"/>
              </w:rPr>
              <w:t>~</w:t>
            </w:r>
            <w:r>
              <w:rPr>
                <w:rFonts w:hint="default" w:ascii="Times New Roman" w:hAnsi="Times New Roman" w:cs="Times New Roman"/>
                <w:b/>
                <w:bCs/>
                <w:color w:val="auto"/>
                <w:sz w:val="24"/>
                <w:highlight w:val="none"/>
              </w:rPr>
              <w:t>附图</w:t>
            </w:r>
            <w:r>
              <w:rPr>
                <w:rFonts w:hint="eastAsia" w:ascii="Times New Roman" w:hAnsi="Times New Roman" w:cs="Times New Roman"/>
                <w:b/>
                <w:bCs/>
                <w:color w:val="auto"/>
                <w:sz w:val="24"/>
                <w:highlight w:val="none"/>
                <w:lang w:val="en-US" w:eastAsia="zh-CN"/>
              </w:rPr>
              <w:t>2-5</w:t>
            </w:r>
            <w:r>
              <w:rPr>
                <w:rFonts w:hint="default" w:ascii="Times New Roman" w:hAnsi="Times New Roman" w:cs="Times New Roman"/>
                <w:color w:val="auto"/>
                <w:sz w:val="24"/>
                <w:highlight w:val="none"/>
              </w:rPr>
              <w:t>。</w:t>
            </w:r>
          </w:p>
          <w:p w14:paraId="2DFB0034">
            <w:pPr>
              <w:autoSpaceDE w:val="0"/>
              <w:autoSpaceDN w:val="0"/>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lang w:val="en-US" w:eastAsia="zh-CN"/>
              </w:rPr>
              <w:t>新建渝河110千伏变电站~张程变110千伏线路工程</w:t>
            </w:r>
          </w:p>
          <w:p w14:paraId="6A7CCE00">
            <w:pPr>
              <w:pStyle w:val="8"/>
              <w:adjustRightInd w:val="0"/>
              <w:snapToGrid w:val="0"/>
              <w:spacing w:after="0" w:line="360" w:lineRule="auto"/>
              <w:ind w:left="0" w:leftChars="0" w:firstLine="480" w:firstLineChars="200"/>
              <w:rPr>
                <w:rFonts w:hint="eastAsia"/>
                <w:color w:val="auto"/>
                <w:sz w:val="24"/>
                <w:highlight w:val="none"/>
                <w:lang w:val="en-US" w:eastAsia="zh-CN"/>
              </w:rPr>
            </w:pPr>
            <w:r>
              <w:rPr>
                <w:rFonts w:hint="eastAsia"/>
                <w:color w:val="auto"/>
                <w:sz w:val="24"/>
                <w:highlight w:val="none"/>
                <w:lang w:val="en-US" w:eastAsia="zh-CN"/>
              </w:rPr>
              <w:t>******</w:t>
            </w:r>
          </w:p>
          <w:p w14:paraId="678C4527">
            <w:pPr>
              <w:pStyle w:val="8"/>
              <w:adjustRightInd w:val="0"/>
              <w:snapToGrid w:val="0"/>
              <w:spacing w:after="0" w:line="360" w:lineRule="auto"/>
              <w:ind w:left="0" w:leftChars="0" w:firstLine="480" w:firstLineChars="200"/>
              <w:rPr>
                <w:color w:val="auto"/>
                <w:sz w:val="24"/>
                <w:highlight w:val="none"/>
              </w:rPr>
            </w:pPr>
            <w:r>
              <w:rPr>
                <w:color w:val="auto"/>
                <w:sz w:val="24"/>
                <w:highlight w:val="none"/>
              </w:rPr>
              <w:t>线路路径方案见</w:t>
            </w:r>
            <w:r>
              <w:rPr>
                <w:b/>
                <w:bCs/>
                <w:color w:val="auto"/>
                <w:sz w:val="24"/>
                <w:highlight w:val="none"/>
              </w:rPr>
              <w:t>附图</w:t>
            </w:r>
            <w:r>
              <w:rPr>
                <w:rFonts w:hint="eastAsia"/>
                <w:b/>
                <w:bCs/>
                <w:color w:val="auto"/>
                <w:sz w:val="24"/>
                <w:highlight w:val="none"/>
                <w:lang w:val="en-US" w:eastAsia="zh-CN"/>
              </w:rPr>
              <w:t>2-6</w:t>
            </w:r>
            <w:r>
              <w:rPr>
                <w:color w:val="auto"/>
                <w:sz w:val="24"/>
                <w:highlight w:val="none"/>
              </w:rPr>
              <w:t>。</w:t>
            </w:r>
          </w:p>
          <w:p w14:paraId="7DA18B51">
            <w:pPr>
              <w:spacing w:line="360" w:lineRule="auto"/>
              <w:ind w:firstLine="482" w:firstLineChars="200"/>
              <w:rPr>
                <w:b/>
                <w:bCs/>
                <w:color w:val="auto"/>
                <w:sz w:val="24"/>
                <w:highlight w:val="none"/>
              </w:rPr>
            </w:pPr>
            <w:r>
              <w:rPr>
                <w:b/>
                <w:bCs/>
                <w:color w:val="auto"/>
                <w:sz w:val="24"/>
                <w:highlight w:val="none"/>
              </w:rPr>
              <w:t>2、施工布置情况</w:t>
            </w:r>
          </w:p>
          <w:p w14:paraId="396AB00A">
            <w:pPr>
              <w:spacing w:line="360" w:lineRule="auto"/>
              <w:ind w:firstLine="480"/>
              <w:rPr>
                <w:color w:val="auto"/>
                <w:sz w:val="24"/>
                <w:highlight w:val="none"/>
              </w:rPr>
            </w:pPr>
            <w:r>
              <w:rPr>
                <w:color w:val="auto"/>
                <w:sz w:val="24"/>
                <w:highlight w:val="none"/>
              </w:rPr>
              <w:t>（1）变电站工程</w:t>
            </w:r>
          </w:p>
          <w:p w14:paraId="5774F17A">
            <w:pPr>
              <w:spacing w:line="360" w:lineRule="auto"/>
              <w:ind w:firstLine="48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施工营地：本项目施工营地拟</w:t>
            </w:r>
            <w:r>
              <w:rPr>
                <w:rFonts w:hint="eastAsia" w:ascii="Times New Roman" w:hAnsi="Times New Roman" w:cs="Times New Roman"/>
                <w:color w:val="auto"/>
                <w:sz w:val="24"/>
                <w:highlight w:val="none"/>
                <w:lang w:val="en-US" w:eastAsia="zh-CN"/>
              </w:rPr>
              <w:t>布置</w:t>
            </w:r>
            <w:r>
              <w:rPr>
                <w:rFonts w:hint="default" w:ascii="Times New Roman" w:hAnsi="Times New Roman" w:cs="Times New Roman"/>
                <w:color w:val="auto"/>
                <w:sz w:val="24"/>
                <w:highlight w:val="none"/>
              </w:rPr>
              <w:t>在变电站</w:t>
            </w:r>
            <w:r>
              <w:rPr>
                <w:rFonts w:hint="eastAsia" w:cs="Times New Roman"/>
                <w:color w:val="auto"/>
                <w:sz w:val="24"/>
                <w:highlight w:val="none"/>
                <w:lang w:val="en-US" w:eastAsia="zh-CN"/>
              </w:rPr>
              <w:t>西</w:t>
            </w:r>
            <w:r>
              <w:rPr>
                <w:rFonts w:hint="default" w:ascii="Times New Roman" w:hAnsi="Times New Roman" w:cs="Times New Roman"/>
                <w:color w:val="auto"/>
                <w:sz w:val="24"/>
                <w:highlight w:val="none"/>
              </w:rPr>
              <w:t>侧，用于施工材料堆放、施工人员生活、办公使用。</w:t>
            </w:r>
          </w:p>
          <w:p w14:paraId="630B7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sz w:val="24"/>
                <w:highlight w:val="none"/>
                <w:lang w:val="en-US" w:eastAsia="zh-CN"/>
              </w:rPr>
              <w:t>②进站道路（</w:t>
            </w:r>
            <w:r>
              <w:rPr>
                <w:rFonts w:hint="default" w:ascii="Times New Roman" w:hAnsi="Times New Roman" w:cs="Times New Roman"/>
                <w:color w:val="auto"/>
                <w:sz w:val="24"/>
                <w:highlight w:val="none"/>
                <w:lang w:val="en-US" w:eastAsia="zh-CN"/>
              </w:rPr>
              <w:t>施工道路</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kern w:val="0"/>
                <w:sz w:val="24"/>
                <w:highlight w:val="none"/>
              </w:rPr>
              <w:t>变电站区域施工便道的修筑与进站道路兼顾考虑，</w:t>
            </w:r>
            <w:r>
              <w:rPr>
                <w:rFonts w:hint="default" w:ascii="Times New Roman" w:hAnsi="Times New Roman" w:cs="Times New Roman"/>
                <w:color w:val="auto"/>
                <w:kern w:val="0"/>
                <w:sz w:val="24"/>
                <w:highlight w:val="none"/>
                <w:lang w:val="en-US" w:eastAsia="zh-CN"/>
              </w:rPr>
              <w:t>将变电站施工便道运行期作为进站道路使用，</w:t>
            </w:r>
            <w:r>
              <w:rPr>
                <w:rFonts w:hint="default" w:ascii="Times New Roman" w:hAnsi="Times New Roman" w:cs="Times New Roman"/>
                <w:color w:val="auto"/>
                <w:kern w:val="0"/>
                <w:sz w:val="24"/>
                <w:highlight w:val="none"/>
              </w:rPr>
              <w:t>做到永临结合。</w:t>
            </w:r>
          </w:p>
          <w:p w14:paraId="7E9F4F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③变电站围墙：变电站采用装配式围墙，施工前变电站应先建设实体围墙，做到永临结合。</w:t>
            </w:r>
          </w:p>
          <w:p w14:paraId="5441EB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④</w:t>
            </w:r>
            <w:r>
              <w:rPr>
                <w:rFonts w:hint="default" w:ascii="Times New Roman" w:hAnsi="Times New Roman" w:cs="Times New Roman"/>
                <w:color w:val="auto"/>
                <w:kern w:val="0"/>
                <w:sz w:val="24"/>
                <w:highlight w:val="none"/>
                <w:lang w:val="en-US" w:eastAsia="zh-CN"/>
              </w:rPr>
              <w:t>站外管线：站外供水、排水管线占地面积0.</w:t>
            </w:r>
            <w:r>
              <w:rPr>
                <w:rFonts w:hint="eastAsia" w:ascii="Times New Roman" w:hAnsi="Times New Roman" w:cs="Times New Roman"/>
                <w:color w:val="auto"/>
                <w:kern w:val="0"/>
                <w:sz w:val="24"/>
                <w:highlight w:val="none"/>
                <w:lang w:val="en-US" w:eastAsia="zh-CN"/>
              </w:rPr>
              <w:t>08</w:t>
            </w:r>
            <w:r>
              <w:rPr>
                <w:rFonts w:hint="default" w:ascii="Times New Roman" w:hAnsi="Times New Roman" w:cs="Times New Roman"/>
                <w:color w:val="auto"/>
                <w:kern w:val="0"/>
                <w:sz w:val="24"/>
                <w:highlight w:val="none"/>
                <w:lang w:val="en-US" w:eastAsia="zh-CN"/>
              </w:rPr>
              <w:t>hm</w:t>
            </w:r>
            <w:r>
              <w:rPr>
                <w:rFonts w:hint="default" w:ascii="Times New Roman" w:hAnsi="Times New Roman" w:cs="Times New Roman"/>
                <w:color w:val="auto"/>
                <w:kern w:val="0"/>
                <w:sz w:val="24"/>
                <w:highlight w:val="none"/>
                <w:vertAlign w:val="superscript"/>
                <w:lang w:val="en-US" w:eastAsia="zh-CN"/>
              </w:rPr>
              <w:t>2</w:t>
            </w:r>
            <w:r>
              <w:rPr>
                <w:rFonts w:hint="default" w:ascii="Times New Roman" w:hAnsi="Times New Roman" w:cs="Times New Roman"/>
                <w:color w:val="auto"/>
                <w:kern w:val="0"/>
                <w:sz w:val="24"/>
                <w:highlight w:val="none"/>
              </w:rPr>
              <w:t>。</w:t>
            </w:r>
          </w:p>
          <w:p w14:paraId="0F1980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eastAsia" w:cs="Times New Roman"/>
                <w:color w:val="auto"/>
                <w:sz w:val="24"/>
                <w:szCs w:val="24"/>
                <w:highlight w:val="none"/>
                <w:lang w:val="en-US" w:eastAsia="zh-CN"/>
              </w:rPr>
              <w:t>⑤</w:t>
            </w:r>
            <w:r>
              <w:rPr>
                <w:rFonts w:hint="eastAsia" w:ascii="Times New Roman" w:hAnsi="Times New Roman" w:cs="Times New Roman"/>
                <w:color w:val="auto"/>
                <w:sz w:val="24"/>
                <w:szCs w:val="24"/>
                <w:highlight w:val="none"/>
                <w:lang w:val="en-US" w:eastAsia="zh-CN"/>
              </w:rPr>
              <w:t>施工电源：</w:t>
            </w:r>
            <w:r>
              <w:rPr>
                <w:rFonts w:hint="default"/>
                <w:color w:val="auto"/>
                <w:sz w:val="24"/>
                <w:szCs w:val="24"/>
                <w:highlight w:val="none"/>
                <w:lang w:val="en-US" w:eastAsia="zh-CN"/>
              </w:rPr>
              <w:t>待施工完毕后拆除</w:t>
            </w:r>
            <w:r>
              <w:rPr>
                <w:rFonts w:hint="eastAsia"/>
                <w:color w:val="auto"/>
                <w:sz w:val="24"/>
                <w:szCs w:val="24"/>
                <w:highlight w:val="none"/>
                <w:lang w:val="en-US" w:eastAsia="zh-CN"/>
              </w:rPr>
              <w:t>，不作为备用电源。</w:t>
            </w:r>
          </w:p>
          <w:p w14:paraId="3AFFE474">
            <w:pPr>
              <w:pStyle w:val="14"/>
              <w:spacing w:before="0" w:line="360" w:lineRule="auto"/>
              <w:ind w:firstLine="480" w:firstLineChars="200"/>
              <w:rPr>
                <w:rFonts w:hint="eastAsia" w:eastAsia="宋体"/>
                <w:color w:val="auto"/>
                <w:highlight w:val="none"/>
                <w:lang w:val="en-US" w:eastAsia="zh-CN"/>
              </w:rPr>
            </w:pPr>
            <w:r>
              <w:rPr>
                <w:color w:val="auto"/>
                <w:sz w:val="24"/>
                <w:highlight w:val="none"/>
              </w:rPr>
              <w:t>（2）</w:t>
            </w:r>
            <w:r>
              <w:rPr>
                <w:rFonts w:hint="eastAsia"/>
                <w:color w:val="auto"/>
                <w:sz w:val="24"/>
                <w:highlight w:val="none"/>
                <w:lang w:val="en-US" w:eastAsia="zh-CN"/>
              </w:rPr>
              <w:t>架空</w:t>
            </w:r>
            <w:r>
              <w:rPr>
                <w:color w:val="auto"/>
                <w:sz w:val="24"/>
                <w:highlight w:val="none"/>
              </w:rPr>
              <w:t>线路</w:t>
            </w:r>
            <w:r>
              <w:rPr>
                <w:rFonts w:hint="eastAsia"/>
                <w:color w:val="auto"/>
                <w:sz w:val="24"/>
                <w:highlight w:val="none"/>
                <w:lang w:val="en-US" w:eastAsia="zh-CN"/>
              </w:rPr>
              <w:t>工程</w:t>
            </w:r>
          </w:p>
          <w:p w14:paraId="05EC18D3">
            <w:pPr>
              <w:adjustRightInd w:val="0"/>
              <w:snapToGrid w:val="0"/>
              <w:spacing w:line="360" w:lineRule="auto"/>
              <w:ind w:firstLine="480" w:firstLineChars="200"/>
              <w:rPr>
                <w:color w:val="auto"/>
                <w:highlight w:val="none"/>
              </w:rPr>
            </w:pPr>
            <w:r>
              <w:rPr>
                <w:color w:val="auto"/>
                <w:sz w:val="24"/>
                <w:highlight w:val="none"/>
              </w:rPr>
              <w:t>新建线路施工活动应集中在昼间进行；杆塔施工临时场地选择需紧邻塔基处；施工道路</w:t>
            </w:r>
            <w:r>
              <w:rPr>
                <w:rFonts w:hint="eastAsia"/>
                <w:color w:val="auto"/>
                <w:sz w:val="24"/>
                <w:highlight w:val="none"/>
                <w:lang w:val="en-US" w:eastAsia="zh-CN"/>
              </w:rPr>
              <w:t>尽可能</w:t>
            </w:r>
            <w:r>
              <w:rPr>
                <w:color w:val="auto"/>
                <w:sz w:val="24"/>
                <w:highlight w:val="none"/>
              </w:rPr>
              <w:t>利用既有小道进行修整；牵张场设置于塔基附近便于放紧线施工，设置于临近既有道路处便于材料运输；杆塔施工临时场地、施工便道、牵张场应尽可能避让植被密集区，以减少对当地植被的破坏；划定最小的施工作业区域，划定永久占地、临时占地范围红线，严禁施工人员和施工机械超出作业区域施工。</w:t>
            </w:r>
          </w:p>
          <w:p w14:paraId="72723D02">
            <w:pPr>
              <w:widowControl/>
              <w:adjustRightInd w:val="0"/>
              <w:snapToGrid w:val="0"/>
              <w:spacing w:line="360" w:lineRule="auto"/>
              <w:ind w:firstLine="480" w:firstLineChars="200"/>
              <w:jc w:val="left"/>
              <w:rPr>
                <w:rFonts w:hint="eastAsia" w:eastAsia="宋体"/>
                <w:color w:val="auto"/>
                <w:sz w:val="24"/>
                <w:highlight w:val="none"/>
                <w:lang w:eastAsia="zh-CN"/>
              </w:rPr>
            </w:pPr>
            <w:r>
              <w:rPr>
                <w:rFonts w:hint="eastAsia"/>
                <w:color w:val="auto"/>
                <w:sz w:val="24"/>
                <w:highlight w:val="none"/>
                <w:lang w:val="en-US" w:eastAsia="zh-CN"/>
              </w:rPr>
              <w:t>①</w:t>
            </w:r>
            <w:r>
              <w:rPr>
                <w:color w:val="auto"/>
                <w:sz w:val="24"/>
                <w:highlight w:val="none"/>
              </w:rPr>
              <w:t>塔基施工场地布置</w:t>
            </w:r>
            <w:r>
              <w:rPr>
                <w:rFonts w:hint="eastAsia"/>
                <w:color w:val="auto"/>
                <w:sz w:val="24"/>
                <w:highlight w:val="none"/>
                <w:lang w:eastAsia="zh-CN"/>
              </w:rPr>
              <w:t>（</w:t>
            </w:r>
            <w:r>
              <w:rPr>
                <w:rFonts w:hint="eastAsia"/>
                <w:color w:val="auto"/>
                <w:sz w:val="24"/>
                <w:highlight w:val="none"/>
                <w:lang w:val="en-US" w:eastAsia="zh-CN"/>
              </w:rPr>
              <w:t>含10千伏临时施工电源线路</w:t>
            </w:r>
            <w:r>
              <w:rPr>
                <w:rFonts w:hint="eastAsia"/>
                <w:color w:val="auto"/>
                <w:sz w:val="24"/>
                <w:highlight w:val="none"/>
                <w:lang w:eastAsia="zh-CN"/>
              </w:rPr>
              <w:t>）</w:t>
            </w:r>
          </w:p>
          <w:p w14:paraId="6BB3370B">
            <w:pPr>
              <w:widowControl/>
              <w:adjustRightInd w:val="0"/>
              <w:snapToGrid w:val="0"/>
              <w:spacing w:line="360" w:lineRule="auto"/>
              <w:ind w:firstLine="480" w:firstLineChars="200"/>
              <w:jc w:val="left"/>
              <w:rPr>
                <w:color w:val="auto"/>
                <w:sz w:val="24"/>
                <w:highlight w:val="none"/>
              </w:rPr>
            </w:pPr>
            <w:r>
              <w:rPr>
                <w:color w:val="auto"/>
                <w:sz w:val="24"/>
                <w:highlight w:val="none"/>
              </w:rPr>
              <w:t>塔基基础施工临时场地以单个塔基为单位分散布置。在塔基施工过程中每处塔基都有一处施工临时占地作为施工场地，用来临时堆置土方、材料和工具等。</w:t>
            </w:r>
          </w:p>
          <w:p w14:paraId="062F9580">
            <w:pPr>
              <w:spacing w:line="360" w:lineRule="auto"/>
              <w:ind w:firstLine="480"/>
              <w:rPr>
                <w:color w:val="auto"/>
                <w:sz w:val="24"/>
                <w:highlight w:val="none"/>
              </w:rPr>
            </w:pPr>
            <w:r>
              <w:rPr>
                <w:rFonts w:hint="eastAsia"/>
                <w:color w:val="auto"/>
                <w:sz w:val="24"/>
                <w:highlight w:val="none"/>
                <w:lang w:val="en-US" w:eastAsia="zh-CN"/>
              </w:rPr>
              <w:t>②</w:t>
            </w:r>
            <w:r>
              <w:rPr>
                <w:color w:val="auto"/>
                <w:sz w:val="24"/>
                <w:highlight w:val="none"/>
              </w:rPr>
              <w:t>牵张场布置</w:t>
            </w:r>
          </w:p>
          <w:p w14:paraId="037E9D50">
            <w:pPr>
              <w:spacing w:line="360" w:lineRule="auto"/>
              <w:ind w:firstLine="480"/>
              <w:rPr>
                <w:color w:val="auto"/>
                <w:sz w:val="24"/>
                <w:highlight w:val="none"/>
              </w:rPr>
            </w:pPr>
            <w:r>
              <w:rPr>
                <w:color w:val="auto"/>
                <w:sz w:val="24"/>
                <w:highlight w:val="none"/>
              </w:rPr>
              <w:t>为满足施工放线需要，输电线路沿线需设置牵张场地，放线场主要用作导线、地线张紧和架线，也兼作材料使用前的临时堆放、转运以及工程临时指挥篷房。牵张场设置原则：位于塔基附近，便于放紧线施工；临近既有道路，便于材料运输；场址场地宽敞平坦，便于操作，利于减少场地平整的地面扰动。</w:t>
            </w:r>
          </w:p>
          <w:p w14:paraId="145C8C92">
            <w:pPr>
              <w:numPr>
                <w:ilvl w:val="0"/>
                <w:numId w:val="0"/>
              </w:numPr>
              <w:spacing w:line="360" w:lineRule="auto"/>
              <w:ind w:firstLine="480" w:firstLineChars="200"/>
              <w:rPr>
                <w:rFonts w:hint="default" w:ascii="Times New Roman" w:hAnsi="Times New Roman" w:cs="Times New Roman"/>
                <w:color w:val="auto"/>
                <w:sz w:val="24"/>
                <w:highlight w:val="none"/>
                <w:lang w:val="en-US" w:eastAsia="zh-CN"/>
              </w:rPr>
            </w:pPr>
            <w:r>
              <w:rPr>
                <w:rFonts w:hint="eastAsia"/>
                <w:color w:val="auto"/>
                <w:sz w:val="24"/>
                <w:highlight w:val="none"/>
                <w:lang w:val="en-US" w:eastAsia="zh-CN"/>
              </w:rPr>
              <w:t>③</w:t>
            </w:r>
            <w:r>
              <w:rPr>
                <w:rFonts w:hint="default" w:ascii="Times New Roman" w:hAnsi="Times New Roman" w:cs="Times New Roman"/>
                <w:color w:val="auto"/>
                <w:sz w:val="24"/>
                <w:highlight w:val="none"/>
                <w:lang w:val="en-US" w:eastAsia="zh-CN"/>
              </w:rPr>
              <w:t>跨越场</w:t>
            </w:r>
          </w:p>
          <w:p w14:paraId="19EE0C31">
            <w:pPr>
              <w:numPr>
                <w:ilvl w:val="0"/>
                <w:numId w:val="0"/>
              </w:num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本项目无需设置跨越场。</w:t>
            </w:r>
          </w:p>
          <w:p w14:paraId="579B9320">
            <w:pPr>
              <w:numPr>
                <w:ilvl w:val="0"/>
                <w:numId w:val="0"/>
              </w:numPr>
              <w:spacing w:line="360" w:lineRule="auto"/>
              <w:ind w:firstLine="480" w:firstLineChars="200"/>
              <w:rPr>
                <w:color w:val="auto"/>
                <w:sz w:val="24"/>
                <w:highlight w:val="none"/>
              </w:rPr>
            </w:pPr>
            <w:r>
              <w:rPr>
                <w:rFonts w:hint="eastAsia" w:ascii="Times New Roman" w:hAnsi="Times New Roman" w:cs="Times New Roman"/>
                <w:color w:val="auto"/>
                <w:sz w:val="24"/>
                <w:highlight w:val="none"/>
                <w:lang w:val="en-US" w:eastAsia="zh-CN"/>
              </w:rPr>
              <w:t>④</w:t>
            </w:r>
            <w:r>
              <w:rPr>
                <w:color w:val="auto"/>
                <w:sz w:val="24"/>
                <w:highlight w:val="none"/>
              </w:rPr>
              <w:t>施工便道</w:t>
            </w:r>
          </w:p>
          <w:p w14:paraId="7F8E4753">
            <w:pPr>
              <w:numPr>
                <w:ilvl w:val="0"/>
                <w:numId w:val="0"/>
              </w:numPr>
              <w:spacing w:line="360" w:lineRule="auto"/>
              <w:ind w:firstLine="480" w:firstLineChars="200"/>
              <w:rPr>
                <w:rFonts w:hint="eastAsia" w:eastAsia="宋体"/>
                <w:color w:val="auto"/>
                <w:highlight w:val="none"/>
                <w:lang w:val="en-US" w:eastAsia="zh-CN"/>
              </w:rPr>
            </w:pPr>
            <w:r>
              <w:rPr>
                <w:color w:val="auto"/>
                <w:sz w:val="24"/>
                <w:highlight w:val="none"/>
              </w:rPr>
              <w:t>根据施工现场道路现状，</w:t>
            </w:r>
            <w:r>
              <w:rPr>
                <w:rFonts w:hint="eastAsia"/>
                <w:color w:val="auto"/>
                <w:sz w:val="24"/>
                <w:highlight w:val="none"/>
              </w:rPr>
              <w:t>尽量</w:t>
            </w:r>
            <w:r>
              <w:rPr>
                <w:color w:val="auto"/>
                <w:sz w:val="24"/>
                <w:highlight w:val="none"/>
              </w:rPr>
              <w:t>利用现有道路，在不具备施工运输条件的区域，设置施工便道</w:t>
            </w:r>
            <w:r>
              <w:rPr>
                <w:rFonts w:hint="eastAsia"/>
                <w:color w:val="auto"/>
                <w:sz w:val="24"/>
                <w:highlight w:val="none"/>
                <w:lang w:eastAsia="zh-CN"/>
              </w:rPr>
              <w:t>。</w:t>
            </w:r>
          </w:p>
        </w:tc>
      </w:tr>
      <w:tr w14:paraId="0468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6304F038">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27" w:name="_Toc1230"/>
            <w:bookmarkStart w:id="28" w:name="_Toc20649"/>
            <w:r>
              <w:rPr>
                <w:rFonts w:ascii="Times New Roman" w:hAnsi="Times New Roman"/>
                <w:color w:val="auto"/>
                <w:highlight w:val="none"/>
              </w:rPr>
              <w:t>施工方案</w:t>
            </w:r>
            <w:bookmarkEnd w:id="27"/>
            <w:bookmarkEnd w:id="28"/>
          </w:p>
        </w:tc>
        <w:tc>
          <w:tcPr>
            <w:tcW w:w="8991" w:type="dxa"/>
          </w:tcPr>
          <w:p w14:paraId="4F8080B0">
            <w:pPr>
              <w:spacing w:line="360" w:lineRule="auto"/>
              <w:ind w:firstLine="482" w:firstLineChars="200"/>
              <w:rPr>
                <w:bCs/>
                <w:color w:val="auto"/>
                <w:sz w:val="24"/>
                <w:highlight w:val="none"/>
              </w:rPr>
            </w:pPr>
            <w:r>
              <w:rPr>
                <w:b/>
                <w:bCs/>
                <w:color w:val="auto"/>
                <w:sz w:val="24"/>
                <w:highlight w:val="none"/>
              </w:rPr>
              <w:t>1、施工工艺</w:t>
            </w:r>
          </w:p>
          <w:p w14:paraId="0FD5D2CE">
            <w:pPr>
              <w:pStyle w:val="44"/>
              <w:spacing w:line="360" w:lineRule="auto"/>
              <w:ind w:firstLine="482"/>
              <w:rPr>
                <w:bCs/>
                <w:color w:val="auto"/>
                <w:sz w:val="24"/>
                <w:highlight w:val="none"/>
              </w:rPr>
            </w:pPr>
            <w:r>
              <w:rPr>
                <w:bCs/>
                <w:color w:val="auto"/>
                <w:sz w:val="24"/>
                <w:highlight w:val="none"/>
              </w:rPr>
              <w:t>（1）变电站工程</w:t>
            </w:r>
          </w:p>
          <w:p w14:paraId="1904EDC6">
            <w:pPr>
              <w:spacing w:line="360" w:lineRule="auto"/>
              <w:ind w:firstLine="480" w:firstLineChars="200"/>
              <w:rPr>
                <w:color w:val="auto"/>
                <w:sz w:val="24"/>
                <w:highlight w:val="none"/>
              </w:rPr>
            </w:pPr>
            <w:r>
              <w:rPr>
                <w:bCs/>
                <w:color w:val="auto"/>
                <w:sz w:val="24"/>
                <w:highlight w:val="none"/>
              </w:rPr>
              <w:t>变电站工程在施工期主要包括施工准备、基础施工、</w:t>
            </w:r>
            <w:r>
              <w:rPr>
                <w:rFonts w:hint="eastAsia"/>
                <w:bCs/>
                <w:color w:val="auto"/>
                <w:sz w:val="24"/>
                <w:highlight w:val="none"/>
                <w:lang w:val="en-US" w:eastAsia="zh-CN"/>
              </w:rPr>
              <w:t>建筑物施工、</w:t>
            </w:r>
            <w:r>
              <w:rPr>
                <w:bCs/>
                <w:color w:val="auto"/>
                <w:sz w:val="24"/>
                <w:highlight w:val="none"/>
              </w:rPr>
              <w:t>设备安装调试等环节，主要环境影响为基础开挖产生少量的扬尘、固体废物、噪声及调试安装产生的安装噪声等。</w:t>
            </w:r>
            <w:r>
              <w:rPr>
                <w:rFonts w:hint="eastAsia"/>
                <w:bCs/>
                <w:color w:val="auto"/>
                <w:sz w:val="24"/>
                <w:highlight w:val="none"/>
                <w:lang w:val="en-US" w:eastAsia="zh-CN"/>
              </w:rPr>
              <w:t>变电站工程</w:t>
            </w:r>
            <w:r>
              <w:rPr>
                <w:bCs/>
                <w:color w:val="auto"/>
                <w:sz w:val="24"/>
                <w:highlight w:val="none"/>
              </w:rPr>
              <w:t>施工期工艺流程及产污环节见图2-</w:t>
            </w:r>
            <w:r>
              <w:rPr>
                <w:rFonts w:hint="eastAsia"/>
                <w:bCs/>
                <w:color w:val="auto"/>
                <w:sz w:val="24"/>
                <w:highlight w:val="none"/>
                <w:lang w:val="en-US" w:eastAsia="zh-CN"/>
              </w:rPr>
              <w:t>2</w:t>
            </w:r>
            <w:r>
              <w:rPr>
                <w:bCs/>
                <w:color w:val="auto"/>
                <w:sz w:val="24"/>
                <w:highlight w:val="none"/>
              </w:rPr>
              <w:t>。</w:t>
            </w:r>
          </w:p>
          <w:p w14:paraId="6D227C99">
            <w:pPr>
              <w:pStyle w:val="44"/>
              <w:spacing w:line="360" w:lineRule="auto"/>
              <w:jc w:val="center"/>
              <w:rPr>
                <w:bCs/>
                <w:color w:val="auto"/>
                <w:sz w:val="24"/>
                <w:highlight w:val="none"/>
              </w:rPr>
            </w:pPr>
            <w:r>
              <w:rPr>
                <w:rFonts w:hint="default" w:ascii="Times New Roman" w:hAnsi="Times New Roman" w:cs="Times New Roman"/>
                <w:color w:val="auto"/>
                <w:sz w:val="24"/>
                <w:highlight w:val="none"/>
              </w:rPr>
              <mc:AlternateContent>
                <mc:Choice Requires="wpc">
                  <w:drawing>
                    <wp:inline distT="0" distB="0" distL="114300" distR="114300">
                      <wp:extent cx="4841240" cy="3035300"/>
                      <wp:effectExtent l="0" t="0" r="0" b="0"/>
                      <wp:docPr id="22" name="画布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接连接符 5"/>
                              <wps:cNvCnPr/>
                              <wps:spPr>
                                <a:xfrm>
                                  <a:off x="1320800" y="722818"/>
                                  <a:ext cx="491490" cy="1270"/>
                                </a:xfrm>
                                <a:prstGeom prst="line">
                                  <a:avLst/>
                                </a:prstGeom>
                                <a:ln w="9525" cap="flat" cmpd="sng">
                                  <a:solidFill>
                                    <a:srgbClr val="000000"/>
                                  </a:solidFill>
                                  <a:prstDash val="dash"/>
                                  <a:headEnd type="none" w="med" len="med"/>
                                  <a:tailEnd type="triangle" w="sm" len="med"/>
                                </a:ln>
                              </wps:spPr>
                              <wps:bodyPr/>
                            </wps:wsp>
                            <wps:wsp>
                              <wps:cNvPr id="2" name="文本框 6"/>
                              <wps:cNvSpPr txBox="1"/>
                              <wps:spPr>
                                <a:xfrm>
                                  <a:off x="1810385" y="1144905"/>
                                  <a:ext cx="2806700" cy="254000"/>
                                </a:xfrm>
                                <a:prstGeom prst="rect">
                                  <a:avLst/>
                                </a:prstGeom>
                                <a:solidFill>
                                  <a:srgbClr val="FFFFFF"/>
                                </a:solidFill>
                                <a:ln>
                                  <a:noFill/>
                                </a:ln>
                              </wps:spPr>
                              <wps:txbx>
                                <w:txbxContent>
                                  <w:p w14:paraId="65D8AE07">
                                    <w:pPr>
                                      <w:rPr>
                                        <w:rFonts w:hint="default" w:ascii="宋体" w:hAnsi="宋体" w:eastAsia="宋体"/>
                                        <w:sz w:val="18"/>
                                        <w:szCs w:val="18"/>
                                        <w:lang w:val="en-US" w:eastAsia="zh-CN"/>
                                      </w:rPr>
                                    </w:pPr>
                                    <w:r>
                                      <w:rPr>
                                        <w:rFonts w:hint="eastAsia" w:ascii="宋体" w:hAnsi="宋体"/>
                                        <w:sz w:val="18"/>
                                        <w:szCs w:val="18"/>
                                      </w:rPr>
                                      <w:t>生态影响、施工噪声、施工扬尘、固体废物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wps:txbx>
                              <wps:bodyPr lIns="18000" tIns="10800" rIns="18000" bIns="10800" upright="1"/>
                            </wps:wsp>
                            <wps:wsp>
                              <wps:cNvPr id="4" name="直接连接符 7"/>
                              <wps:cNvCnPr/>
                              <wps:spPr>
                                <a:xfrm>
                                  <a:off x="1325880" y="1236667"/>
                                  <a:ext cx="490220" cy="1905"/>
                                </a:xfrm>
                                <a:prstGeom prst="line">
                                  <a:avLst/>
                                </a:prstGeom>
                                <a:ln w="9525" cap="flat" cmpd="sng">
                                  <a:solidFill>
                                    <a:srgbClr val="000000"/>
                                  </a:solidFill>
                                  <a:prstDash val="dash"/>
                                  <a:headEnd type="none" w="med" len="med"/>
                                  <a:tailEnd type="triangle" w="sm" len="med"/>
                                </a:ln>
                              </wps:spPr>
                              <wps:bodyPr/>
                            </wps:wsp>
                            <wps:wsp>
                              <wps:cNvPr id="16" name="文本框 8"/>
                              <wps:cNvSpPr txBox="1"/>
                              <wps:spPr>
                                <a:xfrm>
                                  <a:off x="1811655" y="619125"/>
                                  <a:ext cx="2287270" cy="238760"/>
                                </a:xfrm>
                                <a:prstGeom prst="rect">
                                  <a:avLst/>
                                </a:prstGeom>
                                <a:solidFill>
                                  <a:srgbClr val="FFFFFF"/>
                                </a:solidFill>
                                <a:ln>
                                  <a:noFill/>
                                </a:ln>
                              </wps:spPr>
                              <wps:txbx>
                                <w:txbxContent>
                                  <w:p w14:paraId="52F8DB7A">
                                    <w:pPr>
                                      <w:rPr>
                                        <w:rFonts w:hint="default" w:ascii="宋体" w:hAnsi="宋体" w:eastAsia="宋体"/>
                                        <w:sz w:val="18"/>
                                        <w:szCs w:val="18"/>
                                        <w:lang w:val="en-US" w:eastAsia="zh-CN"/>
                                      </w:rPr>
                                    </w:pPr>
                                    <w:r>
                                      <w:rPr>
                                        <w:rFonts w:hint="eastAsia" w:ascii="宋体" w:hAnsi="宋体"/>
                                        <w:sz w:val="18"/>
                                        <w:szCs w:val="18"/>
                                      </w:rPr>
                                      <w:t>施工噪声、施工扬尘、生态影响</w:t>
                                    </w:r>
                                    <w:r>
                                      <w:rPr>
                                        <w:rFonts w:hint="eastAsia" w:ascii="宋体" w:hAnsi="宋体"/>
                                        <w:sz w:val="18"/>
                                        <w:szCs w:val="18"/>
                                        <w:lang w:eastAsia="zh-CN"/>
                                      </w:rPr>
                                      <w:t>、</w:t>
                                    </w:r>
                                    <w:r>
                                      <w:rPr>
                                        <w:rFonts w:hint="eastAsia" w:ascii="宋体" w:hAnsi="宋体"/>
                                        <w:sz w:val="18"/>
                                        <w:szCs w:val="18"/>
                                        <w:lang w:val="en-US" w:eastAsia="zh-CN"/>
                                      </w:rPr>
                                      <w:t>生活污水</w:t>
                                    </w:r>
                                  </w:p>
                                </w:txbxContent>
                              </wps:txbx>
                              <wps:bodyPr lIns="18000" tIns="10800" rIns="18000" bIns="10800" upright="1"/>
                            </wps:wsp>
                            <wps:wsp>
                              <wps:cNvPr id="23" name="直接连接符 9"/>
                              <wps:cNvCnPr/>
                              <wps:spPr>
                                <a:xfrm>
                                  <a:off x="805180" y="327110"/>
                                  <a:ext cx="635" cy="297257"/>
                                </a:xfrm>
                                <a:prstGeom prst="line">
                                  <a:avLst/>
                                </a:prstGeom>
                                <a:ln w="9525" cap="flat" cmpd="sng">
                                  <a:solidFill>
                                    <a:srgbClr val="000000"/>
                                  </a:solidFill>
                                  <a:prstDash val="solid"/>
                                  <a:headEnd type="none" w="med" len="med"/>
                                  <a:tailEnd type="triangle" w="med" len="med"/>
                                </a:ln>
                              </wps:spPr>
                              <wps:bodyPr/>
                            </wps:wsp>
                            <wps:wsp>
                              <wps:cNvPr id="24" name="直接连接符 10"/>
                              <wps:cNvCnPr/>
                              <wps:spPr>
                                <a:xfrm>
                                  <a:off x="817245" y="846040"/>
                                  <a:ext cx="635" cy="297257"/>
                                </a:xfrm>
                                <a:prstGeom prst="line">
                                  <a:avLst/>
                                </a:prstGeom>
                                <a:ln w="9525" cap="flat" cmpd="sng">
                                  <a:solidFill>
                                    <a:srgbClr val="000000"/>
                                  </a:solidFill>
                                  <a:prstDash val="solid"/>
                                  <a:headEnd type="none" w="med" len="med"/>
                                  <a:tailEnd type="triangle" w="med" len="med"/>
                                </a:ln>
                              </wps:spPr>
                              <wps:bodyPr/>
                            </wps:wsp>
                            <wps:wsp>
                              <wps:cNvPr id="27" name="直接连接符 11"/>
                              <wps:cNvCnPr/>
                              <wps:spPr>
                                <a:xfrm>
                                  <a:off x="815340" y="1356713"/>
                                  <a:ext cx="635" cy="297257"/>
                                </a:xfrm>
                                <a:prstGeom prst="line">
                                  <a:avLst/>
                                </a:prstGeom>
                                <a:ln w="9525" cap="flat" cmpd="sng">
                                  <a:solidFill>
                                    <a:srgbClr val="000000"/>
                                  </a:solidFill>
                                  <a:prstDash val="solid"/>
                                  <a:headEnd type="none" w="med" len="med"/>
                                  <a:tailEnd type="triangle" w="med" len="med"/>
                                </a:ln>
                              </wps:spPr>
                              <wps:bodyPr/>
                            </wps:wsp>
                            <wps:wsp>
                              <wps:cNvPr id="28" name="直接连接符 12"/>
                              <wps:cNvCnPr/>
                              <wps:spPr>
                                <a:xfrm>
                                  <a:off x="1339215" y="1774190"/>
                                  <a:ext cx="491490" cy="1270"/>
                                </a:xfrm>
                                <a:prstGeom prst="line">
                                  <a:avLst/>
                                </a:prstGeom>
                                <a:ln w="9525" cap="flat" cmpd="sng">
                                  <a:solidFill>
                                    <a:srgbClr val="000000"/>
                                  </a:solidFill>
                                  <a:prstDash val="dash"/>
                                  <a:headEnd type="none" w="med" len="med"/>
                                  <a:tailEnd type="triangle" w="sm" len="med"/>
                                </a:ln>
                              </wps:spPr>
                              <wps:bodyPr/>
                            </wps:wsp>
                            <wps:wsp>
                              <wps:cNvPr id="29" name="文本框 13"/>
                              <wps:cNvSpPr txBox="1"/>
                              <wps:spPr>
                                <a:xfrm>
                                  <a:off x="1825625" y="1663065"/>
                                  <a:ext cx="1425575" cy="232410"/>
                                </a:xfrm>
                                <a:prstGeom prst="rect">
                                  <a:avLst/>
                                </a:prstGeom>
                                <a:solidFill>
                                  <a:srgbClr val="FFFFFF"/>
                                </a:solidFill>
                                <a:ln>
                                  <a:noFill/>
                                </a:ln>
                              </wps:spPr>
                              <wps:txbx>
                                <w:txbxContent>
                                  <w:p w14:paraId="65EE87CE">
                                    <w:pPr>
                                      <w:rPr>
                                        <w:rFonts w:hint="default" w:ascii="宋体" w:hAnsi="宋体" w:eastAsia="宋体"/>
                                        <w:sz w:val="18"/>
                                        <w:szCs w:val="18"/>
                                        <w:lang w:val="en-US" w:eastAsia="zh-CN"/>
                                      </w:rPr>
                                    </w:pPr>
                                    <w:r>
                                      <w:rPr>
                                        <w:rFonts w:hint="eastAsia" w:ascii="宋体" w:hAnsi="宋体"/>
                                        <w:sz w:val="18"/>
                                        <w:szCs w:val="18"/>
                                      </w:rPr>
                                      <w:t>噪声、固体废物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wps:txbx>
                              <wps:bodyPr lIns="18000" tIns="10800" rIns="18000" bIns="10800" upright="1"/>
                            </wps:wsp>
                            <wps:wsp>
                              <wps:cNvPr id="31" name="文本框 14"/>
                              <wps:cNvSpPr txBox="1"/>
                              <wps:spPr>
                                <a:xfrm>
                                  <a:off x="315595" y="2142490"/>
                                  <a:ext cx="1036955" cy="233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CEFDB">
                                    <w:pPr>
                                      <w:spacing w:line="240" w:lineRule="atLeast"/>
                                      <w:jc w:val="center"/>
                                      <w:rPr>
                                        <w:rFonts w:ascii="宋体" w:hAnsi="宋体"/>
                                        <w:szCs w:val="21"/>
                                      </w:rPr>
                                    </w:pPr>
                                    <w:r>
                                      <w:rPr>
                                        <w:rFonts w:hint="eastAsia" w:ascii="宋体" w:hAnsi="宋体"/>
                                        <w:szCs w:val="21"/>
                                      </w:rPr>
                                      <w:t>设备安装调试</w:t>
                                    </w:r>
                                  </w:p>
                                </w:txbxContent>
                              </wps:txbx>
                              <wps:bodyPr lIns="18000" tIns="10800" rIns="18000" bIns="10800" upright="1"/>
                            </wps:wsp>
                            <wps:wsp>
                              <wps:cNvPr id="33" name="直接连接符 15"/>
                              <wps:cNvCnPr/>
                              <wps:spPr>
                                <a:xfrm>
                                  <a:off x="820420" y="1863725"/>
                                  <a:ext cx="635" cy="297180"/>
                                </a:xfrm>
                                <a:prstGeom prst="line">
                                  <a:avLst/>
                                </a:prstGeom>
                                <a:ln w="9525" cap="flat" cmpd="sng">
                                  <a:solidFill>
                                    <a:srgbClr val="000000"/>
                                  </a:solidFill>
                                  <a:prstDash val="solid"/>
                                  <a:headEnd type="none" w="med" len="med"/>
                                  <a:tailEnd type="triangle" w="med" len="med"/>
                                </a:ln>
                              </wps:spPr>
                              <wps:bodyPr/>
                            </wps:wsp>
                            <wps:wsp>
                              <wps:cNvPr id="34" name="文本框 16"/>
                              <wps:cNvSpPr txBox="1"/>
                              <wps:spPr>
                                <a:xfrm>
                                  <a:off x="287655" y="93345"/>
                                  <a:ext cx="102870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9D65E">
                                    <w:pPr>
                                      <w:spacing w:line="240" w:lineRule="atLeast"/>
                                      <w:jc w:val="center"/>
                                      <w:rPr>
                                        <w:rFonts w:ascii="宋体" w:hAnsi="宋体"/>
                                        <w:szCs w:val="21"/>
                                      </w:rPr>
                                    </w:pPr>
                                    <w:r>
                                      <w:rPr>
                                        <w:rFonts w:hint="eastAsia" w:ascii="宋体" w:hAnsi="宋体"/>
                                        <w:szCs w:val="21"/>
                                      </w:rPr>
                                      <w:t>施工准备</w:t>
                                    </w:r>
                                  </w:p>
                                </w:txbxContent>
                              </wps:txbx>
                              <wps:bodyPr lIns="18000" tIns="10800" rIns="18000" bIns="10800" upright="1"/>
                            </wps:wsp>
                            <wps:wsp>
                              <wps:cNvPr id="35" name="文本框 17"/>
                              <wps:cNvSpPr txBox="1"/>
                              <wps:spPr>
                                <a:xfrm>
                                  <a:off x="294005" y="618016"/>
                                  <a:ext cx="1028700" cy="215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8B47A2">
                                    <w:pPr>
                                      <w:spacing w:line="240" w:lineRule="atLeast"/>
                                      <w:jc w:val="center"/>
                                      <w:rPr>
                                        <w:rFonts w:ascii="宋体" w:hAnsi="宋体"/>
                                        <w:szCs w:val="21"/>
                                      </w:rPr>
                                    </w:pPr>
                                    <w:r>
                                      <w:rPr>
                                        <w:rFonts w:hint="eastAsia" w:ascii="宋体" w:hAnsi="宋体"/>
                                        <w:szCs w:val="21"/>
                                      </w:rPr>
                                      <w:t>场地平整</w:t>
                                    </w:r>
                                  </w:p>
                                </w:txbxContent>
                              </wps:txbx>
                              <wps:bodyPr lIns="18000" tIns="10800" rIns="18000" bIns="10800" upright="1"/>
                            </wps:wsp>
                            <wps:wsp>
                              <wps:cNvPr id="36" name="文本框 18"/>
                              <wps:cNvSpPr txBox="1"/>
                              <wps:spPr>
                                <a:xfrm>
                                  <a:off x="294005" y="1132500"/>
                                  <a:ext cx="1028700" cy="215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2CF38">
                                    <w:pPr>
                                      <w:spacing w:line="240" w:lineRule="atLeast"/>
                                      <w:jc w:val="center"/>
                                      <w:rPr>
                                        <w:rFonts w:ascii="宋体" w:hAnsi="宋体"/>
                                        <w:szCs w:val="21"/>
                                      </w:rPr>
                                    </w:pPr>
                                    <w:r>
                                      <w:rPr>
                                        <w:rFonts w:hint="eastAsia" w:ascii="宋体" w:hAnsi="宋体"/>
                                        <w:szCs w:val="21"/>
                                      </w:rPr>
                                      <w:t>基础开挖</w:t>
                                    </w:r>
                                  </w:p>
                                </w:txbxContent>
                              </wps:txbx>
                              <wps:bodyPr lIns="18000" tIns="10800" rIns="18000" bIns="10800" upright="1"/>
                            </wps:wsp>
                            <wps:wsp>
                              <wps:cNvPr id="39" name="文本框 19"/>
                              <wps:cNvSpPr txBox="1"/>
                              <wps:spPr>
                                <a:xfrm>
                                  <a:off x="327025" y="2692400"/>
                                  <a:ext cx="102870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C072F">
                                    <w:pPr>
                                      <w:spacing w:line="240" w:lineRule="atLeast"/>
                                      <w:jc w:val="center"/>
                                      <w:rPr>
                                        <w:rFonts w:ascii="宋体" w:hAnsi="宋体"/>
                                        <w:szCs w:val="21"/>
                                      </w:rPr>
                                    </w:pPr>
                                    <w:r>
                                      <w:rPr>
                                        <w:rFonts w:hint="eastAsia" w:ascii="宋体" w:hAnsi="宋体"/>
                                        <w:szCs w:val="21"/>
                                      </w:rPr>
                                      <w:t>工程运行</w:t>
                                    </w:r>
                                  </w:p>
                                </w:txbxContent>
                              </wps:txbx>
                              <wps:bodyPr lIns="18000" tIns="10800" rIns="18000" bIns="10800" upright="1"/>
                            </wps:wsp>
                            <wps:wsp>
                              <wps:cNvPr id="40" name="直接连接符 20"/>
                              <wps:cNvCnPr/>
                              <wps:spPr>
                                <a:xfrm>
                                  <a:off x="1351915" y="2255520"/>
                                  <a:ext cx="482600" cy="0"/>
                                </a:xfrm>
                                <a:prstGeom prst="line">
                                  <a:avLst/>
                                </a:prstGeom>
                                <a:ln w="9525" cap="flat" cmpd="sng">
                                  <a:solidFill>
                                    <a:srgbClr val="000000"/>
                                  </a:solidFill>
                                  <a:prstDash val="dash"/>
                                  <a:headEnd type="none" w="med" len="med"/>
                                  <a:tailEnd type="triangle" w="sm" len="med"/>
                                </a:ln>
                              </wps:spPr>
                              <wps:bodyPr/>
                            </wps:wsp>
                            <wps:wsp>
                              <wps:cNvPr id="41" name="文本框 21"/>
                              <wps:cNvSpPr txBox="1"/>
                              <wps:spPr>
                                <a:xfrm>
                                  <a:off x="1898650" y="2710180"/>
                                  <a:ext cx="1143000" cy="228600"/>
                                </a:xfrm>
                                <a:prstGeom prst="rect">
                                  <a:avLst/>
                                </a:prstGeom>
                                <a:solidFill>
                                  <a:srgbClr val="FFFFFF"/>
                                </a:solidFill>
                                <a:ln>
                                  <a:noFill/>
                                </a:ln>
                              </wps:spPr>
                              <wps:txbx>
                                <w:txbxContent>
                                  <w:p w14:paraId="3635B023">
                                    <w:pPr>
                                      <w:rPr>
                                        <w:rFonts w:ascii="宋体" w:hAnsi="宋体"/>
                                        <w:sz w:val="18"/>
                                        <w:szCs w:val="18"/>
                                      </w:rPr>
                                    </w:pPr>
                                    <w:r>
                                      <w:rPr>
                                        <w:rFonts w:hint="eastAsia" w:ascii="宋体" w:hAnsi="宋体"/>
                                        <w:sz w:val="18"/>
                                        <w:szCs w:val="18"/>
                                      </w:rPr>
                                      <w:t>电磁环境影响、噪声</w:t>
                                    </w:r>
                                  </w:p>
                                </w:txbxContent>
                              </wps:txbx>
                              <wps:bodyPr lIns="18000" tIns="10800" rIns="18000" bIns="10800" upright="1"/>
                            </wps:wsp>
                            <wps:wsp>
                              <wps:cNvPr id="43" name="直接连接符 15"/>
                              <wps:cNvCnPr/>
                              <wps:spPr>
                                <a:xfrm>
                                  <a:off x="825500" y="2370455"/>
                                  <a:ext cx="635" cy="297180"/>
                                </a:xfrm>
                                <a:prstGeom prst="line">
                                  <a:avLst/>
                                </a:prstGeom>
                                <a:ln w="9525" cap="flat" cmpd="sng">
                                  <a:solidFill>
                                    <a:srgbClr val="000000"/>
                                  </a:solidFill>
                                  <a:prstDash val="solid"/>
                                  <a:headEnd type="none" w="med" len="med"/>
                                  <a:tailEnd type="triangle" w="med" len="med"/>
                                </a:ln>
                              </wps:spPr>
                              <wps:bodyPr/>
                            </wps:wsp>
                            <wps:wsp>
                              <wps:cNvPr id="45" name="直接连接符 20"/>
                              <wps:cNvCnPr/>
                              <wps:spPr>
                                <a:xfrm>
                                  <a:off x="1396365" y="2836545"/>
                                  <a:ext cx="482600" cy="0"/>
                                </a:xfrm>
                                <a:prstGeom prst="line">
                                  <a:avLst/>
                                </a:prstGeom>
                                <a:ln w="9525" cap="flat" cmpd="sng">
                                  <a:solidFill>
                                    <a:srgbClr val="000000"/>
                                  </a:solidFill>
                                  <a:prstDash val="dash"/>
                                  <a:headEnd type="none" w="med" len="med"/>
                                  <a:tailEnd type="triangle" w="sm" len="med"/>
                                </a:ln>
                              </wps:spPr>
                              <wps:bodyPr/>
                            </wps:wsp>
                            <wps:wsp>
                              <wps:cNvPr id="48" name="文本框 13"/>
                              <wps:cNvSpPr txBox="1"/>
                              <wps:spPr>
                                <a:xfrm>
                                  <a:off x="1852930" y="2137410"/>
                                  <a:ext cx="1425575" cy="232410"/>
                                </a:xfrm>
                                <a:prstGeom prst="rect">
                                  <a:avLst/>
                                </a:prstGeom>
                                <a:solidFill>
                                  <a:srgbClr val="FFFFFF"/>
                                </a:solidFill>
                                <a:ln>
                                  <a:noFill/>
                                </a:ln>
                              </wps:spPr>
                              <wps:txbx>
                                <w:txbxContent>
                                  <w:p w14:paraId="59615827">
                                    <w:pPr>
                                      <w:rPr>
                                        <w:rFonts w:hint="default" w:ascii="宋体" w:hAnsi="宋体" w:eastAsia="宋体"/>
                                        <w:sz w:val="18"/>
                                        <w:szCs w:val="18"/>
                                        <w:lang w:val="en-US" w:eastAsia="zh-CN"/>
                                      </w:rPr>
                                    </w:pPr>
                                    <w:r>
                                      <w:rPr>
                                        <w:rFonts w:hint="eastAsia" w:ascii="宋体" w:hAnsi="宋体"/>
                                        <w:sz w:val="18"/>
                                        <w:szCs w:val="18"/>
                                      </w:rPr>
                                      <w:t>噪声、固体废物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wps:txbx>
                              <wps:bodyPr lIns="18000" tIns="10800" rIns="18000" bIns="10800" upright="1"/>
                            </wps:wsp>
                            <wps:wsp>
                              <wps:cNvPr id="69" name="文本框 69"/>
                              <wps:cNvSpPr txBox="1"/>
                              <wps:spPr>
                                <a:xfrm>
                                  <a:off x="306705" y="1651000"/>
                                  <a:ext cx="1036955" cy="233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CBB90">
                                    <w:pPr>
                                      <w:spacing w:line="240" w:lineRule="atLeast"/>
                                      <w:jc w:val="center"/>
                                      <w:rPr>
                                        <w:rFonts w:hint="default" w:ascii="宋体" w:hAnsi="宋体" w:eastAsia="宋体"/>
                                        <w:szCs w:val="21"/>
                                        <w:lang w:val="en-US" w:eastAsia="zh-CN"/>
                                      </w:rPr>
                                    </w:pPr>
                                    <w:r>
                                      <w:rPr>
                                        <w:rFonts w:hint="eastAsia" w:ascii="宋体" w:hAnsi="宋体"/>
                                        <w:szCs w:val="21"/>
                                        <w:lang w:val="en-US" w:eastAsia="zh-CN"/>
                                      </w:rPr>
                                      <w:t>建筑物施工</w:t>
                                    </w:r>
                                  </w:p>
                                </w:txbxContent>
                              </wps:txbx>
                              <wps:bodyPr lIns="18000" tIns="10800" rIns="18000" bIns="10800" upright="1"/>
                            </wps:wsp>
                          </wpc:wpc>
                        </a:graphicData>
                      </a:graphic>
                    </wp:inline>
                  </w:drawing>
                </mc:Choice>
                <mc:Fallback>
                  <w:pict>
                    <v:group id="_x0000_s1026" o:spid="_x0000_s1026" o:spt="203" style="height:239pt;width:381.2pt;" coordsize="4841240,3035300" editas="canvas" o:gfxdata="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">
                      <o:lock v:ext="edit" aspectratio="f"/>
                      <v:shape id="_x0000_s1026" o:spid="_x0000_s1026" style="position:absolute;left:0;top:0;height:3035300;width:4841240;" filled="f" stroked="f" coordsize="21600,21600" o:gfxdata="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TI9j0NcAAAAFAQAADwAAAAAAAAABACAAAAAiAAAAZHJzL2Rv&#10;d25yZXYueG1sUEsBAhQAFAAAAAgAh07iQCppQxHLBQAAzC8AAA4AAAAAAAAAAQAgAAAAJgEAAGRy&#10;cy9lMm9Eb2MueG1sUEsFBgAAAAAGAAYAWQEAAGMJAAAAAA==&#10;">
                        <v:fill on="f" focussize="0,0"/>
                        <v:stroke on="f"/>
                        <v:imagedata o:title=""/>
                        <o:lock v:ext="edit" aspectratio="t"/>
                      </v:shape>
                      <v:line id="直接连接符 5" o:spid="_x0000_s1026" o:spt="20" style="position:absolute;left:1320800;top:722818;height:1270;width:491490;" filled="f" stroked="t" coordsize="21600,21600" o:gfxdata="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D2WmHXAAAABQEAAA8AAAAAAAAAAQAgAAAAIgAAAGRy&#10;cy9kb3ducmV2LnhtbFBLAQIUABQAAAAIAIdO4kA9hUS5BgIAAOcDAAAOAAAAAAAAAAEAIAAAACYB&#10;AABkcnMvZTJvRG9jLnhtbFBLBQYAAAAABgAGAFkBAACeBQAAAAA=&#10;">
                        <v:fill on="f" focussize="0,0"/>
                        <v:stroke color="#000000" joinstyle="round" dashstyle="dash" endarrow="block" endarrowwidth="narrow"/>
                        <v:imagedata o:title=""/>
                        <o:lock v:ext="edit" aspectratio="f"/>
                      </v:line>
                      <v:shape id="文本框 6" o:spid="_x0000_s1026" o:spt="202" type="#_x0000_t202" style="position:absolute;left:1810385;top:1144905;height:254000;width:2806700;" fillcolor="#FFFFFF" filled="t" stroked="f" coordsize="21600,21600" o:gfxdata="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mJYJ0wAAAAUBAAAPAAAAAAAA&#10;AAEAIAAAACIAAABkcnMvZG93bnJldi54bWxQSwECFAAUAAAACACHTuJAJ6Scz94BAAC3AwAADgAA&#10;AAAAAAABACAAAAAiAQAAZHJzL2Uyb0RvYy54bWxQSwUGAAAAAAYABgBZAQAAcgUAAAAA&#10;">
                        <v:fill on="t" focussize="0,0"/>
                        <v:stroke on="f"/>
                        <v:imagedata o:title=""/>
                        <o:lock v:ext="edit" aspectratio="f"/>
                        <v:textbox inset="0.5mm,0.3mm,0.5mm,0.3mm">
                          <w:txbxContent>
                            <w:p w14:paraId="65D8AE07">
                              <w:pPr>
                                <w:rPr>
                                  <w:rFonts w:hint="default" w:ascii="宋体" w:hAnsi="宋体" w:eastAsia="宋体"/>
                                  <w:sz w:val="18"/>
                                  <w:szCs w:val="18"/>
                                  <w:lang w:val="en-US" w:eastAsia="zh-CN"/>
                                </w:rPr>
                              </w:pPr>
                              <w:r>
                                <w:rPr>
                                  <w:rFonts w:hint="eastAsia" w:ascii="宋体" w:hAnsi="宋体"/>
                                  <w:sz w:val="18"/>
                                  <w:szCs w:val="18"/>
                                </w:rPr>
                                <w:t>生态影响、施工噪声、施工扬尘、固体废物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v:textbox>
                      </v:shape>
                      <v:line id="直接连接符 7" o:spid="_x0000_s1026" o:spt="20" style="position:absolute;left:1325880;top:1236667;height:1905;width:490220;" filled="f" stroked="t" coordsize="21600,21600" o:gfxdata="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D2WmHXAAAABQEAAA8AAAAAAAAAAQAgAAAAIgAAAGRycy9k&#10;b3ducmV2LnhtbFBLAQIUABQAAAAIAIdO4kD3q3ViAwIAAOgDAAAOAAAAAAAAAAEAIAAAACYBAABk&#10;cnMvZTJvRG9jLnhtbFBLBQYAAAAABgAGAFkBAACbBQAAAAA=&#10;">
                        <v:fill on="f" focussize="0,0"/>
                        <v:stroke color="#000000" joinstyle="round" dashstyle="dash" endarrow="block" endarrowwidth="narrow"/>
                        <v:imagedata o:title=""/>
                        <o:lock v:ext="edit" aspectratio="f"/>
                      </v:line>
                      <v:shape id="文本框 8" o:spid="_x0000_s1026" o:spt="202" type="#_x0000_t202" style="position:absolute;left:1811655;top:619125;height:238760;width:2287270;" fillcolor="#FFFFFF" filled="t" stroked="f" coordsize="21600,21600" o:gfxdata="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YlgnTAAAABQEAAA8A&#10;AAAAAAAAAQAgAAAAIgAAAGRycy9kb3ducmV2LnhtbFBLAQIUABQAAAAIAIdO4kAPGXl34wEAALcD&#10;AAAOAAAAAAAAAAEAIAAAACIBAABkcnMvZTJvRG9jLnhtbFBLBQYAAAAABgAGAFkBAAB3BQAAAAA=&#10;">
                        <v:fill on="t" focussize="0,0"/>
                        <v:stroke on="f"/>
                        <v:imagedata o:title=""/>
                        <o:lock v:ext="edit" aspectratio="f"/>
                        <v:textbox inset="0.5mm,0.3mm,0.5mm,0.3mm">
                          <w:txbxContent>
                            <w:p w14:paraId="52F8DB7A">
                              <w:pPr>
                                <w:rPr>
                                  <w:rFonts w:hint="default" w:ascii="宋体" w:hAnsi="宋体" w:eastAsia="宋体"/>
                                  <w:sz w:val="18"/>
                                  <w:szCs w:val="18"/>
                                  <w:lang w:val="en-US" w:eastAsia="zh-CN"/>
                                </w:rPr>
                              </w:pPr>
                              <w:r>
                                <w:rPr>
                                  <w:rFonts w:hint="eastAsia" w:ascii="宋体" w:hAnsi="宋体"/>
                                  <w:sz w:val="18"/>
                                  <w:szCs w:val="18"/>
                                </w:rPr>
                                <w:t>施工噪声、施工扬尘、生态影响</w:t>
                              </w:r>
                              <w:r>
                                <w:rPr>
                                  <w:rFonts w:hint="eastAsia" w:ascii="宋体" w:hAnsi="宋体"/>
                                  <w:sz w:val="18"/>
                                  <w:szCs w:val="18"/>
                                  <w:lang w:eastAsia="zh-CN"/>
                                </w:rPr>
                                <w:t>、</w:t>
                              </w:r>
                              <w:r>
                                <w:rPr>
                                  <w:rFonts w:hint="eastAsia" w:ascii="宋体" w:hAnsi="宋体"/>
                                  <w:sz w:val="18"/>
                                  <w:szCs w:val="18"/>
                                  <w:lang w:val="en-US" w:eastAsia="zh-CN"/>
                                </w:rPr>
                                <w:t>生活污水</w:t>
                              </w:r>
                            </w:p>
                          </w:txbxContent>
                        </v:textbox>
                      </v:shape>
                      <v:line id="直接连接符 9" o:spid="_x0000_s1026" o:spt="20" style="position:absolute;left:805180;top:327110;height:297257;width:635;" filled="f" stroked="t" coordsize="21600,21600" o:gfxdata="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H//s/XAAAABQEAAA8AAAAAAAAAAQAgAAAAIgAAAGRycy9kb3du&#10;cmV2LnhtbFBLAQIUABQAAAAIAIdO4kDdGJ//AAIAAOgDAAAOAAAAAAAAAAEAIAAAACYBAABkcnMv&#10;ZTJvRG9jLnhtbFBLBQYAAAAABgAGAFkBAACYBQAAAAA=&#10;">
                        <v:fill on="f" focussize="0,0"/>
                        <v:stroke color="#000000" joinstyle="round" endarrow="block"/>
                        <v:imagedata o:title=""/>
                        <o:lock v:ext="edit" aspectratio="f"/>
                      </v:line>
                      <v:line id="直接连接符 10" o:spid="_x0000_s1026" o:spt="20" style="position:absolute;left:817245;top:846040;height:297257;width:635;" filled="f" stroked="t" coordsize="21600,21600" o:gfxdata="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f/+z9cAAAAFAQAADwAAAAAAAAABACAAAAAiAAAAZHJzL2Rvd25y&#10;ZXYueG1sUEsBAhQAFAAAAAgAh07iQL8cZQT/AQAA6QMAAA4AAAAAAAAAAQAgAAAAJgEAAGRycy9l&#10;Mm9Eb2MueG1sUEsFBgAAAAAGAAYAWQEAAJcFAAAAAA==&#10;">
                        <v:fill on="f" focussize="0,0"/>
                        <v:stroke color="#000000" joinstyle="round" endarrow="block"/>
                        <v:imagedata o:title=""/>
                        <o:lock v:ext="edit" aspectratio="f"/>
                      </v:line>
                      <v:line id="直接连接符 11" o:spid="_x0000_s1026" o:spt="20" style="position:absolute;left:815340;top:1356713;height:297257;width:635;" filled="f" stroked="t" coordsize="21600,21600" o:gfxdata="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H//s/XAAAABQEAAA8AAAAAAAAAAQAgAAAAIgAAAGRycy9k&#10;b3ducmV2LnhtbFBLAQIUABQAAAAIAIdO4kCGyuTOAwIAAOoDAAAOAAAAAAAAAAEAIAAAACYBAABk&#10;cnMvZTJvRG9jLnhtbFBLBQYAAAAABgAGAFkBAACbBQAAAAA=&#10;">
                        <v:fill on="f" focussize="0,0"/>
                        <v:stroke color="#000000" joinstyle="round" endarrow="block"/>
                        <v:imagedata o:title=""/>
                        <o:lock v:ext="edit" aspectratio="f"/>
                      </v:line>
                      <v:line id="直接连接符 12" o:spid="_x0000_s1026" o:spt="20" style="position:absolute;left:1339215;top:1774190;height:1270;width:491490;" filled="f" stroked="t" coordsize="21600,21600" o:gfxdata="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&#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D2WmHXAAAABQEAAA8AAAAAAAAAAQAgAAAAIgAAAGRy&#10;cy9kb3ducmV2LnhtbFBLAQIUABQAAAAIAIdO4kCwJ6vGBgIAAOoDAAAOAAAAAAAAAAEAIAAAACYB&#10;AABkcnMvZTJvRG9jLnhtbFBLBQYAAAAABgAGAFkBAACeBQAAAAA=&#10;">
                        <v:fill on="f" focussize="0,0"/>
                        <v:stroke color="#000000" joinstyle="round" dashstyle="dash" endarrow="block" endarrowwidth="narrow"/>
                        <v:imagedata o:title=""/>
                        <o:lock v:ext="edit" aspectratio="f"/>
                      </v:line>
                      <v:shape id="文本框 13" o:spid="_x0000_s1026" o:spt="202" type="#_x0000_t202" style="position:absolute;left:1825625;top:1663065;height:232410;width:1425575;" fillcolor="#FFFFFF" filled="t" stroked="f" coordsize="21600,21600" o:gfxdata="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JiWCdMAAAAFAQAA&#10;DwAAAAAAAAABACAAAAAiAAAAZHJzL2Rvd25yZXYueG1sUEsBAhQAFAAAAAgAh07iQHH6a0/lAQAA&#10;uQMAAA4AAAAAAAAAAQAgAAAAIgEAAGRycy9lMm9Eb2MueG1sUEsFBgAAAAAGAAYAWQEAAHkFAAAA&#10;AA==&#10;">
                        <v:fill on="t" focussize="0,0"/>
                        <v:stroke on="f"/>
                        <v:imagedata o:title=""/>
                        <o:lock v:ext="edit" aspectratio="f"/>
                        <v:textbox inset="0.5mm,0.3mm,0.5mm,0.3mm">
                          <w:txbxContent>
                            <w:p w14:paraId="65EE87CE">
                              <w:pPr>
                                <w:rPr>
                                  <w:rFonts w:hint="default" w:ascii="宋体" w:hAnsi="宋体" w:eastAsia="宋体"/>
                                  <w:sz w:val="18"/>
                                  <w:szCs w:val="18"/>
                                  <w:lang w:val="en-US" w:eastAsia="zh-CN"/>
                                </w:rPr>
                              </w:pPr>
                              <w:r>
                                <w:rPr>
                                  <w:rFonts w:hint="eastAsia" w:ascii="宋体" w:hAnsi="宋体"/>
                                  <w:sz w:val="18"/>
                                  <w:szCs w:val="18"/>
                                </w:rPr>
                                <w:t>噪声、固体废物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v:textbox>
                      </v:shape>
                      <v:shape id="文本框 14" o:spid="_x0000_s1026" o:spt="202" type="#_x0000_t202" style="position:absolute;left:315595;top:2142490;height:233045;width:1036955;"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YYH81QAAAAUBAAAPAAAAAAAAAAEAIAAAACIAAABkcnMvZG93bnJldi54bWxQSwECFAAU&#10;AAAACACHTuJAL5MV1y0CAAB3BAAADgAAAAAAAAABACAAAAAkAQAAZHJzL2Uyb0RvYy54bWxQSwUG&#10;AAAAAAYABgBZAQAAwwUAAAAA&#10;">
                        <v:fill on="t" focussize="0,0"/>
                        <v:stroke color="#000000" joinstyle="miter"/>
                        <v:imagedata o:title=""/>
                        <o:lock v:ext="edit" aspectratio="f"/>
                        <v:textbox inset="0.5mm,0.3mm,0.5mm,0.3mm">
                          <w:txbxContent>
                            <w:p w14:paraId="5BCCEFDB">
                              <w:pPr>
                                <w:spacing w:line="240" w:lineRule="atLeast"/>
                                <w:jc w:val="center"/>
                                <w:rPr>
                                  <w:rFonts w:ascii="宋体" w:hAnsi="宋体"/>
                                  <w:szCs w:val="21"/>
                                </w:rPr>
                              </w:pPr>
                              <w:r>
                                <w:rPr>
                                  <w:rFonts w:hint="eastAsia" w:ascii="宋体" w:hAnsi="宋体"/>
                                  <w:szCs w:val="21"/>
                                </w:rPr>
                                <w:t>设备安装调试</w:t>
                              </w:r>
                            </w:p>
                          </w:txbxContent>
                        </v:textbox>
                      </v:shape>
                      <v:line id="直接连接符 15" o:spid="_x0000_s1026" o:spt="20" style="position:absolute;left:820420;top:1863725;height:297180;width:635;" filled="f" stroked="t" coordsize="21600,21600" o:gfxdata="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H//s/XAAAABQEAAA8AAAAAAAAAAQAgAAAAIgAAAGRy&#10;cy9kb3ducmV2LnhtbFBLAQIUABQAAAAIAIdO4kBEXbWNBgIAAOoDAAAOAAAAAAAAAAEAIAAAACYB&#10;AABkcnMvZTJvRG9jLnhtbFBLBQYAAAAABgAGAFkBAACeBQAAAAA=&#10;">
                        <v:fill on="f" focussize="0,0"/>
                        <v:stroke color="#000000" joinstyle="round" endarrow="block"/>
                        <v:imagedata o:title=""/>
                        <o:lock v:ext="edit" aspectratio="f"/>
                      </v:line>
                      <v:shape id="文本框 16" o:spid="_x0000_s1026" o:spt="202" type="#_x0000_t202" style="position:absolute;left:287655;top:93345;height:215900;width:1028700;"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BhgfzVAAAABQEAAA8AAAAAAAAAAQAgAAAAIgAAAGRycy9kb3ducmV2LnhtbFBLAQIUABQA&#10;AAAIAIdO4kArS58zLAIAAHUEAAAOAAAAAAAAAAEAIAAAACQBAABkcnMvZTJvRG9jLnhtbFBLBQYA&#10;AAAABgAGAFkBAADCBQAAAAA=&#10;">
                        <v:fill on="t" focussize="0,0"/>
                        <v:stroke color="#000000" joinstyle="miter"/>
                        <v:imagedata o:title=""/>
                        <o:lock v:ext="edit" aspectratio="f"/>
                        <v:textbox inset="0.5mm,0.3mm,0.5mm,0.3mm">
                          <w:txbxContent>
                            <w:p w14:paraId="1719D65E">
                              <w:pPr>
                                <w:spacing w:line="240" w:lineRule="atLeast"/>
                                <w:jc w:val="center"/>
                                <w:rPr>
                                  <w:rFonts w:ascii="宋体" w:hAnsi="宋体"/>
                                  <w:szCs w:val="21"/>
                                </w:rPr>
                              </w:pPr>
                              <w:r>
                                <w:rPr>
                                  <w:rFonts w:hint="eastAsia" w:ascii="宋体" w:hAnsi="宋体"/>
                                  <w:szCs w:val="21"/>
                                </w:rPr>
                                <w:t>施工准备</w:t>
                              </w:r>
                            </w:p>
                          </w:txbxContent>
                        </v:textbox>
                      </v:shape>
                      <v:shape id="文本框 17" o:spid="_x0000_s1026" o:spt="202" type="#_x0000_t202" style="position:absolute;left:294005;top:618016;height:215956;width:1028700;"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YYH81QAAAAUBAAAPAAAAAAAAAAEAIAAAACIAAABkcnMvZG93bnJldi54bWxQSwECFAAU&#10;AAAACACHTuJABsimay0CAAB2BAAADgAAAAAAAAABACAAAAAkAQAAZHJzL2Uyb0RvYy54bWxQSwUG&#10;AAAAAAYABgBZAQAAwwUAAAAA&#10;">
                        <v:fill on="t" focussize="0,0"/>
                        <v:stroke color="#000000" joinstyle="miter"/>
                        <v:imagedata o:title=""/>
                        <o:lock v:ext="edit" aspectratio="f"/>
                        <v:textbox inset="0.5mm,0.3mm,0.5mm,0.3mm">
                          <w:txbxContent>
                            <w:p w14:paraId="5D8B47A2">
                              <w:pPr>
                                <w:spacing w:line="240" w:lineRule="atLeast"/>
                                <w:jc w:val="center"/>
                                <w:rPr>
                                  <w:rFonts w:ascii="宋体" w:hAnsi="宋体"/>
                                  <w:szCs w:val="21"/>
                                </w:rPr>
                              </w:pPr>
                              <w:r>
                                <w:rPr>
                                  <w:rFonts w:hint="eastAsia" w:ascii="宋体" w:hAnsi="宋体"/>
                                  <w:szCs w:val="21"/>
                                </w:rPr>
                                <w:t>场地平整</w:t>
                              </w:r>
                            </w:p>
                          </w:txbxContent>
                        </v:textbox>
                      </v:shape>
                      <v:shape id="文本框 18" o:spid="_x0000_s1026" o:spt="202" type="#_x0000_t202" style="position:absolute;left:294005;top:1132500;height:215956;width:1028700;"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YYH81QAAAAUBAAAPAAAAAAAAAAEAIAAAACIAAABkcnMvZG93bnJldi54bWxQSwECFAAU&#10;AAAACACHTuJAmxK/1C0CAAB3BAAADgAAAAAAAAABACAAAAAkAQAAZHJzL2Uyb0RvYy54bWxQSwUG&#10;AAAAAAYABgBZAQAAwwUAAAAA&#10;">
                        <v:fill on="t" focussize="0,0"/>
                        <v:stroke color="#000000" joinstyle="miter"/>
                        <v:imagedata o:title=""/>
                        <o:lock v:ext="edit" aspectratio="f"/>
                        <v:textbox inset="0.5mm,0.3mm,0.5mm,0.3mm">
                          <w:txbxContent>
                            <w:p w14:paraId="56D2CF38">
                              <w:pPr>
                                <w:spacing w:line="240" w:lineRule="atLeast"/>
                                <w:jc w:val="center"/>
                                <w:rPr>
                                  <w:rFonts w:ascii="宋体" w:hAnsi="宋体"/>
                                  <w:szCs w:val="21"/>
                                </w:rPr>
                              </w:pPr>
                              <w:r>
                                <w:rPr>
                                  <w:rFonts w:hint="eastAsia" w:ascii="宋体" w:hAnsi="宋体"/>
                                  <w:szCs w:val="21"/>
                                </w:rPr>
                                <w:t>基础开挖</w:t>
                              </w:r>
                            </w:p>
                          </w:txbxContent>
                        </v:textbox>
                      </v:shape>
                      <v:shape id="文本框 19" o:spid="_x0000_s1026" o:spt="202" type="#_x0000_t202" style="position:absolute;left:327025;top:2692400;height:215900;width:1028700;"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GGB/NUAAAAFAQAADwAAAAAAAAABACAAAAAiAAAAZHJzL2Rvd25yZXYueG1sUEsBAhQA&#10;FAAAAAgAh07iQCRtf1suAgAAdwQAAA4AAAAAAAAAAQAgAAAAJAEAAGRycy9lMm9Eb2MueG1sUEsF&#10;BgAAAAAGAAYAWQEAAMQFAAAAAA==&#10;">
                        <v:fill on="t" focussize="0,0"/>
                        <v:stroke color="#000000" joinstyle="miter"/>
                        <v:imagedata o:title=""/>
                        <o:lock v:ext="edit" aspectratio="f"/>
                        <v:textbox inset="0.5mm,0.3mm,0.5mm,0.3mm">
                          <w:txbxContent>
                            <w:p w14:paraId="5E5C072F">
                              <w:pPr>
                                <w:spacing w:line="240" w:lineRule="atLeast"/>
                                <w:jc w:val="center"/>
                                <w:rPr>
                                  <w:rFonts w:ascii="宋体" w:hAnsi="宋体"/>
                                  <w:szCs w:val="21"/>
                                </w:rPr>
                              </w:pPr>
                              <w:r>
                                <w:rPr>
                                  <w:rFonts w:hint="eastAsia" w:ascii="宋体" w:hAnsi="宋体"/>
                                  <w:szCs w:val="21"/>
                                </w:rPr>
                                <w:t>工程运行</w:t>
                              </w:r>
                            </w:p>
                          </w:txbxContent>
                        </v:textbox>
                      </v:shape>
                      <v:line id="直接连接符 20" o:spid="_x0000_s1026" o:spt="20" style="position:absolute;left:1351915;top:2255520;height:0;width:482600;" filled="f" stroked="t" coordsize="21600,21600" o:gfxdata="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9lph1wAAAAUBAAAPAAAAAAAAAAEAIAAAACIAAABkcnMv&#10;ZG93bnJldi54bWxQSwECFAAUAAAACACHTuJAZ5vI+AQCAADnAwAADgAAAAAAAAABACAAAAAmAQAA&#10;ZHJzL2Uyb0RvYy54bWxQSwUGAAAAAAYABgBZAQAAnAUAAAAA&#10;">
                        <v:fill on="f" focussize="0,0"/>
                        <v:stroke color="#000000" joinstyle="round" dashstyle="dash" endarrow="block" endarrowwidth="narrow"/>
                        <v:imagedata o:title=""/>
                        <o:lock v:ext="edit" aspectratio="f"/>
                      </v:line>
                      <v:shape id="文本框 21" o:spid="_x0000_s1026" o:spt="202" type="#_x0000_t202" style="position:absolute;left:1898650;top:2710180;height:228600;width:1143000;" fillcolor="#FFFFFF" filled="t" stroked="f" coordsize="21600,21600" o:gfxdata="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mJYJ0wAAAAUBAAAPAAAAAAAA&#10;AAEAIAAAACIAAABkcnMvZG93bnJldi54bWxQSwECFAAUAAAACACHTuJAQz3pF94BAAC5AwAADgAA&#10;AAAAAAABACAAAAAiAQAAZHJzL2Uyb0RvYy54bWxQSwUGAAAAAAYABgBZAQAAcgUAAAAA&#10;">
                        <v:fill on="t" focussize="0,0"/>
                        <v:stroke on="f"/>
                        <v:imagedata o:title=""/>
                        <o:lock v:ext="edit" aspectratio="f"/>
                        <v:textbox inset="0.5mm,0.3mm,0.5mm,0.3mm">
                          <w:txbxContent>
                            <w:p w14:paraId="3635B023">
                              <w:pPr>
                                <w:rPr>
                                  <w:rFonts w:ascii="宋体" w:hAnsi="宋体"/>
                                  <w:sz w:val="18"/>
                                  <w:szCs w:val="18"/>
                                </w:rPr>
                              </w:pPr>
                              <w:r>
                                <w:rPr>
                                  <w:rFonts w:hint="eastAsia" w:ascii="宋体" w:hAnsi="宋体"/>
                                  <w:sz w:val="18"/>
                                  <w:szCs w:val="18"/>
                                </w:rPr>
                                <w:t>电磁环境影响、噪声</w:t>
                              </w:r>
                            </w:p>
                          </w:txbxContent>
                        </v:textbox>
                      </v:shape>
                      <v:line id="直接连接符 15" o:spid="_x0000_s1026" o:spt="20" style="position:absolute;left:825500;top:2370455;height:297180;width:635;" filled="f" stroked="t" coordsize="21600,21600" o:gfxdata="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f/+z9cAAAAFAQAADwAAAAAAAAABACAAAAAiAAAAZHJz&#10;L2Rvd25yZXYueG1sUEsBAhQAFAAAAAgAh07iQFQ+X5UFAgAA6gMAAA4AAAAAAAAAAQAgAAAAJgEA&#10;AGRycy9lMm9Eb2MueG1sUEsFBgAAAAAGAAYAWQEAAJ0FAAAAAA==&#10;">
                        <v:fill on="f" focussize="0,0"/>
                        <v:stroke color="#000000" joinstyle="round" endarrow="block"/>
                        <v:imagedata o:title=""/>
                        <o:lock v:ext="edit" aspectratio="f"/>
                      </v:line>
                      <v:line id="直接连接符 20" o:spid="_x0000_s1026" o:spt="20" style="position:absolute;left:1396365;top:2836545;height:0;width:482600;" filled="f" stroked="t" coordsize="21600,21600" o:gfxdata="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ZaYdcAAAAFAQAADwAAAAAAAAABACAAAAAiAAAAZHJzL2Rv&#10;d25yZXYueG1sUEsBAhQAFAAAAAgAh07iQB7PGAcCAgAA5wMAAA4AAAAAAAAAAQAgAAAAJgEAAGRy&#10;cy9lMm9Eb2MueG1sUEsFBgAAAAAGAAYAWQEAAJoFAAAAAA==&#10;">
                        <v:fill on="f" focussize="0,0"/>
                        <v:stroke color="#000000" joinstyle="round" dashstyle="dash" endarrow="block" endarrowwidth="narrow"/>
                        <v:imagedata o:title=""/>
                        <o:lock v:ext="edit" aspectratio="f"/>
                      </v:line>
                      <v:shape id="文本框 13" o:spid="_x0000_s1026" o:spt="202" type="#_x0000_t202" style="position:absolute;left:1852930;top:2137410;height:232410;width:1425575;" fillcolor="#FFFFFF" filled="t" stroked="f" coordsize="21600,21600" o:gfxdata="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iYlgnTAAAABQEAAA8A&#10;AAAAAAAAAQAgAAAAIgAAAGRycy9kb3ducmV2LnhtbFBLAQIUABQAAAAIAIdO4kA68Y4c4wEAALkD&#10;AAAOAAAAAAAAAAEAIAAAACIBAABkcnMvZTJvRG9jLnhtbFBLBQYAAAAABgAGAFkBAAB3BQAAAAA=&#10;">
                        <v:fill on="t" focussize="0,0"/>
                        <v:stroke on="f"/>
                        <v:imagedata o:title=""/>
                        <o:lock v:ext="edit" aspectratio="f"/>
                        <v:textbox inset="0.5mm,0.3mm,0.5mm,0.3mm">
                          <w:txbxContent>
                            <w:p w14:paraId="59615827">
                              <w:pPr>
                                <w:rPr>
                                  <w:rFonts w:hint="default" w:ascii="宋体" w:hAnsi="宋体" w:eastAsia="宋体"/>
                                  <w:sz w:val="18"/>
                                  <w:szCs w:val="18"/>
                                  <w:lang w:val="en-US" w:eastAsia="zh-CN"/>
                                </w:rPr>
                              </w:pPr>
                              <w:r>
                                <w:rPr>
                                  <w:rFonts w:hint="eastAsia" w:ascii="宋体" w:hAnsi="宋体"/>
                                  <w:sz w:val="18"/>
                                  <w:szCs w:val="18"/>
                                </w:rPr>
                                <w:t>噪声、固体废物</w:t>
                              </w:r>
                              <w:r>
                                <w:rPr>
                                  <w:rFonts w:hint="eastAsia" w:ascii="宋体" w:hAnsi="宋体"/>
                                  <w:sz w:val="18"/>
                                  <w:szCs w:val="18"/>
                                  <w:lang w:eastAsia="zh-CN"/>
                                </w:rPr>
                                <w:t>、</w:t>
                              </w:r>
                              <w:r>
                                <w:rPr>
                                  <w:rFonts w:hint="eastAsia" w:ascii="宋体" w:hAnsi="宋体"/>
                                  <w:sz w:val="18"/>
                                  <w:szCs w:val="18"/>
                                  <w:lang w:val="en-US" w:eastAsia="zh-CN"/>
                                </w:rPr>
                                <w:t>生活污水</w:t>
                              </w:r>
                            </w:p>
                          </w:txbxContent>
                        </v:textbox>
                      </v:shape>
                      <v:shape id="_x0000_s1026" o:spid="_x0000_s1026" o:spt="202" type="#_x0000_t202" style="position:absolute;left:306705;top:1651000;height:233045;width:1036955;" fillcolor="#FFFFFF" filled="t" stroked="t" coordsize="21600,21600" o:gfxdata="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YYH81QAAAAUBAAAPAAAAAAAAAAEAIAAAACIAAABkcnMvZG93bnJldi54bWxQSwECFAAU&#10;AAAACACHTuJAW7TJ7C0CAAB3BAAADgAAAAAAAAABACAAAAAkAQAAZHJzL2Uyb0RvYy54bWxQSwUG&#10;AAAAAAYABgBZAQAAwwUAAAAA&#10;">
                        <v:fill on="t" focussize="0,0"/>
                        <v:stroke color="#000000" joinstyle="miter"/>
                        <v:imagedata o:title=""/>
                        <o:lock v:ext="edit" aspectratio="f"/>
                        <v:textbox inset="0.5mm,0.3mm,0.5mm,0.3mm">
                          <w:txbxContent>
                            <w:p w14:paraId="1DACBB90">
                              <w:pPr>
                                <w:spacing w:line="240" w:lineRule="atLeast"/>
                                <w:jc w:val="center"/>
                                <w:rPr>
                                  <w:rFonts w:hint="default" w:ascii="宋体" w:hAnsi="宋体" w:eastAsia="宋体"/>
                                  <w:szCs w:val="21"/>
                                  <w:lang w:val="en-US" w:eastAsia="zh-CN"/>
                                </w:rPr>
                              </w:pPr>
                              <w:r>
                                <w:rPr>
                                  <w:rFonts w:hint="eastAsia" w:ascii="宋体" w:hAnsi="宋体"/>
                                  <w:szCs w:val="21"/>
                                  <w:lang w:val="en-US" w:eastAsia="zh-CN"/>
                                </w:rPr>
                                <w:t>建筑物施工</w:t>
                              </w:r>
                            </w:p>
                          </w:txbxContent>
                        </v:textbox>
                      </v:shape>
                      <w10:wrap type="none"/>
                      <w10:anchorlock/>
                    </v:group>
                  </w:pict>
                </mc:Fallback>
              </mc:AlternateContent>
            </w:r>
          </w:p>
          <w:p w14:paraId="2F08DBEE">
            <w:pPr>
              <w:pStyle w:val="12"/>
              <w:keepNext w:val="0"/>
              <w:keepLines w:val="0"/>
              <w:pageBreakBefore w:val="0"/>
              <w:widowControl/>
              <w:kinsoku/>
              <w:wordWrap/>
              <w:overflowPunct/>
              <w:topLinePunct w:val="0"/>
              <w:autoSpaceDE/>
              <w:autoSpaceDN/>
              <w:bidi w:val="0"/>
              <w:adjustRightInd/>
              <w:snapToGrid/>
              <w:spacing w:before="0" w:after="0" w:line="360" w:lineRule="auto"/>
              <w:ind w:right="0"/>
              <w:jc w:val="center"/>
              <w:textAlignment w:val="auto"/>
              <w:rPr>
                <w:color w:val="auto"/>
                <w:sz w:val="24"/>
                <w:highlight w:val="none"/>
              </w:rPr>
            </w:pPr>
            <w:r>
              <w:rPr>
                <w:rFonts w:eastAsia="黑体"/>
                <w:b/>
                <w:color w:val="auto"/>
                <w:sz w:val="24"/>
                <w:highlight w:val="none"/>
              </w:rPr>
              <w:t>图2-</w:t>
            </w:r>
            <w:r>
              <w:rPr>
                <w:rFonts w:hint="eastAsia" w:eastAsia="黑体"/>
                <w:b/>
                <w:color w:val="auto"/>
                <w:sz w:val="24"/>
                <w:highlight w:val="none"/>
                <w:lang w:val="en-US" w:eastAsia="zh-CN"/>
              </w:rPr>
              <w:t>2</w:t>
            </w:r>
            <w:r>
              <w:rPr>
                <w:rFonts w:eastAsia="黑体"/>
                <w:b/>
                <w:color w:val="auto"/>
                <w:sz w:val="24"/>
                <w:highlight w:val="none"/>
              </w:rPr>
              <w:t xml:space="preserve">  变电站工程施工工艺及产污环节示意图</w:t>
            </w:r>
          </w:p>
          <w:p w14:paraId="75C9088E">
            <w:pPr>
              <w:pStyle w:val="12"/>
              <w:snapToGrid/>
              <w:spacing w:before="0" w:after="0" w:line="360" w:lineRule="auto"/>
              <w:ind w:right="0" w:firstLine="480" w:firstLineChars="200"/>
              <w:rPr>
                <w:color w:val="auto"/>
                <w:sz w:val="24"/>
                <w:highlight w:val="none"/>
              </w:rPr>
            </w:pPr>
            <w:r>
              <w:rPr>
                <w:color w:val="auto"/>
                <w:sz w:val="24"/>
                <w:highlight w:val="none"/>
              </w:rPr>
              <w:t>（2）</w:t>
            </w:r>
            <w:r>
              <w:rPr>
                <w:rFonts w:hint="eastAsia"/>
                <w:color w:val="auto"/>
                <w:sz w:val="24"/>
                <w:highlight w:val="none"/>
                <w:lang w:val="en-US" w:eastAsia="zh-CN"/>
              </w:rPr>
              <w:t>架空</w:t>
            </w:r>
            <w:r>
              <w:rPr>
                <w:color w:val="auto"/>
                <w:sz w:val="24"/>
                <w:highlight w:val="none"/>
              </w:rPr>
              <w:t>线路工程</w:t>
            </w:r>
          </w:p>
          <w:p w14:paraId="3C5A20BA">
            <w:pPr>
              <w:pStyle w:val="12"/>
              <w:spacing w:before="0" w:after="0"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架空</w:t>
            </w:r>
            <w:r>
              <w:rPr>
                <w:color w:val="auto"/>
                <w:sz w:val="24"/>
                <w:highlight w:val="none"/>
              </w:rPr>
              <w:t>线路</w:t>
            </w:r>
            <w:r>
              <w:rPr>
                <w:rFonts w:hint="eastAsia"/>
                <w:color w:val="auto"/>
                <w:sz w:val="24"/>
                <w:highlight w:val="none"/>
                <w:lang w:val="en-US" w:eastAsia="zh-CN"/>
              </w:rPr>
              <w:t>工程施工</w:t>
            </w:r>
            <w:r>
              <w:rPr>
                <w:color w:val="auto"/>
                <w:sz w:val="24"/>
                <w:highlight w:val="none"/>
              </w:rPr>
              <w:t>主要包括塔基施工、组立铁塔、导地线放线等</w:t>
            </w:r>
            <w:r>
              <w:rPr>
                <w:rFonts w:hint="eastAsia"/>
                <w:color w:val="auto"/>
                <w:sz w:val="24"/>
                <w:highlight w:val="none"/>
                <w:lang w:eastAsia="zh-CN"/>
              </w:rPr>
              <w:t>，</w:t>
            </w:r>
            <w:r>
              <w:rPr>
                <w:rFonts w:hint="eastAsia"/>
                <w:color w:val="auto"/>
                <w:sz w:val="24"/>
                <w:highlight w:val="none"/>
                <w:lang w:val="en-US" w:eastAsia="zh-CN"/>
              </w:rPr>
              <w:t>架空线路工程</w:t>
            </w:r>
            <w:r>
              <w:rPr>
                <w:bCs/>
                <w:color w:val="auto"/>
                <w:sz w:val="24"/>
                <w:highlight w:val="none"/>
              </w:rPr>
              <w:t>施工期工艺流程及产污环节见图2-</w:t>
            </w:r>
            <w:r>
              <w:rPr>
                <w:rFonts w:hint="eastAsia"/>
                <w:bCs/>
                <w:color w:val="auto"/>
                <w:sz w:val="24"/>
                <w:highlight w:val="none"/>
                <w:lang w:val="en-US" w:eastAsia="zh-CN"/>
              </w:rPr>
              <w:t>3</w:t>
            </w:r>
            <w:r>
              <w:rPr>
                <w:bCs/>
                <w:color w:val="auto"/>
                <w:sz w:val="24"/>
                <w:highlight w:val="none"/>
              </w:rPr>
              <w:t>。</w:t>
            </w:r>
          </w:p>
          <w:p w14:paraId="525ED031">
            <w:pPr>
              <w:jc w:val="center"/>
              <w:rPr>
                <w:rFonts w:hint="eastAsia" w:eastAsia="宋体"/>
                <w:color w:val="auto"/>
                <w:sz w:val="24"/>
                <w:highlight w:val="none"/>
                <w:lang w:eastAsia="zh-CN"/>
              </w:rPr>
            </w:pPr>
            <w:r>
              <w:rPr>
                <w:rFonts w:hint="eastAsia" w:eastAsia="宋体"/>
                <w:color w:val="auto"/>
                <w:sz w:val="24"/>
                <w:highlight w:val="none"/>
                <w:lang w:eastAsia="zh-CN"/>
              </w:rPr>
              <w:drawing>
                <wp:inline distT="0" distB="0" distL="114300" distR="114300">
                  <wp:extent cx="5582920" cy="2484120"/>
                  <wp:effectExtent l="0" t="0" r="0" b="0"/>
                  <wp:docPr id="25" name="ECB019B1-382A-4266-B25C-5B523AA43C14-1" descr="C:/Users/Administrator/AppData/Local/Temp/wps.Ibbmv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1" descr="C:/Users/Administrator/AppData/Local/Temp/wps.Ibbmvkwps"/>
                          <pic:cNvPicPr>
                            <a:picLocks noChangeAspect="1"/>
                          </pic:cNvPicPr>
                        </pic:nvPicPr>
                        <pic:blipFill>
                          <a:blip r:embed="rId7"/>
                          <a:stretch>
                            <a:fillRect/>
                          </a:stretch>
                        </pic:blipFill>
                        <pic:spPr>
                          <a:xfrm>
                            <a:off x="0" y="0"/>
                            <a:ext cx="5582920" cy="2484120"/>
                          </a:xfrm>
                          <a:prstGeom prst="rect">
                            <a:avLst/>
                          </a:prstGeom>
                        </pic:spPr>
                      </pic:pic>
                    </a:graphicData>
                  </a:graphic>
                </wp:inline>
              </w:drawing>
            </w:r>
          </w:p>
          <w:p w14:paraId="5DD4C263">
            <w:pPr>
              <w:pStyle w:val="12"/>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b/>
                <w:bCs/>
                <w:color w:val="auto"/>
                <w:sz w:val="24"/>
                <w:szCs w:val="24"/>
                <w:highlight w:val="none"/>
              </w:rPr>
            </w:pPr>
            <w:r>
              <w:rPr>
                <w:rFonts w:eastAsia="黑体"/>
                <w:b/>
                <w:color w:val="auto"/>
                <w:sz w:val="24"/>
                <w:szCs w:val="24"/>
                <w:highlight w:val="none"/>
              </w:rPr>
              <w:t>图2-</w:t>
            </w:r>
            <w:r>
              <w:rPr>
                <w:rFonts w:hint="eastAsia" w:eastAsia="黑体"/>
                <w:b/>
                <w:color w:val="auto"/>
                <w:sz w:val="24"/>
                <w:szCs w:val="24"/>
                <w:highlight w:val="none"/>
                <w:lang w:val="en-US" w:eastAsia="zh-CN"/>
              </w:rPr>
              <w:t>3</w:t>
            </w:r>
            <w:r>
              <w:rPr>
                <w:rFonts w:eastAsia="黑体"/>
                <w:b/>
                <w:color w:val="auto"/>
                <w:sz w:val="24"/>
                <w:szCs w:val="24"/>
                <w:highlight w:val="none"/>
              </w:rPr>
              <w:t xml:space="preserve">  </w:t>
            </w:r>
            <w:r>
              <w:rPr>
                <w:rFonts w:hint="eastAsia" w:eastAsia="黑体"/>
                <w:b/>
                <w:color w:val="auto"/>
                <w:sz w:val="24"/>
                <w:szCs w:val="24"/>
                <w:highlight w:val="none"/>
              </w:rPr>
              <w:t>架空线路</w:t>
            </w:r>
            <w:r>
              <w:rPr>
                <w:rFonts w:hint="eastAsia" w:eastAsia="黑体"/>
                <w:b/>
                <w:color w:val="auto"/>
                <w:sz w:val="24"/>
                <w:szCs w:val="24"/>
                <w:highlight w:val="none"/>
                <w:lang w:val="en-US" w:eastAsia="zh-CN"/>
              </w:rPr>
              <w:t>工程</w:t>
            </w:r>
            <w:r>
              <w:rPr>
                <w:rFonts w:eastAsia="黑体"/>
                <w:b/>
                <w:color w:val="auto"/>
                <w:sz w:val="24"/>
                <w:szCs w:val="24"/>
                <w:highlight w:val="none"/>
              </w:rPr>
              <w:t>施工工艺及产污环节示意图</w:t>
            </w:r>
          </w:p>
          <w:p w14:paraId="7768AE20">
            <w:pPr>
              <w:spacing w:line="360" w:lineRule="auto"/>
              <w:ind w:firstLine="482" w:firstLineChars="200"/>
              <w:rPr>
                <w:b/>
                <w:bCs/>
                <w:color w:val="auto"/>
                <w:sz w:val="24"/>
                <w:highlight w:val="none"/>
              </w:rPr>
            </w:pPr>
            <w:r>
              <w:rPr>
                <w:b/>
                <w:bCs/>
                <w:color w:val="auto"/>
                <w:sz w:val="24"/>
                <w:highlight w:val="none"/>
              </w:rPr>
              <w:t>2、施工时序</w:t>
            </w:r>
          </w:p>
          <w:p w14:paraId="05ECF9D0">
            <w:pPr>
              <w:spacing w:line="360" w:lineRule="auto"/>
              <w:ind w:firstLine="480" w:firstLineChars="200"/>
              <w:rPr>
                <w:color w:val="auto"/>
                <w:kern w:val="0"/>
                <w:sz w:val="24"/>
                <w:highlight w:val="none"/>
              </w:rPr>
            </w:pPr>
            <w:r>
              <w:rPr>
                <w:color w:val="auto"/>
                <w:kern w:val="0"/>
                <w:sz w:val="24"/>
                <w:highlight w:val="none"/>
              </w:rPr>
              <w:t>（1）施工准备</w:t>
            </w:r>
          </w:p>
          <w:p w14:paraId="6F386186">
            <w:pPr>
              <w:adjustRightInd w:val="0"/>
              <w:snapToGrid w:val="0"/>
              <w:spacing w:line="360" w:lineRule="auto"/>
              <w:ind w:firstLine="480" w:firstLineChars="200"/>
              <w:rPr>
                <w:color w:val="auto"/>
                <w:kern w:val="0"/>
                <w:sz w:val="24"/>
                <w:highlight w:val="none"/>
              </w:rPr>
            </w:pPr>
            <w:r>
              <w:rPr>
                <w:color w:val="auto"/>
                <w:kern w:val="0"/>
                <w:sz w:val="24"/>
                <w:highlight w:val="none"/>
              </w:rPr>
              <w:t>材料运输：采用轮胎式汽车的运输方式将材料、机具等运输到施工现场。</w:t>
            </w:r>
            <w:r>
              <w:rPr>
                <w:rFonts w:hint="eastAsia"/>
                <w:color w:val="auto"/>
                <w:kern w:val="0"/>
                <w:sz w:val="24"/>
                <w:highlight w:val="none"/>
                <w:lang w:val="en-US" w:eastAsia="zh-CN"/>
              </w:rPr>
              <w:t>施工均</w:t>
            </w:r>
            <w:r>
              <w:rPr>
                <w:color w:val="auto"/>
                <w:kern w:val="0"/>
                <w:sz w:val="24"/>
                <w:highlight w:val="none"/>
              </w:rPr>
              <w:t>采用商品混凝土，采用商混罐车的方式运输；运输铁塔材料、架线材料、旋挖钻机及张牵设备推荐采用卡车。</w:t>
            </w:r>
          </w:p>
          <w:p w14:paraId="7E6759C8">
            <w:pPr>
              <w:adjustRightInd w:val="0"/>
              <w:snapToGrid w:val="0"/>
              <w:spacing w:line="360" w:lineRule="auto"/>
              <w:ind w:firstLine="480" w:firstLineChars="200"/>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变电站进站道路和实体围墙建设：新建</w:t>
            </w:r>
            <w:r>
              <w:rPr>
                <w:rFonts w:hint="eastAsia" w:cs="Times New Roman"/>
                <w:color w:val="auto"/>
                <w:kern w:val="0"/>
                <w:sz w:val="24"/>
                <w:highlight w:val="none"/>
                <w:lang w:val="en-US" w:eastAsia="zh-CN"/>
              </w:rPr>
              <w:t>张程</w:t>
            </w:r>
            <w:r>
              <w:rPr>
                <w:rFonts w:hint="default" w:ascii="Times New Roman" w:hAnsi="Times New Roman" w:cs="Times New Roman"/>
                <w:color w:val="auto"/>
                <w:kern w:val="0"/>
                <w:sz w:val="24"/>
                <w:highlight w:val="none"/>
                <w:lang w:val="en-US" w:eastAsia="zh-CN"/>
              </w:rPr>
              <w:t>110kV</w:t>
            </w:r>
            <w:r>
              <w:rPr>
                <w:rFonts w:hint="default" w:ascii="Times New Roman" w:hAnsi="Times New Roman" w:cs="Times New Roman"/>
                <w:color w:val="auto"/>
                <w:kern w:val="0"/>
                <w:sz w:val="24"/>
                <w:highlight w:val="none"/>
                <w:lang w:eastAsia="zh-CN"/>
              </w:rPr>
              <w:t>变电站工程施工时，首先进行进站道路和实体围墙的建设，做到永临结合。</w:t>
            </w:r>
          </w:p>
          <w:p w14:paraId="6CECA087">
            <w:pPr>
              <w:adjustRightInd w:val="0"/>
              <w:snapToGrid w:val="0"/>
              <w:spacing w:line="360" w:lineRule="auto"/>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施工营地设置：拟在变电站</w:t>
            </w:r>
            <w:r>
              <w:rPr>
                <w:rFonts w:hint="eastAsia" w:cs="Times New Roman"/>
                <w:color w:val="auto"/>
                <w:kern w:val="0"/>
                <w:sz w:val="24"/>
                <w:highlight w:val="none"/>
                <w:lang w:val="en-US" w:eastAsia="zh-CN"/>
              </w:rPr>
              <w:t>西</w:t>
            </w:r>
            <w:r>
              <w:rPr>
                <w:rFonts w:hint="default" w:ascii="Times New Roman" w:hAnsi="Times New Roman" w:cs="Times New Roman"/>
                <w:color w:val="auto"/>
                <w:kern w:val="0"/>
                <w:sz w:val="24"/>
                <w:highlight w:val="none"/>
              </w:rPr>
              <w:t>侧设置施工营地1处，进行地表剥离，进行施工场地平整，临时建（构）筑物搭建。</w:t>
            </w:r>
          </w:p>
          <w:p w14:paraId="3607F3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val="en-US" w:eastAsia="zh-CN"/>
              </w:rPr>
              <w:t>站外管线临时占地：站外供水、排水管线占地面积0.</w:t>
            </w:r>
            <w:r>
              <w:rPr>
                <w:rFonts w:hint="eastAsia" w:ascii="Times New Roman" w:hAnsi="Times New Roman" w:cs="Times New Roman"/>
                <w:color w:val="auto"/>
                <w:kern w:val="0"/>
                <w:sz w:val="24"/>
                <w:highlight w:val="none"/>
                <w:lang w:val="en-US" w:eastAsia="zh-CN"/>
              </w:rPr>
              <w:t>08</w:t>
            </w:r>
            <w:r>
              <w:rPr>
                <w:rFonts w:hint="default" w:ascii="Times New Roman" w:hAnsi="Times New Roman" w:cs="Times New Roman"/>
                <w:color w:val="auto"/>
                <w:kern w:val="0"/>
                <w:sz w:val="24"/>
                <w:highlight w:val="none"/>
                <w:lang w:val="en-US" w:eastAsia="zh-CN"/>
              </w:rPr>
              <w:t>hm</w:t>
            </w:r>
            <w:r>
              <w:rPr>
                <w:rFonts w:hint="default" w:ascii="Times New Roman" w:hAnsi="Times New Roman" w:cs="Times New Roman"/>
                <w:color w:val="auto"/>
                <w:kern w:val="0"/>
                <w:sz w:val="24"/>
                <w:highlight w:val="none"/>
                <w:vertAlign w:val="superscript"/>
                <w:lang w:val="en-US" w:eastAsia="zh-CN"/>
              </w:rPr>
              <w:t>2</w:t>
            </w:r>
            <w:r>
              <w:rPr>
                <w:rFonts w:hint="default" w:ascii="Times New Roman" w:hAnsi="Times New Roman" w:cs="Times New Roman"/>
                <w:color w:val="auto"/>
                <w:kern w:val="0"/>
                <w:sz w:val="24"/>
                <w:highlight w:val="none"/>
              </w:rPr>
              <w:t>。</w:t>
            </w:r>
          </w:p>
          <w:p w14:paraId="61023E06">
            <w:pPr>
              <w:adjustRightInd w:val="0"/>
              <w:snapToGrid w:val="0"/>
              <w:spacing w:line="360" w:lineRule="auto"/>
              <w:ind w:firstLine="480" w:firstLineChars="200"/>
              <w:rPr>
                <w:color w:val="auto"/>
                <w:kern w:val="0"/>
                <w:sz w:val="24"/>
                <w:highlight w:val="none"/>
              </w:rPr>
            </w:pPr>
            <w:r>
              <w:rPr>
                <w:color w:val="auto"/>
                <w:kern w:val="0"/>
                <w:sz w:val="24"/>
                <w:highlight w:val="none"/>
              </w:rPr>
              <w:t>施工便道：根据施工现场</w:t>
            </w:r>
            <w:r>
              <w:rPr>
                <w:rFonts w:hint="eastAsia"/>
                <w:color w:val="auto"/>
                <w:kern w:val="0"/>
                <w:sz w:val="24"/>
                <w:highlight w:val="none"/>
                <w:lang w:val="en-US" w:eastAsia="zh-CN"/>
              </w:rPr>
              <w:t>自然条件</w:t>
            </w:r>
            <w:r>
              <w:rPr>
                <w:color w:val="auto"/>
                <w:kern w:val="0"/>
                <w:sz w:val="24"/>
                <w:highlight w:val="none"/>
              </w:rPr>
              <w:t>，</w:t>
            </w:r>
            <w:r>
              <w:rPr>
                <w:rFonts w:hint="eastAsia"/>
                <w:color w:val="auto"/>
                <w:kern w:val="0"/>
                <w:sz w:val="24"/>
                <w:highlight w:val="none"/>
                <w:lang w:val="en-US" w:eastAsia="zh-CN"/>
              </w:rPr>
              <w:t>尽可能</w:t>
            </w:r>
            <w:r>
              <w:rPr>
                <w:color w:val="auto"/>
                <w:kern w:val="0"/>
                <w:sz w:val="24"/>
                <w:highlight w:val="none"/>
              </w:rPr>
              <w:t>利用现有道路，在不具备施工运输条件的区域，设置施工便道，</w:t>
            </w:r>
            <w:r>
              <w:rPr>
                <w:rFonts w:hint="default" w:ascii="Times New Roman" w:hAnsi="Times New Roman" w:cs="Times New Roman"/>
                <w:color w:val="auto"/>
                <w:kern w:val="0"/>
                <w:sz w:val="24"/>
                <w:highlight w:val="none"/>
              </w:rPr>
              <w:t>变电站区域施工便道的修筑应与进站道路兼顾考虑，做到永临结合。</w:t>
            </w:r>
          </w:p>
          <w:p w14:paraId="2E125F32">
            <w:pPr>
              <w:pStyle w:val="8"/>
              <w:adjustRightInd w:val="0"/>
              <w:snapToGrid w:val="0"/>
              <w:spacing w:after="0" w:line="360" w:lineRule="auto"/>
              <w:ind w:left="0" w:leftChars="0" w:firstLine="480" w:firstLineChars="200"/>
              <w:rPr>
                <w:bCs/>
                <w:color w:val="auto"/>
                <w:sz w:val="24"/>
                <w:highlight w:val="none"/>
              </w:rPr>
            </w:pPr>
            <w:r>
              <w:rPr>
                <w:bCs/>
                <w:color w:val="auto"/>
                <w:sz w:val="24"/>
                <w:highlight w:val="none"/>
              </w:rPr>
              <w:t>塔基施工场地</w:t>
            </w:r>
            <w:r>
              <w:rPr>
                <w:rFonts w:hint="eastAsia"/>
                <w:bCs/>
                <w:color w:val="auto"/>
                <w:sz w:val="24"/>
                <w:highlight w:val="none"/>
                <w:lang w:eastAsia="zh-CN"/>
              </w:rPr>
              <w:t>（</w:t>
            </w:r>
            <w:r>
              <w:rPr>
                <w:rFonts w:hint="eastAsia"/>
                <w:bCs/>
                <w:color w:val="auto"/>
                <w:sz w:val="24"/>
                <w:highlight w:val="none"/>
                <w:lang w:val="en-US" w:eastAsia="zh-CN"/>
              </w:rPr>
              <w:t>10千伏临时施工电源线路</w:t>
            </w:r>
            <w:r>
              <w:rPr>
                <w:rFonts w:hint="eastAsia"/>
                <w:bCs/>
                <w:color w:val="auto"/>
                <w:sz w:val="24"/>
                <w:highlight w:val="none"/>
                <w:lang w:eastAsia="zh-CN"/>
              </w:rPr>
              <w:t>）</w:t>
            </w:r>
            <w:r>
              <w:rPr>
                <w:bCs/>
                <w:color w:val="auto"/>
                <w:sz w:val="24"/>
                <w:highlight w:val="none"/>
              </w:rPr>
              <w:t>：进行施工场地平整，</w:t>
            </w:r>
            <w:r>
              <w:rPr>
                <w:rFonts w:hint="eastAsia"/>
                <w:bCs/>
                <w:color w:val="auto"/>
                <w:sz w:val="24"/>
                <w:highlight w:val="none"/>
                <w:lang w:val="en-US" w:eastAsia="zh-CN"/>
              </w:rPr>
              <w:t>进行地表剥离</w:t>
            </w:r>
            <w:r>
              <w:rPr>
                <w:bCs/>
                <w:color w:val="auto"/>
                <w:sz w:val="24"/>
                <w:highlight w:val="none"/>
              </w:rPr>
              <w:t>，设置施工围栏。</w:t>
            </w:r>
          </w:p>
          <w:p w14:paraId="65432FA6">
            <w:pPr>
              <w:pStyle w:val="8"/>
              <w:adjustRightInd w:val="0"/>
              <w:snapToGrid w:val="0"/>
              <w:spacing w:after="0" w:line="360" w:lineRule="auto"/>
              <w:ind w:left="0" w:leftChars="0" w:firstLine="480" w:firstLineChars="200"/>
              <w:rPr>
                <w:color w:val="auto"/>
                <w:sz w:val="24"/>
                <w:szCs w:val="24"/>
                <w:highlight w:val="none"/>
              </w:rPr>
            </w:pPr>
            <w:r>
              <w:rPr>
                <w:color w:val="auto"/>
                <w:sz w:val="24"/>
                <w:szCs w:val="24"/>
                <w:highlight w:val="none"/>
              </w:rPr>
              <w:t>牵张场：牵张场施工采用人工整平，以满足牵引机、张力机放置要求为原则，尽量减少土石方挖填量和地表扰动面积，对临时堆土将做好挡护及苫盖。</w:t>
            </w:r>
          </w:p>
          <w:p w14:paraId="05A627C4">
            <w:pPr>
              <w:pStyle w:val="8"/>
              <w:adjustRightInd w:val="0"/>
              <w:snapToGrid w:val="0"/>
              <w:spacing w:after="0" w:line="360" w:lineRule="auto"/>
              <w:ind w:left="0" w:leftChars="0" w:firstLine="480" w:firstLineChars="200"/>
              <w:rPr>
                <w:bCs/>
                <w:color w:val="auto"/>
                <w:sz w:val="24"/>
                <w:highlight w:val="none"/>
              </w:rPr>
            </w:pPr>
            <w:r>
              <w:rPr>
                <w:bCs/>
                <w:color w:val="auto"/>
                <w:sz w:val="24"/>
                <w:highlight w:val="none"/>
              </w:rPr>
              <w:t>（2）变电站工程施工时序</w:t>
            </w:r>
          </w:p>
          <w:p w14:paraId="52504432">
            <w:pPr>
              <w:pStyle w:val="8"/>
              <w:adjustRightInd w:val="0"/>
              <w:snapToGrid w:val="0"/>
              <w:spacing w:after="0" w:line="360" w:lineRule="auto"/>
              <w:ind w:left="0" w:leftChars="0" w:firstLine="480" w:firstLineChars="200"/>
              <w:rPr>
                <w:bCs/>
                <w:color w:val="auto"/>
                <w:sz w:val="24"/>
                <w:highlight w:val="none"/>
              </w:rPr>
            </w:pPr>
            <w:r>
              <w:rPr>
                <w:bCs/>
                <w:color w:val="auto"/>
                <w:sz w:val="24"/>
                <w:highlight w:val="none"/>
              </w:rPr>
              <w:t>变电站施工包括地基处理、构件吊装、构件连接。</w:t>
            </w:r>
          </w:p>
          <w:p w14:paraId="1A32AE9E">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bidi="ar"/>
              </w:rPr>
              <w:t>按照设计要求对设备基础区域进行开挖，基础开挖采用机械开挖，</w:t>
            </w:r>
            <w:r>
              <w:rPr>
                <w:color w:val="auto"/>
                <w:sz w:val="24"/>
                <w:szCs w:val="24"/>
                <w:highlight w:val="none"/>
              </w:rPr>
              <w:t>开挖的土方就近堆放摊平，在基坑边缘上临时堆土或堆放临时材料，应与基坑保持1m以上的距离。</w:t>
            </w:r>
            <w:r>
              <w:rPr>
                <w:rFonts w:hint="eastAsia"/>
                <w:color w:val="auto"/>
                <w:sz w:val="24"/>
                <w:szCs w:val="24"/>
                <w:highlight w:val="none"/>
                <w:lang w:val="en-US" w:eastAsia="zh-CN"/>
              </w:rPr>
              <w:t>基坑开挖结束后</w:t>
            </w:r>
            <w:r>
              <w:rPr>
                <w:rFonts w:hint="eastAsia" w:ascii="Times New Roman" w:hAnsi="Times New Roman" w:eastAsia="宋体" w:cs="Times New Roman"/>
                <w:color w:val="auto"/>
                <w:kern w:val="0"/>
                <w:sz w:val="24"/>
                <w:szCs w:val="24"/>
                <w:highlight w:val="none"/>
                <w:lang w:val="en-US" w:eastAsia="zh-CN" w:bidi="ar"/>
              </w:rPr>
              <w:t>采用换填砂夹石垫层的方式对地基进行处理。</w:t>
            </w:r>
            <w:r>
              <w:rPr>
                <w:rFonts w:hint="eastAsia" w:ascii="Times New Roman" w:hAnsi="Times New Roman" w:eastAsia="宋体" w:cs="Times New Roman"/>
                <w:color w:val="auto"/>
                <w:spacing w:val="0"/>
                <w:kern w:val="0"/>
                <w:sz w:val="24"/>
                <w:highlight w:val="none"/>
                <w:lang w:val="en-US" w:eastAsia="zh-CN"/>
              </w:rPr>
              <w:t>设备、</w:t>
            </w:r>
            <w:r>
              <w:rPr>
                <w:rFonts w:hint="default" w:ascii="Times New Roman" w:hAnsi="Times New Roman" w:eastAsia="宋体" w:cs="Times New Roman"/>
                <w:color w:val="auto"/>
                <w:spacing w:val="0"/>
                <w:kern w:val="0"/>
                <w:sz w:val="24"/>
                <w:highlight w:val="none"/>
                <w:lang w:val="en-US" w:eastAsia="zh-CN"/>
              </w:rPr>
              <w:t>基础采用</w:t>
            </w:r>
            <w:r>
              <w:rPr>
                <w:rFonts w:hint="eastAsia" w:ascii="Times New Roman" w:hAnsi="Times New Roman" w:eastAsia="宋体" w:cs="Times New Roman"/>
                <w:color w:val="auto"/>
                <w:spacing w:val="0"/>
                <w:kern w:val="0"/>
                <w:sz w:val="24"/>
                <w:highlight w:val="none"/>
                <w:lang w:val="en-US" w:eastAsia="zh-CN"/>
              </w:rPr>
              <w:t>商品</w:t>
            </w:r>
            <w:r>
              <w:rPr>
                <w:rFonts w:hint="default" w:ascii="Times New Roman" w:hAnsi="Times New Roman" w:eastAsia="宋体" w:cs="Times New Roman"/>
                <w:color w:val="auto"/>
                <w:spacing w:val="0"/>
                <w:kern w:val="0"/>
                <w:sz w:val="24"/>
                <w:highlight w:val="none"/>
                <w:lang w:val="en-US" w:eastAsia="zh-CN"/>
              </w:rPr>
              <w:t>混凝土</w:t>
            </w:r>
            <w:r>
              <w:rPr>
                <w:rFonts w:hint="eastAsia" w:ascii="Times New Roman" w:hAnsi="Times New Roman" w:eastAsia="宋体" w:cs="Times New Roman"/>
                <w:color w:val="auto"/>
                <w:spacing w:val="0"/>
                <w:kern w:val="0"/>
                <w:sz w:val="24"/>
                <w:highlight w:val="none"/>
                <w:lang w:val="en-US" w:eastAsia="zh-CN"/>
              </w:rPr>
              <w:t>，由混凝土运输车运输，运至施工现场进行浇筑。</w:t>
            </w:r>
            <w:r>
              <w:rPr>
                <w:rFonts w:hint="default" w:ascii="Times New Roman" w:hAnsi="Times New Roman" w:eastAsia="宋体" w:cs="Times New Roman"/>
                <w:color w:val="auto"/>
                <w:spacing w:val="0"/>
                <w:kern w:val="0"/>
                <w:sz w:val="24"/>
                <w:highlight w:val="none"/>
                <w:lang w:val="en-US" w:eastAsia="zh-CN"/>
              </w:rPr>
              <w:t xml:space="preserve"> </w:t>
            </w:r>
          </w:p>
          <w:p w14:paraId="257A75CA">
            <w:pPr>
              <w:pStyle w:val="12"/>
              <w:spacing w:before="0" w:after="0" w:line="360" w:lineRule="auto"/>
              <w:ind w:right="0" w:firstLine="480" w:firstLineChars="200"/>
              <w:rPr>
                <w:rFonts w:hint="default" w:ascii="Times New Roman" w:hAnsi="Times New Roman" w:cs="Times New Roman"/>
                <w:color w:val="auto"/>
                <w:kern w:val="0"/>
                <w:sz w:val="24"/>
                <w:highlight w:val="none"/>
              </w:rPr>
            </w:pPr>
            <w:r>
              <w:rPr>
                <w:rFonts w:hint="eastAsia" w:cs="Times New Roman"/>
                <w:color w:val="auto"/>
                <w:kern w:val="0"/>
                <w:sz w:val="24"/>
                <w:highlight w:val="none"/>
                <w:lang w:val="en-US" w:eastAsia="zh-CN"/>
              </w:rPr>
              <w:t>基础浇筑完成后，进行建构筑物的建设施工，</w:t>
            </w:r>
            <w:r>
              <w:rPr>
                <w:rFonts w:hint="default" w:ascii="Times New Roman" w:hAnsi="Times New Roman" w:cs="Times New Roman"/>
                <w:color w:val="auto"/>
                <w:kern w:val="0"/>
                <w:sz w:val="24"/>
                <w:highlight w:val="none"/>
              </w:rPr>
              <w:t>构件吊装采用轮胎式起重机进行设备支架和横梁的吊装。构件连接采用电动扳手或气动扳手进行设备支架与预埋地脚螺栓之间的螺栓连接、设备支架与横梁之间的螺栓连接。</w:t>
            </w:r>
          </w:p>
          <w:p w14:paraId="3A10DCDB">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（3）</w:t>
            </w:r>
            <w:r>
              <w:rPr>
                <w:color w:val="auto"/>
                <w:kern w:val="0"/>
                <w:sz w:val="24"/>
                <w:highlight w:val="none"/>
              </w:rPr>
              <w:t>架空线路</w:t>
            </w:r>
            <w:r>
              <w:rPr>
                <w:rFonts w:hint="eastAsia"/>
                <w:color w:val="auto"/>
                <w:kern w:val="0"/>
                <w:sz w:val="24"/>
                <w:highlight w:val="none"/>
                <w:lang w:val="en-US" w:eastAsia="zh-CN"/>
              </w:rPr>
              <w:t>工程</w:t>
            </w:r>
            <w:r>
              <w:rPr>
                <w:color w:val="auto"/>
                <w:kern w:val="0"/>
                <w:sz w:val="24"/>
                <w:highlight w:val="none"/>
              </w:rPr>
              <w:t>施工时序</w:t>
            </w:r>
          </w:p>
          <w:p w14:paraId="3881F1EA">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基础开挖：</w:t>
            </w:r>
            <w:r>
              <w:rPr>
                <w:rFonts w:hint="default" w:ascii="Times New Roman" w:hAnsi="Times New Roman" w:cs="Times New Roman"/>
                <w:color w:val="auto"/>
                <w:sz w:val="24"/>
                <w:szCs w:val="24"/>
                <w:highlight w:val="none"/>
              </w:rPr>
              <w:t>根据本项目地形、地质特点及所选塔型，架空线路塔基基础采用</w:t>
            </w:r>
            <w:r>
              <w:rPr>
                <w:rFonts w:hint="default" w:ascii="Times New Roman" w:hAnsi="Times New Roman" w:cs="Times New Roman"/>
                <w:bCs/>
                <w:color w:val="auto"/>
                <w:sz w:val="24"/>
                <w:highlight w:val="none"/>
              </w:rPr>
              <w:t>挖孔桩基础</w:t>
            </w:r>
            <w:r>
              <w:rPr>
                <w:rFonts w:hint="default" w:ascii="Times New Roman" w:hAnsi="Times New Roman" w:cs="Times New Roman"/>
                <w:color w:val="auto"/>
                <w:sz w:val="24"/>
                <w:szCs w:val="24"/>
                <w:highlight w:val="none"/>
              </w:rPr>
              <w:t>，采用旋挖钻机、反铲挖掘机进行基础施工。</w:t>
            </w:r>
          </w:p>
          <w:p w14:paraId="707F899D">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基础浇筑：</w:t>
            </w:r>
            <w:r>
              <w:rPr>
                <w:rFonts w:hint="default" w:ascii="Times New Roman" w:hAnsi="Times New Roman" w:cs="Times New Roman"/>
                <w:color w:val="auto"/>
                <w:sz w:val="24"/>
                <w:szCs w:val="24"/>
                <w:highlight w:val="none"/>
              </w:rPr>
              <w:t>采用</w:t>
            </w:r>
            <w:r>
              <w:rPr>
                <w:rFonts w:hint="default" w:ascii="Times New Roman" w:hAnsi="Times New Roman" w:cs="Times New Roman"/>
                <w:color w:val="auto"/>
                <w:sz w:val="24"/>
                <w:highlight w:val="none"/>
              </w:rPr>
              <w:t>商混罐车的方式运输混凝土进行</w:t>
            </w:r>
            <w:r>
              <w:rPr>
                <w:rFonts w:hint="default" w:ascii="Times New Roman" w:hAnsi="Times New Roman" w:cs="Times New Roman"/>
                <w:color w:val="auto"/>
                <w:sz w:val="24"/>
                <w:szCs w:val="24"/>
                <w:highlight w:val="none"/>
              </w:rPr>
              <w:t>基础浇筑。</w:t>
            </w:r>
          </w:p>
          <w:p w14:paraId="641384F5">
            <w:pPr>
              <w:pStyle w:val="12"/>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杆塔组立：杆塔的组立，采用人工组建与塔吊结合的方式进行组立。</w:t>
            </w:r>
          </w:p>
          <w:p w14:paraId="66626AEB">
            <w:pPr>
              <w:pStyle w:val="12"/>
              <w:spacing w:before="0" w:after="0"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导地线放线：先利用无人机或者动力伞放一根又细又轻的导引绳过去，再借助每基塔上安装的滑轮，用导引线拖牵引绳、用牵引绳拖导线，完成放线。</w:t>
            </w:r>
          </w:p>
          <w:p w14:paraId="10B3F274">
            <w:pPr>
              <w:pStyle w:val="12"/>
              <w:spacing w:before="0" w:after="0" w:line="360" w:lineRule="auto"/>
              <w:ind w:right="0" w:firstLine="480" w:firstLineChars="200"/>
              <w:rPr>
                <w:rFonts w:ascii="Times New Roman" w:hAnsi="Times New Roman" w:eastAsia="宋体" w:cs="Times New Roman"/>
                <w:color w:val="auto"/>
                <w:sz w:val="24"/>
                <w:szCs w:val="24"/>
                <w:highlight w:val="none"/>
              </w:rPr>
            </w:pPr>
            <w:r>
              <w:rPr>
                <w:rFonts w:hint="default" w:ascii="Times New Roman" w:hAnsi="Times New Roman" w:cs="Times New Roman"/>
                <w:color w:val="auto"/>
                <w:kern w:val="0"/>
                <w:sz w:val="24"/>
                <w:highlight w:val="none"/>
              </w:rPr>
              <w:t>附件安装：附件安装主要指耐张串、悬垂串、跳线串等金具串的安装。防振锤、间隔棒等防振设备的安装。故障定位、视频监控等监测设备的安装。</w:t>
            </w:r>
          </w:p>
          <w:p w14:paraId="597FA40E">
            <w:pPr>
              <w:spacing w:line="360" w:lineRule="auto"/>
              <w:ind w:firstLine="482" w:firstLineChars="200"/>
              <w:rPr>
                <w:b/>
                <w:bCs/>
                <w:color w:val="auto"/>
                <w:kern w:val="0"/>
                <w:sz w:val="24"/>
                <w:szCs w:val="18"/>
                <w:highlight w:val="none"/>
              </w:rPr>
            </w:pPr>
            <w:r>
              <w:rPr>
                <w:b/>
                <w:bCs/>
                <w:color w:val="auto"/>
                <w:kern w:val="0"/>
                <w:sz w:val="24"/>
                <w:szCs w:val="18"/>
                <w:highlight w:val="none"/>
              </w:rPr>
              <w:t>3、建设周期</w:t>
            </w:r>
          </w:p>
          <w:p w14:paraId="10C58415">
            <w:pPr>
              <w:pStyle w:val="26"/>
              <w:spacing w:before="0" w:beforeAutospacing="0" w:after="0" w:afterAutospacing="0" w:line="360" w:lineRule="auto"/>
              <w:ind w:firstLine="480" w:firstLineChars="200"/>
              <w:jc w:val="both"/>
              <w:outlineLvl w:val="0"/>
              <w:rPr>
                <w:rFonts w:ascii="Times New Roman" w:hAnsi="Times New Roman"/>
                <w:bCs/>
                <w:color w:val="auto"/>
                <w:highlight w:val="none"/>
              </w:rPr>
            </w:pPr>
            <w:bookmarkStart w:id="29" w:name="_Toc29918"/>
            <w:bookmarkStart w:id="30" w:name="_Toc25360"/>
            <w:r>
              <w:rPr>
                <w:rFonts w:ascii="Times New Roman" w:hAnsi="Times New Roman"/>
                <w:color w:val="auto"/>
                <w:szCs w:val="18"/>
                <w:highlight w:val="none"/>
              </w:rPr>
              <w:t>根据本项目项目特点、自然条件，本项目计划202</w:t>
            </w:r>
            <w:r>
              <w:rPr>
                <w:rFonts w:hint="eastAsia" w:ascii="Times New Roman" w:hAnsi="Times New Roman"/>
                <w:color w:val="auto"/>
                <w:szCs w:val="18"/>
                <w:highlight w:val="none"/>
                <w:lang w:val="en-US" w:eastAsia="zh-CN"/>
              </w:rPr>
              <w:t>6</w:t>
            </w:r>
            <w:r>
              <w:rPr>
                <w:rFonts w:ascii="Times New Roman" w:hAnsi="Times New Roman"/>
                <w:color w:val="auto"/>
                <w:szCs w:val="18"/>
                <w:highlight w:val="none"/>
              </w:rPr>
              <w:t>年</w:t>
            </w:r>
            <w:r>
              <w:rPr>
                <w:rFonts w:hint="eastAsia" w:ascii="Times New Roman" w:hAnsi="Times New Roman"/>
                <w:color w:val="auto"/>
                <w:szCs w:val="18"/>
                <w:highlight w:val="none"/>
                <w:lang w:val="en-US" w:eastAsia="zh-CN"/>
              </w:rPr>
              <w:t>9</w:t>
            </w:r>
            <w:r>
              <w:rPr>
                <w:rFonts w:ascii="Times New Roman" w:hAnsi="Times New Roman"/>
                <w:color w:val="auto"/>
                <w:szCs w:val="18"/>
                <w:highlight w:val="none"/>
              </w:rPr>
              <w:t>月施工，202</w:t>
            </w:r>
            <w:r>
              <w:rPr>
                <w:rFonts w:hint="eastAsia" w:ascii="Times New Roman" w:hAnsi="Times New Roman"/>
                <w:color w:val="auto"/>
                <w:szCs w:val="18"/>
                <w:highlight w:val="none"/>
              </w:rPr>
              <w:t>7</w:t>
            </w:r>
            <w:r>
              <w:rPr>
                <w:rFonts w:ascii="Times New Roman" w:hAnsi="Times New Roman"/>
                <w:color w:val="auto"/>
                <w:szCs w:val="18"/>
                <w:highlight w:val="none"/>
              </w:rPr>
              <w:t>年</w:t>
            </w:r>
            <w:r>
              <w:rPr>
                <w:rFonts w:hint="eastAsia" w:ascii="Times New Roman" w:hAnsi="Times New Roman"/>
                <w:color w:val="auto"/>
                <w:szCs w:val="18"/>
                <w:highlight w:val="none"/>
                <w:lang w:val="en-US" w:eastAsia="zh-CN"/>
              </w:rPr>
              <w:t>12</w:t>
            </w:r>
            <w:r>
              <w:rPr>
                <w:rFonts w:ascii="Times New Roman" w:hAnsi="Times New Roman"/>
                <w:color w:val="auto"/>
                <w:highlight w:val="none"/>
              </w:rPr>
              <w:t>月</w:t>
            </w:r>
            <w:r>
              <w:rPr>
                <w:rFonts w:ascii="Times New Roman" w:hAnsi="Times New Roman"/>
                <w:color w:val="auto"/>
                <w:szCs w:val="18"/>
                <w:highlight w:val="none"/>
              </w:rPr>
              <w:t>完工，</w:t>
            </w:r>
            <w:r>
              <w:rPr>
                <w:rFonts w:hint="eastAsia" w:ascii="Times New Roman" w:hAnsi="Times New Roman"/>
                <w:color w:val="auto"/>
                <w:szCs w:val="18"/>
                <w:highlight w:val="none"/>
                <w:lang w:val="en-US" w:eastAsia="zh-CN"/>
              </w:rPr>
              <w:t>总工期</w:t>
            </w:r>
            <w:r>
              <w:rPr>
                <w:rFonts w:ascii="Times New Roman" w:hAnsi="Times New Roman"/>
                <w:color w:val="auto"/>
                <w:szCs w:val="18"/>
                <w:highlight w:val="none"/>
              </w:rPr>
              <w:t>1</w:t>
            </w:r>
            <w:r>
              <w:rPr>
                <w:rFonts w:hint="eastAsia" w:ascii="Times New Roman" w:hAnsi="Times New Roman"/>
                <w:color w:val="auto"/>
                <w:szCs w:val="18"/>
                <w:highlight w:val="none"/>
                <w:lang w:val="en-US" w:eastAsia="zh-CN"/>
              </w:rPr>
              <w:t>6</w:t>
            </w:r>
            <w:r>
              <w:rPr>
                <w:rFonts w:ascii="Times New Roman" w:hAnsi="Times New Roman"/>
                <w:color w:val="auto"/>
                <w:szCs w:val="18"/>
                <w:highlight w:val="none"/>
              </w:rPr>
              <w:t>个月。</w:t>
            </w:r>
            <w:bookmarkEnd w:id="29"/>
            <w:bookmarkEnd w:id="30"/>
          </w:p>
        </w:tc>
      </w:tr>
      <w:tr w14:paraId="3D78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vAlign w:val="center"/>
          </w:tcPr>
          <w:p w14:paraId="42E7BE1C">
            <w:pPr>
              <w:pStyle w:val="26"/>
              <w:spacing w:before="0" w:beforeAutospacing="0" w:after="0" w:afterAutospacing="0" w:line="360" w:lineRule="auto"/>
              <w:jc w:val="center"/>
              <w:outlineLvl w:val="0"/>
              <w:rPr>
                <w:rFonts w:ascii="Times New Roman" w:hAnsi="Times New Roman" w:eastAsia="黑体"/>
                <w:b/>
                <w:bCs/>
                <w:snapToGrid w:val="0"/>
                <w:color w:val="auto"/>
                <w:sz w:val="30"/>
                <w:szCs w:val="30"/>
                <w:highlight w:val="none"/>
              </w:rPr>
            </w:pPr>
            <w:bookmarkStart w:id="31" w:name="_Toc3108"/>
            <w:bookmarkStart w:id="32" w:name="_Toc6692"/>
            <w:r>
              <w:rPr>
                <w:rFonts w:ascii="Times New Roman" w:hAnsi="Times New Roman"/>
                <w:color w:val="auto"/>
                <w:highlight w:val="none"/>
              </w:rPr>
              <w:t>其他</w:t>
            </w:r>
            <w:bookmarkEnd w:id="31"/>
            <w:bookmarkEnd w:id="32"/>
          </w:p>
        </w:tc>
        <w:tc>
          <w:tcPr>
            <w:tcW w:w="8991" w:type="dxa"/>
          </w:tcPr>
          <w:p w14:paraId="4F751E86">
            <w:pPr>
              <w:widowControl/>
              <w:spacing w:line="360" w:lineRule="auto"/>
              <w:ind w:left="420"/>
              <w:jc w:val="left"/>
              <w:rPr>
                <w:b/>
                <w:bCs/>
                <w:color w:val="auto"/>
                <w:kern w:val="0"/>
                <w:sz w:val="24"/>
                <w:highlight w:val="none"/>
              </w:rPr>
            </w:pPr>
            <w:r>
              <w:rPr>
                <w:b/>
                <w:bCs/>
                <w:color w:val="auto"/>
                <w:kern w:val="0"/>
                <w:sz w:val="24"/>
                <w:highlight w:val="none"/>
              </w:rPr>
              <w:t>1、变电站站址方案</w:t>
            </w:r>
          </w:p>
          <w:p w14:paraId="58DA64CE">
            <w:pPr>
              <w:widowControl/>
              <w:tabs>
                <w:tab w:val="left" w:pos="5250"/>
              </w:tabs>
              <w:spacing w:line="360" w:lineRule="auto"/>
              <w:ind w:firstLine="480" w:firstLineChars="200"/>
              <w:jc w:val="left"/>
              <w:rPr>
                <w:rFonts w:hint="eastAsia"/>
                <w:color w:val="auto"/>
                <w:kern w:val="0"/>
                <w:sz w:val="24"/>
                <w:highlight w:val="none"/>
                <w:lang w:val="en-US" w:eastAsia="zh-CN"/>
              </w:rPr>
            </w:pPr>
            <w:r>
              <w:rPr>
                <w:rFonts w:hint="eastAsia"/>
                <w:color w:val="auto"/>
                <w:kern w:val="0"/>
                <w:sz w:val="24"/>
                <w:highlight w:val="none"/>
                <w:lang w:val="en-US" w:eastAsia="zh-CN"/>
              </w:rPr>
              <w:t>拟建张程110kV变电站位于宁夏回族自治区固原市隆德县</w:t>
            </w:r>
            <w:r>
              <w:rPr>
                <w:rFonts w:hint="eastAsia"/>
                <w:color w:val="auto"/>
                <w:sz w:val="24"/>
                <w:highlight w:val="none"/>
                <w:lang w:val="en-US" w:eastAsia="zh-CN"/>
              </w:rPr>
              <w:t>******</w:t>
            </w:r>
            <w:r>
              <w:rPr>
                <w:rFonts w:hint="eastAsia"/>
                <w:color w:val="auto"/>
                <w:kern w:val="0"/>
                <w:sz w:val="24"/>
                <w:highlight w:val="none"/>
                <w:lang w:val="en-US" w:eastAsia="zh-CN"/>
              </w:rPr>
              <w:t>。依据建设单位提出的要求，结合系统专业提资，站址位于</w:t>
            </w:r>
            <w:r>
              <w:rPr>
                <w:rFonts w:hint="eastAsia"/>
                <w:color w:val="auto"/>
                <w:sz w:val="24"/>
                <w:highlight w:val="none"/>
                <w:lang w:val="en-US" w:eastAsia="zh-CN"/>
              </w:rPr>
              <w:t>******</w:t>
            </w:r>
            <w:r>
              <w:rPr>
                <w:rFonts w:hint="eastAsia"/>
                <w:color w:val="auto"/>
                <w:kern w:val="0"/>
                <w:sz w:val="24"/>
                <w:highlight w:val="none"/>
                <w:lang w:val="en-US" w:eastAsia="zh-CN"/>
              </w:rPr>
              <w:t>，建设该变电站主要缓解周边变电站逐渐重负载情况以及优化35kV网架，增强35kV供电可靠性，拟选站址区位满足以上条件，故作为唯一站址，无站址比选方案。</w:t>
            </w:r>
          </w:p>
          <w:p w14:paraId="1637FBF9">
            <w:pPr>
              <w:widowControl/>
              <w:spacing w:line="360" w:lineRule="auto"/>
              <w:ind w:left="420"/>
              <w:jc w:val="left"/>
              <w:rPr>
                <w:b/>
                <w:bCs/>
                <w:color w:val="auto"/>
                <w:kern w:val="0"/>
                <w:sz w:val="24"/>
                <w:highlight w:val="none"/>
              </w:rPr>
            </w:pPr>
            <w:r>
              <w:rPr>
                <w:rFonts w:hint="eastAsia"/>
                <w:b/>
                <w:bCs/>
                <w:color w:val="auto"/>
                <w:kern w:val="0"/>
                <w:sz w:val="24"/>
                <w:highlight w:val="none"/>
              </w:rPr>
              <w:t>2、</w:t>
            </w:r>
            <w:r>
              <w:rPr>
                <w:b/>
                <w:bCs/>
                <w:color w:val="auto"/>
                <w:kern w:val="0"/>
                <w:sz w:val="24"/>
                <w:highlight w:val="none"/>
              </w:rPr>
              <w:t>输电线路</w:t>
            </w:r>
            <w:r>
              <w:rPr>
                <w:rFonts w:hint="eastAsia"/>
                <w:b/>
                <w:bCs/>
                <w:color w:val="auto"/>
                <w:kern w:val="0"/>
                <w:sz w:val="24"/>
                <w:highlight w:val="none"/>
                <w:lang w:val="en-US" w:eastAsia="zh-CN"/>
              </w:rPr>
              <w:t>路径</w:t>
            </w:r>
            <w:r>
              <w:rPr>
                <w:b/>
                <w:bCs/>
                <w:color w:val="auto"/>
                <w:kern w:val="0"/>
                <w:sz w:val="24"/>
                <w:highlight w:val="none"/>
              </w:rPr>
              <w:t>方案</w:t>
            </w:r>
          </w:p>
          <w:p w14:paraId="75F3B6C4">
            <w:pPr>
              <w:pStyle w:val="8"/>
              <w:spacing w:after="0" w:line="360" w:lineRule="auto"/>
              <w:ind w:left="0" w:leftChars="0" w:firstLine="480" w:firstLineChars="200"/>
              <w:rPr>
                <w:b w:val="0"/>
                <w:bCs/>
                <w:color w:val="auto"/>
                <w:highlight w:val="none"/>
              </w:rPr>
            </w:pPr>
            <w:r>
              <w:rPr>
                <w:b w:val="0"/>
                <w:bCs/>
                <w:color w:val="auto"/>
                <w:sz w:val="24"/>
                <w:highlight w:val="none"/>
              </w:rPr>
              <w:t>方案一（推荐</w:t>
            </w:r>
            <w:r>
              <w:rPr>
                <w:rFonts w:hint="eastAsia"/>
                <w:b w:val="0"/>
                <w:bCs/>
                <w:color w:val="auto"/>
                <w:sz w:val="24"/>
                <w:highlight w:val="none"/>
                <w:lang w:val="en-US" w:eastAsia="zh-CN"/>
              </w:rPr>
              <w:t>方案</w:t>
            </w:r>
            <w:r>
              <w:rPr>
                <w:b w:val="0"/>
                <w:bCs/>
                <w:color w:val="auto"/>
                <w:sz w:val="24"/>
                <w:highlight w:val="none"/>
              </w:rPr>
              <w:t>）：</w:t>
            </w:r>
            <w:r>
              <w:rPr>
                <w:rFonts w:hint="eastAsia"/>
                <w:b w:val="0"/>
                <w:bCs/>
                <w:color w:val="auto"/>
                <w:sz w:val="24"/>
                <w:highlight w:val="none"/>
                <w:lang w:val="en-US" w:eastAsia="zh-CN"/>
              </w:rPr>
              <w:t>同线路平面布局。</w:t>
            </w:r>
          </w:p>
          <w:p w14:paraId="17025427">
            <w:pPr>
              <w:widowControl/>
              <w:spacing w:line="360" w:lineRule="auto"/>
              <w:ind w:firstLine="480" w:firstLineChars="200"/>
              <w:jc w:val="left"/>
              <w:rPr>
                <w:bCs/>
                <w:color w:val="auto"/>
                <w:sz w:val="24"/>
                <w:highlight w:val="none"/>
              </w:rPr>
            </w:pPr>
            <w:r>
              <w:rPr>
                <w:b w:val="0"/>
                <w:bCs/>
                <w:color w:val="auto"/>
                <w:sz w:val="24"/>
                <w:highlight w:val="none"/>
              </w:rPr>
              <w:t>方案二（比选方案）：</w:t>
            </w:r>
            <w:r>
              <w:rPr>
                <w:rFonts w:hint="eastAsia"/>
                <w:color w:val="auto"/>
                <w:sz w:val="24"/>
                <w:highlight w:val="none"/>
                <w:lang w:val="en-US" w:eastAsia="zh-CN"/>
              </w:rPr>
              <w:t>******。</w:t>
            </w:r>
          </w:p>
          <w:p w14:paraId="276192D9">
            <w:pPr>
              <w:widowControl/>
              <w:spacing w:line="360" w:lineRule="auto"/>
              <w:ind w:firstLine="480" w:firstLineChars="200"/>
              <w:jc w:val="left"/>
              <w:rPr>
                <w:color w:val="auto"/>
                <w:sz w:val="24"/>
                <w:highlight w:val="none"/>
              </w:rPr>
            </w:pPr>
            <w:r>
              <w:rPr>
                <w:color w:val="auto"/>
                <w:sz w:val="24"/>
                <w:highlight w:val="none"/>
              </w:rPr>
              <w:t>线路路径方案比较情况见表2-</w:t>
            </w:r>
            <w:r>
              <w:rPr>
                <w:rFonts w:hint="eastAsia"/>
                <w:color w:val="auto"/>
                <w:sz w:val="24"/>
                <w:highlight w:val="none"/>
                <w:lang w:val="en-US" w:eastAsia="zh-CN"/>
              </w:rPr>
              <w:t>7</w:t>
            </w:r>
            <w:r>
              <w:rPr>
                <w:rFonts w:hint="eastAsia"/>
                <w:color w:val="auto"/>
                <w:sz w:val="24"/>
                <w:highlight w:val="none"/>
                <w:lang w:eastAsia="zh-CN"/>
              </w:rPr>
              <w:t>，</w:t>
            </w:r>
            <w:r>
              <w:rPr>
                <w:bCs/>
                <w:color w:val="auto"/>
                <w:sz w:val="24"/>
                <w:highlight w:val="none"/>
              </w:rPr>
              <w:t>线路路径</w:t>
            </w:r>
            <w:r>
              <w:rPr>
                <w:rFonts w:hint="eastAsia"/>
                <w:bCs/>
                <w:color w:val="auto"/>
                <w:sz w:val="24"/>
                <w:highlight w:val="none"/>
              </w:rPr>
              <w:t>比选</w:t>
            </w:r>
            <w:r>
              <w:rPr>
                <w:bCs/>
                <w:color w:val="auto"/>
                <w:sz w:val="24"/>
                <w:highlight w:val="none"/>
              </w:rPr>
              <w:t>方案详见</w:t>
            </w:r>
            <w:r>
              <w:rPr>
                <w:b/>
                <w:bCs w:val="0"/>
                <w:color w:val="auto"/>
                <w:sz w:val="24"/>
                <w:highlight w:val="none"/>
              </w:rPr>
              <w:t>附图</w:t>
            </w:r>
            <w:r>
              <w:rPr>
                <w:rFonts w:hint="eastAsia"/>
                <w:b/>
                <w:bCs w:val="0"/>
                <w:color w:val="auto"/>
                <w:sz w:val="24"/>
                <w:highlight w:val="none"/>
                <w:lang w:val="en-US" w:eastAsia="zh-CN"/>
              </w:rPr>
              <w:t>2-6</w:t>
            </w:r>
            <w:r>
              <w:rPr>
                <w:bCs/>
                <w:color w:val="auto"/>
                <w:sz w:val="24"/>
                <w:highlight w:val="none"/>
              </w:rPr>
              <w:t>。</w:t>
            </w:r>
          </w:p>
          <w:p w14:paraId="654B4A79">
            <w:pPr>
              <w:spacing w:line="360" w:lineRule="auto"/>
              <w:jc w:val="center"/>
              <w:outlineLvl w:val="0"/>
              <w:rPr>
                <w:rFonts w:ascii="Times New Roman" w:hAnsi="Times New Roman" w:eastAsia="黑体" w:cs="Times New Roman"/>
                <w:b/>
                <w:color w:val="auto"/>
                <w:sz w:val="24"/>
                <w:highlight w:val="none"/>
              </w:rPr>
            </w:pPr>
            <w:bookmarkStart w:id="33" w:name="_Toc26079"/>
            <w:bookmarkStart w:id="34" w:name="_Toc17529"/>
            <w:r>
              <w:rPr>
                <w:rFonts w:ascii="Times New Roman" w:hAnsi="Times New Roman" w:eastAsia="黑体" w:cs="Times New Roman"/>
                <w:b/>
                <w:color w:val="auto"/>
                <w:sz w:val="24"/>
                <w:highlight w:val="none"/>
              </w:rPr>
              <w:t>表2-</w:t>
            </w:r>
            <w:r>
              <w:rPr>
                <w:rFonts w:hint="eastAsia" w:ascii="Times New Roman" w:hAnsi="Times New Roman" w:eastAsia="黑体" w:cs="Times New Roman"/>
                <w:b/>
                <w:color w:val="auto"/>
                <w:sz w:val="24"/>
                <w:highlight w:val="none"/>
                <w:lang w:val="en-US" w:eastAsia="zh-CN"/>
              </w:rPr>
              <w:t xml:space="preserve">7 </w:t>
            </w:r>
            <w:r>
              <w:rPr>
                <w:rFonts w:ascii="Times New Roman" w:hAnsi="Times New Roman" w:eastAsia="黑体" w:cs="Times New Roman"/>
                <w:b/>
                <w:color w:val="auto"/>
                <w:sz w:val="24"/>
                <w:highlight w:val="none"/>
              </w:rPr>
              <w:t xml:space="preserve"> 线路路径方案比较一览表</w:t>
            </w:r>
            <w:bookmarkEnd w:id="33"/>
            <w:bookmarkEnd w:id="34"/>
          </w:p>
          <w:tbl>
            <w:tblPr>
              <w:tblStyle w:val="28"/>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2402"/>
              <w:gridCol w:w="2932"/>
              <w:gridCol w:w="1137"/>
            </w:tblGrid>
            <w:tr w14:paraId="5CF6D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83" w:type="dxa"/>
                  <w:vAlign w:val="center"/>
                </w:tcPr>
                <w:p w14:paraId="1474F44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402" w:type="dxa"/>
                  <w:vAlign w:val="center"/>
                </w:tcPr>
                <w:p w14:paraId="65CC05F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方案一（推荐</w:t>
                  </w:r>
                  <w:r>
                    <w:rPr>
                      <w:rFonts w:hint="default" w:ascii="Times New Roman" w:hAnsi="Times New Roman" w:cs="Times New Roman"/>
                      <w:color w:val="auto"/>
                      <w:sz w:val="21"/>
                      <w:szCs w:val="21"/>
                      <w:highlight w:val="none"/>
                      <w:lang w:val="en-US" w:eastAsia="zh-CN"/>
                    </w:rPr>
                    <w:t>方案</w:t>
                  </w:r>
                  <w:r>
                    <w:rPr>
                      <w:rFonts w:hint="default" w:ascii="Times New Roman" w:hAnsi="Times New Roman" w:cs="Times New Roman"/>
                      <w:color w:val="auto"/>
                      <w:sz w:val="21"/>
                      <w:szCs w:val="21"/>
                      <w:highlight w:val="none"/>
                    </w:rPr>
                    <w:t>）</w:t>
                  </w:r>
                </w:p>
              </w:tc>
              <w:tc>
                <w:tcPr>
                  <w:tcW w:w="2932" w:type="dxa"/>
                  <w:vAlign w:val="center"/>
                </w:tcPr>
                <w:p w14:paraId="5F0E653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方案二（比选方案）</w:t>
                  </w:r>
                </w:p>
              </w:tc>
              <w:tc>
                <w:tcPr>
                  <w:tcW w:w="1137" w:type="dxa"/>
                  <w:vAlign w:val="center"/>
                </w:tcPr>
                <w:p w14:paraId="464EED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比较结论</w:t>
                  </w:r>
                </w:p>
              </w:tc>
            </w:tr>
            <w:tr w14:paraId="6FDCF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183" w:type="dxa"/>
                  <w:vAlign w:val="center"/>
                </w:tcPr>
                <w:p w14:paraId="2467355A">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线路长度</w:t>
                  </w:r>
                </w:p>
              </w:tc>
              <w:tc>
                <w:tcPr>
                  <w:tcW w:w="2402" w:type="dxa"/>
                  <w:shd w:val="clear" w:color="auto" w:fill="auto"/>
                  <w:vAlign w:val="center"/>
                </w:tcPr>
                <w:p w14:paraId="26769104">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1×1</w:t>
                  </w:r>
                  <w:r>
                    <w:rPr>
                      <w:rFonts w:hint="eastAsia" w:cs="Times New Roman"/>
                      <w:b w:val="0"/>
                      <w:color w:val="auto"/>
                      <w:kern w:val="0"/>
                      <w:sz w:val="21"/>
                      <w:szCs w:val="21"/>
                      <w:highlight w:val="none"/>
                      <w:lang w:val="en-US" w:eastAsia="zh-CN"/>
                    </w:rPr>
                    <w:t>4.23</w:t>
                  </w:r>
                  <w:r>
                    <w:rPr>
                      <w:rFonts w:hint="default" w:ascii="Times New Roman" w:hAnsi="Times New Roman" w:cs="Times New Roman"/>
                      <w:b w:val="0"/>
                      <w:color w:val="auto"/>
                      <w:kern w:val="0"/>
                      <w:sz w:val="21"/>
                      <w:szCs w:val="21"/>
                      <w:highlight w:val="none"/>
                      <w:lang w:val="en-US" w:eastAsia="zh-CN"/>
                    </w:rPr>
                    <w:t>km</w:t>
                  </w:r>
                </w:p>
              </w:tc>
              <w:tc>
                <w:tcPr>
                  <w:tcW w:w="2932" w:type="dxa"/>
                  <w:shd w:val="clear" w:color="auto" w:fill="auto"/>
                  <w:vAlign w:val="center"/>
                </w:tcPr>
                <w:p w14:paraId="2DA61FB2">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1×1</w:t>
                  </w:r>
                  <w:r>
                    <w:rPr>
                      <w:rFonts w:hint="eastAsia" w:cs="Times New Roman"/>
                      <w:b w:val="0"/>
                      <w:color w:val="auto"/>
                      <w:kern w:val="0"/>
                      <w:sz w:val="21"/>
                      <w:szCs w:val="21"/>
                      <w:highlight w:val="none"/>
                      <w:lang w:val="en-US" w:eastAsia="zh-CN"/>
                    </w:rPr>
                    <w:t>5.52</w:t>
                  </w:r>
                  <w:r>
                    <w:rPr>
                      <w:rFonts w:hint="default" w:ascii="Times New Roman" w:hAnsi="Times New Roman" w:cs="Times New Roman"/>
                      <w:b w:val="0"/>
                      <w:color w:val="auto"/>
                      <w:kern w:val="0"/>
                      <w:sz w:val="21"/>
                      <w:szCs w:val="21"/>
                      <w:highlight w:val="none"/>
                      <w:lang w:val="en-US" w:eastAsia="zh-CN"/>
                    </w:rPr>
                    <w:t>km</w:t>
                  </w:r>
                </w:p>
              </w:tc>
              <w:tc>
                <w:tcPr>
                  <w:tcW w:w="1137" w:type="dxa"/>
                  <w:vAlign w:val="center"/>
                </w:tcPr>
                <w:p w14:paraId="591AAFF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方案一优</w:t>
                  </w:r>
                </w:p>
              </w:tc>
            </w:tr>
            <w:tr w14:paraId="2C8A9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vAlign w:val="center"/>
                </w:tcPr>
                <w:p w14:paraId="0B14F37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杆塔数量</w:t>
                  </w:r>
                </w:p>
              </w:tc>
              <w:tc>
                <w:tcPr>
                  <w:tcW w:w="2402" w:type="dxa"/>
                  <w:vAlign w:val="center"/>
                </w:tcPr>
                <w:p w14:paraId="3DCC1DFA">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4</w:t>
                  </w:r>
                  <w:r>
                    <w:rPr>
                      <w:rFonts w:hint="default" w:ascii="Times New Roman" w:hAnsi="Times New Roman" w:cs="Times New Roman"/>
                      <w:b w:val="0"/>
                      <w:bCs w:val="0"/>
                      <w:color w:val="auto"/>
                      <w:sz w:val="21"/>
                      <w:szCs w:val="21"/>
                      <w:highlight w:val="none"/>
                    </w:rPr>
                    <w:t>基</w:t>
                  </w:r>
                </w:p>
              </w:tc>
              <w:tc>
                <w:tcPr>
                  <w:tcW w:w="2932" w:type="dxa"/>
                  <w:vAlign w:val="center"/>
                </w:tcPr>
                <w:p w14:paraId="5AA6D72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62</w:t>
                  </w:r>
                  <w:r>
                    <w:rPr>
                      <w:rFonts w:hint="default" w:ascii="Times New Roman" w:hAnsi="Times New Roman" w:cs="Times New Roman"/>
                      <w:b w:val="0"/>
                      <w:bCs w:val="0"/>
                      <w:color w:val="auto"/>
                      <w:sz w:val="21"/>
                      <w:szCs w:val="21"/>
                      <w:highlight w:val="none"/>
                    </w:rPr>
                    <w:t>基</w:t>
                  </w:r>
                </w:p>
              </w:tc>
              <w:tc>
                <w:tcPr>
                  <w:tcW w:w="1137" w:type="dxa"/>
                  <w:vAlign w:val="center"/>
                </w:tcPr>
                <w:p w14:paraId="4D9A1E5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方案一优</w:t>
                  </w:r>
                </w:p>
              </w:tc>
            </w:tr>
            <w:tr w14:paraId="5A745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vAlign w:val="center"/>
                </w:tcPr>
                <w:p w14:paraId="735F6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pacing w:val="0"/>
                      <w:w w:val="100"/>
                      <w:position w:val="0"/>
                      <w:sz w:val="21"/>
                      <w:szCs w:val="21"/>
                      <w:highlight w:val="none"/>
                      <w:lang w:eastAsia="zh-CN"/>
                    </w:rPr>
                    <w:t>永久占地面积</w:t>
                  </w:r>
                </w:p>
              </w:tc>
              <w:tc>
                <w:tcPr>
                  <w:tcW w:w="2402" w:type="dxa"/>
                  <w:shd w:val="clear" w:color="auto" w:fill="auto"/>
                  <w:vAlign w:val="center"/>
                </w:tcPr>
                <w:p w14:paraId="1A625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b w:val="0"/>
                      <w:bCs w:val="0"/>
                      <w:color w:val="auto"/>
                      <w:szCs w:val="21"/>
                      <w:highlight w:val="none"/>
                    </w:rPr>
                    <w:t>0.</w:t>
                  </w:r>
                  <w:r>
                    <w:rPr>
                      <w:rFonts w:hint="eastAsia"/>
                      <w:b w:val="0"/>
                      <w:bCs w:val="0"/>
                      <w:color w:val="auto"/>
                      <w:szCs w:val="21"/>
                      <w:highlight w:val="none"/>
                      <w:lang w:val="en-US" w:eastAsia="zh-CN"/>
                    </w:rPr>
                    <w:t>1943</w:t>
                  </w:r>
                  <w:r>
                    <w:rPr>
                      <w:rFonts w:hint="eastAsia" w:ascii="Times New Roman" w:hAnsi="Times New Roman" w:cs="Times New Roman"/>
                      <w:b w:val="0"/>
                      <w:bCs w:val="0"/>
                      <w:color w:val="auto"/>
                      <w:spacing w:val="0"/>
                      <w:w w:val="100"/>
                      <w:position w:val="0"/>
                      <w:sz w:val="21"/>
                      <w:szCs w:val="21"/>
                      <w:highlight w:val="none"/>
                      <w:lang w:val="en-US" w:eastAsia="zh-CN"/>
                    </w:rPr>
                    <w:t>hm</w:t>
                  </w:r>
                  <w:r>
                    <w:rPr>
                      <w:rFonts w:hint="eastAsia" w:ascii="Times New Roman" w:hAnsi="Times New Roman" w:cs="Times New Roman"/>
                      <w:b w:val="0"/>
                      <w:bCs w:val="0"/>
                      <w:color w:val="auto"/>
                      <w:spacing w:val="0"/>
                      <w:w w:val="100"/>
                      <w:position w:val="0"/>
                      <w:sz w:val="21"/>
                      <w:szCs w:val="21"/>
                      <w:highlight w:val="none"/>
                      <w:vertAlign w:val="superscript"/>
                      <w:lang w:val="en-US" w:eastAsia="zh-CN"/>
                    </w:rPr>
                    <w:t>2</w:t>
                  </w:r>
                </w:p>
              </w:tc>
              <w:tc>
                <w:tcPr>
                  <w:tcW w:w="2932" w:type="dxa"/>
                  <w:shd w:val="clear" w:color="auto" w:fill="auto"/>
                  <w:vAlign w:val="center"/>
                </w:tcPr>
                <w:p w14:paraId="21C0A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 w:val="0"/>
                      <w:bCs w:val="0"/>
                      <w:color w:val="auto"/>
                      <w:spacing w:val="0"/>
                      <w:w w:val="100"/>
                      <w:kern w:val="2"/>
                      <w:position w:val="0"/>
                      <w:sz w:val="21"/>
                      <w:szCs w:val="21"/>
                      <w:highlight w:val="none"/>
                      <w:lang w:val="en-US" w:eastAsia="zh-CN" w:bidi="ar-SA"/>
                    </w:rPr>
                    <w:t>0.2</w:t>
                  </w:r>
                  <w:r>
                    <w:rPr>
                      <w:rFonts w:hint="eastAsia" w:cs="Times New Roman"/>
                      <w:b w:val="0"/>
                      <w:bCs w:val="0"/>
                      <w:color w:val="auto"/>
                      <w:spacing w:val="0"/>
                      <w:w w:val="100"/>
                      <w:kern w:val="2"/>
                      <w:position w:val="0"/>
                      <w:sz w:val="21"/>
                      <w:szCs w:val="21"/>
                      <w:highlight w:val="none"/>
                      <w:lang w:val="en-US" w:eastAsia="zh-CN" w:bidi="ar-SA"/>
                    </w:rPr>
                    <w:t>231</w:t>
                  </w:r>
                  <w:r>
                    <w:rPr>
                      <w:rFonts w:hint="eastAsia" w:ascii="Times New Roman" w:hAnsi="Times New Roman" w:cs="Times New Roman"/>
                      <w:b w:val="0"/>
                      <w:bCs w:val="0"/>
                      <w:color w:val="auto"/>
                      <w:spacing w:val="0"/>
                      <w:w w:val="100"/>
                      <w:position w:val="0"/>
                      <w:sz w:val="21"/>
                      <w:szCs w:val="21"/>
                      <w:highlight w:val="none"/>
                      <w:lang w:val="en-US" w:eastAsia="zh-CN"/>
                    </w:rPr>
                    <w:t>hm</w:t>
                  </w:r>
                  <w:r>
                    <w:rPr>
                      <w:rFonts w:hint="eastAsia" w:ascii="Times New Roman" w:hAnsi="Times New Roman" w:cs="Times New Roman"/>
                      <w:b w:val="0"/>
                      <w:bCs w:val="0"/>
                      <w:color w:val="auto"/>
                      <w:spacing w:val="0"/>
                      <w:w w:val="100"/>
                      <w:position w:val="0"/>
                      <w:sz w:val="21"/>
                      <w:szCs w:val="21"/>
                      <w:highlight w:val="none"/>
                      <w:vertAlign w:val="superscript"/>
                      <w:lang w:val="en-US" w:eastAsia="zh-CN"/>
                    </w:rPr>
                    <w:t>2</w:t>
                  </w:r>
                </w:p>
              </w:tc>
              <w:tc>
                <w:tcPr>
                  <w:tcW w:w="1137" w:type="dxa"/>
                  <w:vAlign w:val="center"/>
                </w:tcPr>
                <w:p w14:paraId="6E6E45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方案一优</w:t>
                  </w:r>
                </w:p>
              </w:tc>
            </w:tr>
            <w:tr w14:paraId="02C22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vAlign w:val="center"/>
                </w:tcPr>
                <w:p w14:paraId="3767A075">
                  <w:pPr>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电磁和声环境</w:t>
                  </w:r>
                  <w:r>
                    <w:rPr>
                      <w:rFonts w:hint="default" w:ascii="Times New Roman" w:hAnsi="Times New Roman" w:cs="Times New Roman"/>
                      <w:b/>
                      <w:bCs/>
                      <w:color w:val="auto"/>
                      <w:sz w:val="21"/>
                      <w:szCs w:val="21"/>
                      <w:highlight w:val="none"/>
                    </w:rPr>
                    <w:t>敏感目标情况</w:t>
                  </w:r>
                </w:p>
              </w:tc>
              <w:tc>
                <w:tcPr>
                  <w:tcW w:w="2402" w:type="dxa"/>
                  <w:vAlign w:val="center"/>
                </w:tcPr>
                <w:p w14:paraId="1D837874">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1处</w:t>
                  </w:r>
                </w:p>
              </w:tc>
              <w:tc>
                <w:tcPr>
                  <w:tcW w:w="2932" w:type="dxa"/>
                  <w:vAlign w:val="center"/>
                </w:tcPr>
                <w:p w14:paraId="57B0CCB6">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处</w:t>
                  </w:r>
                </w:p>
              </w:tc>
              <w:tc>
                <w:tcPr>
                  <w:tcW w:w="1137" w:type="dxa"/>
                  <w:vAlign w:val="center"/>
                </w:tcPr>
                <w:p w14:paraId="34AA426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方案一优</w:t>
                  </w:r>
                </w:p>
              </w:tc>
            </w:tr>
            <w:tr w14:paraId="710F1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vAlign w:val="center"/>
                </w:tcPr>
                <w:p w14:paraId="1AFC496C">
                  <w:pPr>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环境</w:t>
                  </w:r>
                  <w:r>
                    <w:rPr>
                      <w:rFonts w:hint="eastAsia" w:ascii="Times New Roman" w:hAnsi="Times New Roman" w:cs="Times New Roman"/>
                      <w:b/>
                      <w:bCs/>
                      <w:color w:val="auto"/>
                      <w:sz w:val="21"/>
                      <w:szCs w:val="21"/>
                      <w:highlight w:val="none"/>
                      <w:lang w:val="en-US" w:eastAsia="zh-CN"/>
                    </w:rPr>
                    <w:t>敏感区</w:t>
                  </w:r>
                </w:p>
              </w:tc>
              <w:tc>
                <w:tcPr>
                  <w:tcW w:w="2402" w:type="dxa"/>
                  <w:vAlign w:val="center"/>
                </w:tcPr>
                <w:p w14:paraId="5B9961A4">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线路需一档跨越******，红线范围内不新增永久、临时占地</w:t>
                  </w:r>
                </w:p>
              </w:tc>
              <w:tc>
                <w:tcPr>
                  <w:tcW w:w="2932" w:type="dxa"/>
                  <w:vAlign w:val="center"/>
                </w:tcPr>
                <w:p w14:paraId="2643AD44">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不涉及</w:t>
                  </w:r>
                </w:p>
              </w:tc>
              <w:tc>
                <w:tcPr>
                  <w:tcW w:w="1137" w:type="dxa"/>
                  <w:vAlign w:val="center"/>
                </w:tcPr>
                <w:p w14:paraId="0D5AD7A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方案</w:t>
                  </w:r>
                  <w:r>
                    <w:rPr>
                      <w:rFonts w:hint="eastAsia"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优</w:t>
                  </w:r>
                </w:p>
              </w:tc>
            </w:tr>
            <w:tr w14:paraId="0FEA6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shd w:val="clear" w:color="auto" w:fill="auto"/>
                  <w:vAlign w:val="center"/>
                </w:tcPr>
                <w:p w14:paraId="0294B3D4">
                  <w:pPr>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 w:val="21"/>
                      <w:szCs w:val="21"/>
                      <w:highlight w:val="none"/>
                      <w:lang w:val="en-US" w:eastAsia="zh-CN"/>
                    </w:rPr>
                    <w:t>交通条件</w:t>
                  </w:r>
                </w:p>
              </w:tc>
              <w:tc>
                <w:tcPr>
                  <w:tcW w:w="2402" w:type="dxa"/>
                  <w:shd w:val="clear" w:color="auto" w:fill="auto"/>
                  <w:vAlign w:val="center"/>
                </w:tcPr>
                <w:p w14:paraId="7B70397E">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有可利用便道，施工较为便利</w:t>
                  </w:r>
                </w:p>
              </w:tc>
              <w:tc>
                <w:tcPr>
                  <w:tcW w:w="2932" w:type="dxa"/>
                  <w:shd w:val="clear" w:color="auto" w:fill="auto"/>
                  <w:vAlign w:val="center"/>
                </w:tcPr>
                <w:p w14:paraId="08BBE5A0">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大高差的区段较多，可利用施工便道很少，施工较困难</w:t>
                  </w:r>
                </w:p>
              </w:tc>
              <w:tc>
                <w:tcPr>
                  <w:tcW w:w="1137" w:type="dxa"/>
                  <w:shd w:val="clear" w:color="auto" w:fill="auto"/>
                  <w:vAlign w:val="center"/>
                </w:tcPr>
                <w:p w14:paraId="020FB9B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方案一优</w:t>
                  </w:r>
                </w:p>
              </w:tc>
            </w:tr>
            <w:tr w14:paraId="18EDD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shd w:val="clear" w:color="auto" w:fill="auto"/>
                  <w:vAlign w:val="center"/>
                </w:tcPr>
                <w:p w14:paraId="3488616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b/>
                      <w:bCs/>
                      <w:color w:val="auto"/>
                      <w:sz w:val="21"/>
                      <w:szCs w:val="21"/>
                      <w:highlight w:val="none"/>
                      <w:vertAlign w:val="baseline"/>
                      <w:lang w:val="en-US" w:eastAsia="zh-CN"/>
                    </w:rPr>
                    <w:t>政府部门意见</w:t>
                  </w:r>
                </w:p>
              </w:tc>
              <w:tc>
                <w:tcPr>
                  <w:tcW w:w="2402" w:type="dxa"/>
                  <w:shd w:val="clear" w:color="auto" w:fill="auto"/>
                  <w:vAlign w:val="center"/>
                </w:tcPr>
                <w:p w14:paraId="30BEEC1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同意</w:t>
                  </w:r>
                </w:p>
              </w:tc>
              <w:tc>
                <w:tcPr>
                  <w:tcW w:w="2932" w:type="dxa"/>
                  <w:shd w:val="clear" w:color="auto" w:fill="auto"/>
                  <w:vAlign w:val="center"/>
                </w:tcPr>
                <w:p w14:paraId="74CC78A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不同意</w:t>
                  </w:r>
                </w:p>
              </w:tc>
              <w:tc>
                <w:tcPr>
                  <w:tcW w:w="1137" w:type="dxa"/>
                  <w:shd w:val="clear" w:color="auto" w:fill="auto"/>
                  <w:vAlign w:val="center"/>
                </w:tcPr>
                <w:p w14:paraId="4E8B1C9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方案</w:t>
                  </w:r>
                  <w:r>
                    <w:rPr>
                      <w:rFonts w:hint="eastAsia" w:ascii="Times New Roman" w:hAnsi="Times New Roman" w:cs="Times New Roman"/>
                      <w:b w:val="0"/>
                      <w:bCs w:val="0"/>
                      <w:color w:val="auto"/>
                      <w:sz w:val="21"/>
                      <w:szCs w:val="21"/>
                      <w:highlight w:val="none"/>
                      <w:vertAlign w:val="baseline"/>
                      <w:lang w:val="en-US" w:eastAsia="zh-CN"/>
                    </w:rPr>
                    <w:t>一</w:t>
                  </w:r>
                  <w:r>
                    <w:rPr>
                      <w:rFonts w:hint="default" w:ascii="Times New Roman" w:hAnsi="Times New Roman" w:cs="Times New Roman"/>
                      <w:b w:val="0"/>
                      <w:bCs w:val="0"/>
                      <w:color w:val="auto"/>
                      <w:sz w:val="21"/>
                      <w:szCs w:val="21"/>
                      <w:highlight w:val="none"/>
                      <w:vertAlign w:val="baseline"/>
                      <w:lang w:val="en-US" w:eastAsia="zh-CN"/>
                    </w:rPr>
                    <w:t>优</w:t>
                  </w:r>
                </w:p>
              </w:tc>
            </w:tr>
            <w:tr w14:paraId="62807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3" w:type="dxa"/>
                  <w:vAlign w:val="center"/>
                </w:tcPr>
                <w:p w14:paraId="6A280F65">
                  <w:pPr>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比较结果</w:t>
                  </w:r>
                </w:p>
              </w:tc>
              <w:tc>
                <w:tcPr>
                  <w:tcW w:w="2402" w:type="dxa"/>
                  <w:vAlign w:val="center"/>
                </w:tcPr>
                <w:p w14:paraId="1DE3753A">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推荐</w:t>
                  </w:r>
                </w:p>
              </w:tc>
              <w:tc>
                <w:tcPr>
                  <w:tcW w:w="2932" w:type="dxa"/>
                  <w:vAlign w:val="center"/>
                </w:tcPr>
                <w:p w14:paraId="3A14FC40">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比选</w:t>
                  </w:r>
                </w:p>
              </w:tc>
              <w:tc>
                <w:tcPr>
                  <w:tcW w:w="1137" w:type="dxa"/>
                  <w:vAlign w:val="center"/>
                </w:tcPr>
                <w:p w14:paraId="521DF658">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639DF2C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eastAsia="黑体"/>
                <w:b/>
                <w:bCs/>
                <w:snapToGrid w:val="0"/>
                <w:color w:val="auto"/>
                <w:sz w:val="24"/>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bidi="ar-SA"/>
              </w:rPr>
              <w:t>根据比较结果，</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方案一</w:t>
            </w:r>
            <w:r>
              <w:rPr>
                <w:rFonts w:hint="eastAsia" w:cs="Times New Roman"/>
                <w:color w:val="auto"/>
                <w:spacing w:val="0"/>
                <w:w w:val="100"/>
                <w:kern w:val="0"/>
                <w:position w:val="0"/>
                <w:sz w:val="24"/>
                <w:szCs w:val="24"/>
                <w:highlight w:val="none"/>
                <w:lang w:val="en-US" w:eastAsia="zh-CN" w:bidi="ar-SA"/>
              </w:rPr>
              <w:t>较</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方案二</w:t>
            </w:r>
            <w:r>
              <w:rPr>
                <w:rFonts w:hint="eastAsia" w:cs="Times New Roman"/>
                <w:color w:val="auto"/>
                <w:spacing w:val="0"/>
                <w:w w:val="100"/>
                <w:kern w:val="0"/>
                <w:position w:val="0"/>
                <w:sz w:val="24"/>
                <w:szCs w:val="24"/>
                <w:highlight w:val="none"/>
                <w:lang w:val="en-US" w:eastAsia="zh-CN" w:bidi="ar-SA"/>
              </w:rPr>
              <w:t>线路长度更短、杆塔数量更少、占地面积更小，故方案一</w:t>
            </w:r>
            <w:r>
              <w:rPr>
                <w:rFonts w:hint="eastAsia" w:ascii="Times New Roman" w:hAnsi="Times New Roman" w:eastAsia="宋体" w:cs="Times New Roman"/>
                <w:color w:val="auto"/>
                <w:spacing w:val="0"/>
                <w:w w:val="100"/>
                <w:kern w:val="0"/>
                <w:position w:val="0"/>
                <w:sz w:val="24"/>
                <w:szCs w:val="24"/>
                <w:highlight w:val="none"/>
                <w:lang w:val="en-US" w:eastAsia="zh-CN" w:bidi="ar-SA"/>
              </w:rPr>
              <w:t>对</w:t>
            </w:r>
            <w:r>
              <w:rPr>
                <w:rFonts w:hint="eastAsia" w:cs="Times New Roman"/>
                <w:color w:val="auto"/>
                <w:spacing w:val="0"/>
                <w:w w:val="100"/>
                <w:kern w:val="0"/>
                <w:position w:val="0"/>
                <w:sz w:val="24"/>
                <w:szCs w:val="24"/>
                <w:highlight w:val="none"/>
                <w:lang w:val="en-US" w:eastAsia="zh-CN" w:bidi="ar-SA"/>
              </w:rPr>
              <w:t>生态</w:t>
            </w:r>
            <w:r>
              <w:rPr>
                <w:rFonts w:hint="eastAsia" w:ascii="Times New Roman" w:hAnsi="Times New Roman" w:eastAsia="宋体" w:cs="Times New Roman"/>
                <w:color w:val="auto"/>
                <w:spacing w:val="0"/>
                <w:w w:val="100"/>
                <w:kern w:val="0"/>
                <w:position w:val="0"/>
                <w:sz w:val="24"/>
                <w:szCs w:val="24"/>
                <w:highlight w:val="none"/>
                <w:lang w:val="en-US" w:eastAsia="zh-CN" w:bidi="ar-SA"/>
              </w:rPr>
              <w:t>的影响</w:t>
            </w:r>
            <w:r>
              <w:rPr>
                <w:rFonts w:hint="eastAsia" w:cs="Times New Roman"/>
                <w:color w:val="auto"/>
                <w:spacing w:val="0"/>
                <w:w w:val="100"/>
                <w:kern w:val="0"/>
                <w:position w:val="0"/>
                <w:sz w:val="24"/>
                <w:szCs w:val="24"/>
                <w:highlight w:val="none"/>
                <w:lang w:val="en-US" w:eastAsia="zh-CN" w:bidi="ar-SA"/>
              </w:rPr>
              <w:t>更小；</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方案一较方案二</w:t>
            </w:r>
            <w:r>
              <w:rPr>
                <w:rFonts w:hint="default" w:ascii="Times New Roman" w:hAnsi="Times New Roman" w:eastAsia="宋体" w:cs="Times New Roman"/>
                <w:color w:val="auto"/>
                <w:spacing w:val="0"/>
                <w:w w:val="100"/>
                <w:kern w:val="0"/>
                <w:position w:val="0"/>
                <w:sz w:val="24"/>
                <w:szCs w:val="24"/>
                <w:highlight w:val="none"/>
                <w:lang w:val="en-US" w:eastAsia="zh-CN" w:bidi="ar-SA"/>
              </w:rPr>
              <w:t>电磁和声环境敏感目标</w:t>
            </w:r>
            <w:r>
              <w:rPr>
                <w:rFonts w:hint="eastAsia" w:cs="Times New Roman"/>
                <w:color w:val="auto"/>
                <w:spacing w:val="0"/>
                <w:w w:val="100"/>
                <w:kern w:val="0"/>
                <w:position w:val="0"/>
                <w:sz w:val="24"/>
                <w:szCs w:val="24"/>
                <w:highlight w:val="none"/>
                <w:lang w:val="en-US" w:eastAsia="zh-CN" w:bidi="ar-SA"/>
              </w:rPr>
              <w:t>数量更少，故方案一</w:t>
            </w:r>
            <w:r>
              <w:rPr>
                <w:rFonts w:hint="eastAsia" w:ascii="Times New Roman" w:hAnsi="Times New Roman" w:eastAsia="宋体" w:cs="Times New Roman"/>
                <w:color w:val="auto"/>
                <w:spacing w:val="0"/>
                <w:w w:val="100"/>
                <w:kern w:val="0"/>
                <w:position w:val="0"/>
                <w:sz w:val="24"/>
                <w:szCs w:val="24"/>
                <w:highlight w:val="none"/>
                <w:lang w:val="en-US" w:eastAsia="zh-CN" w:bidi="ar-SA"/>
              </w:rPr>
              <w:t>对电磁和声环境敏感目标的影响</w:t>
            </w:r>
            <w:r>
              <w:rPr>
                <w:rFonts w:hint="eastAsia" w:cs="Times New Roman"/>
                <w:color w:val="auto"/>
                <w:spacing w:val="0"/>
                <w:w w:val="100"/>
                <w:kern w:val="0"/>
                <w:position w:val="0"/>
                <w:sz w:val="24"/>
                <w:szCs w:val="24"/>
                <w:highlight w:val="none"/>
                <w:lang w:val="en-US" w:eastAsia="zh-CN" w:bidi="ar-SA"/>
              </w:rPr>
              <w:t>更小；</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方案一</w:t>
            </w:r>
            <w:r>
              <w:rPr>
                <w:rFonts w:hint="eastAsia" w:cs="Times New Roman"/>
                <w:color w:val="auto"/>
                <w:spacing w:val="0"/>
                <w:w w:val="100"/>
                <w:kern w:val="0"/>
                <w:position w:val="0"/>
                <w:sz w:val="24"/>
                <w:szCs w:val="24"/>
                <w:highlight w:val="none"/>
                <w:lang w:val="en-US" w:eastAsia="zh-CN" w:bidi="ar-SA"/>
              </w:rPr>
              <w:t>涉及1处生态敏感区，</w:t>
            </w:r>
            <w:r>
              <w:rPr>
                <w:rFonts w:hint="eastAsia" w:cs="宋体"/>
                <w:color w:val="auto"/>
                <w:sz w:val="24"/>
                <w:highlight w:val="none"/>
                <w:lang w:val="en-US" w:eastAsia="zh-CN"/>
              </w:rPr>
              <w:t>线路一档跨越******，跨越线路长度约</w:t>
            </w:r>
            <w:r>
              <w:rPr>
                <w:rFonts w:hint="default" w:ascii="Times New Roman" w:hAnsi="Times New Roman" w:cs="Times New Roman"/>
                <w:color w:val="auto"/>
                <w:sz w:val="24"/>
                <w:highlight w:val="none"/>
                <w:lang w:val="en-US" w:eastAsia="zh-CN"/>
              </w:rPr>
              <w:t>13m，</w:t>
            </w:r>
            <w:r>
              <w:rPr>
                <w:rFonts w:hint="eastAsia" w:cs="宋体"/>
                <w:color w:val="auto"/>
                <w:sz w:val="24"/>
                <w:highlight w:val="none"/>
                <w:lang w:val="en-US" w:eastAsia="zh-CN"/>
              </w:rPr>
              <w:t>最近铁塔距离该生态保护红线约</w:t>
            </w:r>
            <w:r>
              <w:rPr>
                <w:rFonts w:hint="eastAsia"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w:t>
            </w:r>
            <w:r>
              <w:rPr>
                <w:rFonts w:hint="eastAsia" w:cs="Times New Roman"/>
                <w:color w:val="auto"/>
                <w:spacing w:val="0"/>
                <w:w w:val="100"/>
                <w:kern w:val="0"/>
                <w:position w:val="0"/>
                <w:sz w:val="24"/>
                <w:szCs w:val="24"/>
                <w:highlight w:val="none"/>
                <w:lang w:val="en-US" w:eastAsia="zh-CN" w:bidi="ar-SA"/>
              </w:rPr>
              <w:t>但在生态保护红线范围内不新增永久、临时占地，</w:t>
            </w:r>
            <w:r>
              <w:rPr>
                <w:rFonts w:hint="default" w:ascii="Times New Roman" w:hAnsi="Times New Roman" w:eastAsia="宋体" w:cs="Times New Roman"/>
                <w:color w:val="auto"/>
                <w:spacing w:val="0"/>
                <w:w w:val="100"/>
                <w:kern w:val="0"/>
                <w:position w:val="0"/>
                <w:sz w:val="24"/>
                <w:szCs w:val="24"/>
                <w:highlight w:val="none"/>
                <w:lang w:val="en-US" w:eastAsia="zh-CN" w:bidi="ar-SA"/>
              </w:rPr>
              <w:t>对生态敏感区的影响</w:t>
            </w:r>
            <w:r>
              <w:rPr>
                <w:rFonts w:hint="eastAsia" w:cs="Times New Roman"/>
                <w:color w:val="auto"/>
                <w:spacing w:val="0"/>
                <w:w w:val="100"/>
                <w:kern w:val="0"/>
                <w:position w:val="0"/>
                <w:sz w:val="24"/>
                <w:szCs w:val="24"/>
                <w:highlight w:val="none"/>
                <w:lang w:val="en-US" w:eastAsia="zh-CN" w:bidi="ar-SA"/>
              </w:rPr>
              <w:t>较</w:t>
            </w:r>
            <w:r>
              <w:rPr>
                <w:rFonts w:hint="default" w:ascii="Times New Roman" w:hAnsi="Times New Roman" w:eastAsia="宋体" w:cs="Times New Roman"/>
                <w:color w:val="auto"/>
                <w:spacing w:val="0"/>
                <w:w w:val="100"/>
                <w:kern w:val="0"/>
                <w:position w:val="0"/>
                <w:sz w:val="24"/>
                <w:szCs w:val="24"/>
                <w:highlight w:val="none"/>
                <w:lang w:val="en-US" w:eastAsia="zh-CN" w:bidi="ar-SA"/>
              </w:rPr>
              <w:t>小</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；方案一</w:t>
            </w:r>
            <w:r>
              <w:rPr>
                <w:rFonts w:hint="eastAsia" w:cs="Times New Roman"/>
                <w:color w:val="auto"/>
                <w:spacing w:val="0"/>
                <w:w w:val="100"/>
                <w:kern w:val="0"/>
                <w:position w:val="0"/>
                <w:sz w:val="24"/>
                <w:szCs w:val="24"/>
                <w:highlight w:val="none"/>
                <w:lang w:val="en-US" w:eastAsia="zh-CN" w:bidi="ar-SA"/>
              </w:rPr>
              <w:t>较</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方案二线路路径沿线</w:t>
            </w:r>
            <w:r>
              <w:rPr>
                <w:rFonts w:hint="eastAsia" w:cs="Times New Roman"/>
                <w:color w:val="auto"/>
                <w:spacing w:val="0"/>
                <w:w w:val="100"/>
                <w:kern w:val="0"/>
                <w:position w:val="0"/>
                <w:sz w:val="24"/>
                <w:szCs w:val="24"/>
                <w:highlight w:val="none"/>
                <w:lang w:val="en-US" w:eastAsia="zh-CN" w:bidi="ar-SA"/>
              </w:rPr>
              <w:t>大高差的区段较少，施工更方便，且可利用施工便道较多，可减少新开辟施工便道等临时占地对植被的破坏</w:t>
            </w:r>
            <w:r>
              <w:rPr>
                <w:rFonts w:hint="default" w:ascii="Times New Roman" w:hAnsi="Times New Roman" w:eastAsia="宋体" w:cs="Times New Roman"/>
                <w:color w:val="auto"/>
                <w:spacing w:val="0"/>
                <w:w w:val="100"/>
                <w:kern w:val="0"/>
                <w:position w:val="0"/>
                <w:sz w:val="24"/>
                <w:szCs w:val="24"/>
                <w:highlight w:val="none"/>
                <w:lang w:val="en-US" w:eastAsia="zh-CN" w:bidi="ar-SA"/>
              </w:rPr>
              <w:t>，</w:t>
            </w:r>
            <w:r>
              <w:rPr>
                <w:rFonts w:hint="eastAsia" w:cs="Times New Roman"/>
                <w:color w:val="auto"/>
                <w:spacing w:val="0"/>
                <w:w w:val="100"/>
                <w:kern w:val="0"/>
                <w:position w:val="0"/>
                <w:sz w:val="24"/>
                <w:szCs w:val="24"/>
                <w:highlight w:val="none"/>
                <w:lang w:val="en-US" w:eastAsia="zh-CN" w:bidi="ar-SA"/>
              </w:rPr>
              <w:t>故方案一对生态影响更小。</w:t>
            </w:r>
            <w:r>
              <w:rPr>
                <w:rFonts w:hint="default" w:ascii="Times New Roman" w:hAnsi="Times New Roman" w:eastAsia="宋体" w:cs="Times New Roman"/>
                <w:color w:val="auto"/>
                <w:spacing w:val="0"/>
                <w:w w:val="100"/>
                <w:kern w:val="0"/>
                <w:position w:val="0"/>
                <w:sz w:val="24"/>
                <w:szCs w:val="24"/>
                <w:highlight w:val="none"/>
                <w:lang w:val="en-US" w:eastAsia="zh-CN" w:bidi="ar-SA"/>
              </w:rPr>
              <w:t>综上，从生态环境保护角度考虑，推荐</w:t>
            </w:r>
            <w:r>
              <w:rPr>
                <w:rFonts w:hint="eastAsia" w:ascii="Times New Roman" w:hAnsi="Times New Roman" w:eastAsia="宋体" w:cs="Times New Roman"/>
                <w:color w:val="auto"/>
                <w:spacing w:val="0"/>
                <w:w w:val="100"/>
                <w:kern w:val="0"/>
                <w:position w:val="0"/>
                <w:sz w:val="24"/>
                <w:szCs w:val="24"/>
                <w:highlight w:val="none"/>
                <w:lang w:val="en-US" w:eastAsia="zh-CN" w:bidi="ar-SA"/>
              </w:rPr>
              <w:t>方案一</w:t>
            </w:r>
            <w:r>
              <w:rPr>
                <w:rFonts w:hint="default" w:ascii="Times New Roman" w:hAnsi="Times New Roman" w:eastAsia="宋体" w:cs="Times New Roman"/>
                <w:color w:val="auto"/>
                <w:spacing w:val="0"/>
                <w:w w:val="100"/>
                <w:kern w:val="0"/>
                <w:position w:val="0"/>
                <w:sz w:val="24"/>
                <w:szCs w:val="24"/>
                <w:highlight w:val="none"/>
                <w:lang w:val="en-US" w:eastAsia="zh-CN" w:bidi="ar-SA"/>
              </w:rPr>
              <w:t>为本项目线路路径方案。</w:t>
            </w:r>
          </w:p>
        </w:tc>
      </w:tr>
    </w:tbl>
    <w:p w14:paraId="51B06175">
      <w:pPr>
        <w:pStyle w:val="26"/>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r>
        <w:rPr>
          <w:rFonts w:ascii="Times New Roman" w:hAnsi="Times New Roman" w:eastAsia="仿宋_GB2312"/>
          <w:b/>
          <w:bCs/>
          <w:color w:val="auto"/>
          <w:highlight w:val="none"/>
        </w:rPr>
        <w:br w:type="page"/>
      </w:r>
      <w:bookmarkStart w:id="35" w:name="_Toc17272"/>
      <w:r>
        <w:rPr>
          <w:rFonts w:ascii="Times New Roman" w:hAnsi="Times New Roman" w:eastAsia="黑体"/>
          <w:b/>
          <w:bCs/>
          <w:snapToGrid w:val="0"/>
          <w:color w:val="auto"/>
          <w:sz w:val="30"/>
          <w:szCs w:val="30"/>
          <w:highlight w:val="none"/>
        </w:rPr>
        <w:t>三、生态环境现状、保护目标及评价标准</w:t>
      </w:r>
      <w:bookmarkEnd w:id="35"/>
    </w:p>
    <w:tbl>
      <w:tblPr>
        <w:tblStyle w:val="28"/>
        <w:tblW w:w="94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67"/>
      </w:tblGrid>
      <w:tr w14:paraId="12238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06" w:type="dxa"/>
            <w:vAlign w:val="center"/>
          </w:tcPr>
          <w:p w14:paraId="7697B55E">
            <w:pPr>
              <w:adjustRightInd w:val="0"/>
              <w:snapToGrid w:val="0"/>
              <w:jc w:val="center"/>
              <w:rPr>
                <w:color w:val="auto"/>
                <w:kern w:val="0"/>
                <w:szCs w:val="21"/>
                <w:highlight w:val="none"/>
              </w:rPr>
            </w:pPr>
            <w:r>
              <w:rPr>
                <w:color w:val="auto"/>
                <w:kern w:val="0"/>
                <w:sz w:val="24"/>
                <w:highlight w:val="none"/>
              </w:rPr>
              <w:t>生态环境现状</w:t>
            </w:r>
          </w:p>
        </w:tc>
        <w:tc>
          <w:tcPr>
            <w:tcW w:w="8767" w:type="dxa"/>
            <w:vAlign w:val="center"/>
          </w:tcPr>
          <w:p w14:paraId="3515DE9F">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1、区域自然环境现状</w:t>
            </w:r>
          </w:p>
          <w:p w14:paraId="230A3CD3">
            <w:pPr>
              <w:spacing w:line="360" w:lineRule="auto"/>
              <w:ind w:firstLine="482" w:firstLineChars="200"/>
              <w:rPr>
                <w:color w:val="auto"/>
                <w:sz w:val="24"/>
                <w:highlight w:val="none"/>
              </w:rPr>
            </w:pPr>
            <w:r>
              <w:rPr>
                <w:b/>
                <w:bCs/>
                <w:color w:val="auto"/>
                <w:sz w:val="24"/>
                <w:highlight w:val="none"/>
              </w:rPr>
              <w:t>（1）地形地貌</w:t>
            </w:r>
          </w:p>
          <w:p w14:paraId="37EBB5DF">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新建张程110千伏变电站站址区地貌单元属宁夏黄土丘陵与河谷平原区西吉梁峁黄土丘陵与河谷平原亚区，现状地貌为梯田，田坎高约2~3m，整体地势北高南低。新建渝河110千伏变电站~张程变110千伏线路工程走廊所属地貌单元可划分为山间河谷平原、黄土丘陵地貌，线路海拔1850m~2500m。</w:t>
            </w:r>
          </w:p>
          <w:p w14:paraId="5ACC33EE">
            <w:pPr>
              <w:spacing w:line="360" w:lineRule="auto"/>
              <w:ind w:firstLine="480" w:firstLineChars="200"/>
              <w:rPr>
                <w:color w:val="auto"/>
                <w:sz w:val="24"/>
                <w:highlight w:val="none"/>
              </w:rPr>
            </w:pPr>
            <w:r>
              <w:rPr>
                <w:rFonts w:hint="eastAsia"/>
                <w:color w:val="auto"/>
                <w:sz w:val="24"/>
                <w:highlight w:val="none"/>
                <w:lang w:val="en-US" w:eastAsia="zh-CN"/>
              </w:rPr>
              <w:t>本项目</w:t>
            </w:r>
            <w:r>
              <w:rPr>
                <w:color w:val="auto"/>
                <w:kern w:val="0"/>
                <w:sz w:val="24"/>
                <w:highlight w:val="none"/>
              </w:rPr>
              <w:t>变电站站址及输电线路地形地貌如图3-1。</w:t>
            </w:r>
          </w:p>
          <w:tbl>
            <w:tblPr>
              <w:tblStyle w:val="28"/>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0"/>
              <w:gridCol w:w="4180"/>
            </w:tblGrid>
            <w:tr w14:paraId="34A5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66F12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 w:val="21"/>
                      <w:szCs w:val="21"/>
                      <w:highlight w:val="none"/>
                    </w:rPr>
                  </w:pPr>
                  <w:r>
                    <w:rPr>
                      <w:rFonts w:hint="eastAsia"/>
                      <w:color w:val="auto"/>
                      <w:sz w:val="21"/>
                      <w:szCs w:val="21"/>
                      <w:highlight w:val="none"/>
                      <w:lang w:val="en-US" w:eastAsia="zh-CN"/>
                    </w:rPr>
                    <w:t>******</w:t>
                  </w:r>
                </w:p>
              </w:tc>
              <w:tc>
                <w:tcPr>
                  <w:tcW w:w="4180" w:type="dxa"/>
                  <w:vAlign w:val="top"/>
                </w:tcPr>
                <w:p w14:paraId="4BFFE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 w:val="21"/>
                      <w:szCs w:val="21"/>
                      <w:highlight w:val="none"/>
                    </w:rPr>
                  </w:pPr>
                  <w:r>
                    <w:rPr>
                      <w:rFonts w:hint="eastAsia"/>
                      <w:color w:val="auto"/>
                      <w:sz w:val="21"/>
                      <w:szCs w:val="21"/>
                      <w:highlight w:val="none"/>
                      <w:lang w:val="en-US" w:eastAsia="zh-CN"/>
                    </w:rPr>
                    <w:t>******</w:t>
                  </w:r>
                </w:p>
              </w:tc>
            </w:tr>
            <w:tr w14:paraId="3203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090E5E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180" w:type="dxa"/>
                  <w:vAlign w:val="top"/>
                </w:tcPr>
                <w:p w14:paraId="5523AB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14:paraId="5730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337600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4180" w:type="dxa"/>
                  <w:vAlign w:val="top"/>
                </w:tcPr>
                <w:p w14:paraId="12A263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14:paraId="0068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7C23C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180" w:type="dxa"/>
                  <w:vAlign w:val="top"/>
                </w:tcPr>
                <w:p w14:paraId="1807F7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3364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0223E0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4180" w:type="dxa"/>
                  <w:vAlign w:val="top"/>
                </w:tcPr>
                <w:p w14:paraId="12B23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lang w:val="en-US" w:eastAsia="zh-CN"/>
                    </w:rPr>
                    <w:t>******</w:t>
                  </w:r>
                </w:p>
              </w:tc>
            </w:tr>
            <w:tr w14:paraId="30C4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55065A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180" w:type="dxa"/>
                  <w:vAlign w:val="top"/>
                </w:tcPr>
                <w:p w14:paraId="12AB5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7A20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60" w:type="dxa"/>
                  <w:gridSpan w:val="2"/>
                  <w:vAlign w:val="top"/>
                </w:tcPr>
                <w:p w14:paraId="568CFF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kern w:val="0"/>
                      <w:sz w:val="24"/>
                      <w:highlight w:val="none"/>
                    </w:rPr>
                  </w:pPr>
                  <w:r>
                    <w:rPr>
                      <w:rFonts w:hint="eastAsia"/>
                      <w:b/>
                      <w:bCs/>
                      <w:color w:val="auto"/>
                      <w:szCs w:val="21"/>
                      <w:highlight w:val="none"/>
                      <w:lang w:val="en-US" w:eastAsia="zh-CN"/>
                    </w:rPr>
                    <w:t>拟建张程110千伏</w:t>
                  </w:r>
                  <w:r>
                    <w:rPr>
                      <w:b/>
                      <w:bCs/>
                      <w:color w:val="auto"/>
                      <w:szCs w:val="21"/>
                      <w:highlight w:val="none"/>
                    </w:rPr>
                    <w:t>变电站站址区域</w:t>
                  </w:r>
                </w:p>
              </w:tc>
            </w:tr>
            <w:tr w14:paraId="7047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13B22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lang w:val="en-US" w:eastAsia="zh-CN"/>
                    </w:rPr>
                    <w:t>******</w:t>
                  </w:r>
                </w:p>
              </w:tc>
              <w:tc>
                <w:tcPr>
                  <w:tcW w:w="4180" w:type="dxa"/>
                  <w:vAlign w:val="top"/>
                </w:tcPr>
                <w:p w14:paraId="34248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lang w:val="en-US" w:eastAsia="zh-CN"/>
                    </w:rPr>
                    <w:t>******</w:t>
                  </w:r>
                </w:p>
              </w:tc>
            </w:tr>
            <w:tr w14:paraId="08B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35B111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lang w:val="en-US" w:eastAsia="zh-CN"/>
                    </w:rPr>
                    <w:t>******</w:t>
                  </w:r>
                </w:p>
              </w:tc>
              <w:tc>
                <w:tcPr>
                  <w:tcW w:w="4180" w:type="dxa"/>
                  <w:vAlign w:val="top"/>
                </w:tcPr>
                <w:p w14:paraId="64F0E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eastAsia"/>
                      <w:color w:val="auto"/>
                      <w:sz w:val="21"/>
                      <w:szCs w:val="21"/>
                      <w:highlight w:val="none"/>
                      <w:lang w:val="en-US" w:eastAsia="zh-CN"/>
                    </w:rPr>
                    <w:t>******</w:t>
                  </w:r>
                </w:p>
              </w:tc>
            </w:tr>
            <w:tr w14:paraId="43CD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60" w:type="dxa"/>
                  <w:gridSpan w:val="2"/>
                  <w:vAlign w:val="top"/>
                </w:tcPr>
                <w:p w14:paraId="6779B9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kern w:val="0"/>
                      <w:sz w:val="24"/>
                      <w:highlight w:val="none"/>
                    </w:rPr>
                  </w:pPr>
                  <w:r>
                    <w:rPr>
                      <w:rFonts w:hint="eastAsia"/>
                      <w:b/>
                      <w:bCs/>
                      <w:color w:val="auto"/>
                      <w:kern w:val="0"/>
                      <w:szCs w:val="21"/>
                      <w:highlight w:val="none"/>
                      <w:lang w:val="en-US" w:eastAsia="zh-CN"/>
                    </w:rPr>
                    <w:t>拟建</w:t>
                  </w:r>
                  <w:r>
                    <w:rPr>
                      <w:b/>
                      <w:bCs/>
                      <w:color w:val="auto"/>
                      <w:kern w:val="0"/>
                      <w:szCs w:val="21"/>
                      <w:highlight w:val="none"/>
                    </w:rPr>
                    <w:t>输电线路</w:t>
                  </w:r>
                  <w:r>
                    <w:rPr>
                      <w:rFonts w:hint="eastAsia"/>
                      <w:b/>
                      <w:bCs/>
                      <w:color w:val="auto"/>
                      <w:kern w:val="0"/>
                      <w:szCs w:val="21"/>
                      <w:highlight w:val="none"/>
                      <w:lang w:val="en-US" w:eastAsia="zh-CN"/>
                    </w:rPr>
                    <w:t>路径走廊</w:t>
                  </w:r>
                  <w:r>
                    <w:rPr>
                      <w:b/>
                      <w:bCs/>
                      <w:color w:val="auto"/>
                      <w:kern w:val="0"/>
                      <w:szCs w:val="21"/>
                      <w:highlight w:val="none"/>
                    </w:rPr>
                    <w:t>地形地貌</w:t>
                  </w:r>
                </w:p>
              </w:tc>
            </w:tr>
            <w:tr w14:paraId="1A5C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60" w:type="dxa"/>
                  <w:gridSpan w:val="2"/>
                  <w:tcBorders>
                    <w:top w:val="nil"/>
                    <w:left w:val="nil"/>
                    <w:bottom w:val="nil"/>
                    <w:right w:val="nil"/>
                  </w:tcBorders>
                  <w:vAlign w:val="top"/>
                </w:tcPr>
                <w:p w14:paraId="2D686E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kern w:val="0"/>
                      <w:szCs w:val="21"/>
                      <w:highlight w:val="none"/>
                    </w:rPr>
                  </w:pPr>
                  <w:r>
                    <w:rPr>
                      <w:rFonts w:eastAsia="黑体"/>
                      <w:b/>
                      <w:color w:val="auto"/>
                      <w:kern w:val="0"/>
                      <w:sz w:val="24"/>
                      <w:highlight w:val="none"/>
                    </w:rPr>
                    <w:t>图3-1  本项目所经区域地形地貌</w:t>
                  </w:r>
                </w:p>
              </w:tc>
            </w:tr>
          </w:tbl>
          <w:p w14:paraId="6660F60A">
            <w:pPr>
              <w:tabs>
                <w:tab w:val="left" w:pos="420"/>
                <w:tab w:val="left" w:pos="840"/>
                <w:tab w:val="left" w:pos="1260"/>
              </w:tabs>
              <w:spacing w:line="360" w:lineRule="auto"/>
              <w:ind w:firstLine="482" w:firstLineChars="200"/>
              <w:rPr>
                <w:b/>
                <w:bCs/>
                <w:color w:val="auto"/>
                <w:kern w:val="0"/>
                <w:sz w:val="24"/>
                <w:highlight w:val="none"/>
              </w:rPr>
            </w:pPr>
            <w:r>
              <w:rPr>
                <w:b/>
                <w:bCs/>
                <w:color w:val="auto"/>
                <w:sz w:val="24"/>
                <w:highlight w:val="none"/>
              </w:rPr>
              <w:t>（2）地层结构</w:t>
            </w:r>
          </w:p>
          <w:p w14:paraId="30CBCD5A">
            <w:pPr>
              <w:pStyle w:val="10"/>
              <w:spacing w:line="360" w:lineRule="auto"/>
              <w:ind w:firstLine="480" w:firstLineChars="200"/>
              <w:rPr>
                <w:rFonts w:hint="default" w:ascii="Times New Roman" w:eastAsia="宋体"/>
                <w:color w:val="auto"/>
                <w:kern w:val="0"/>
                <w:sz w:val="24"/>
                <w:highlight w:val="none"/>
              </w:rPr>
            </w:pPr>
            <w:r>
              <w:rPr>
                <w:rFonts w:hint="default" w:ascii="Times New Roman" w:eastAsia="宋体"/>
                <w:color w:val="auto"/>
                <w:kern w:val="0"/>
                <w:sz w:val="24"/>
                <w:highlight w:val="none"/>
              </w:rPr>
              <w:t>根据</w:t>
            </w:r>
            <w:r>
              <w:rPr>
                <w:rFonts w:hint="eastAsia" w:ascii="Times New Roman" w:eastAsia="宋体"/>
                <w:color w:val="auto"/>
                <w:kern w:val="0"/>
                <w:sz w:val="24"/>
                <w:highlight w:val="none"/>
                <w:lang w:val="en-US" w:eastAsia="zh-CN"/>
              </w:rPr>
              <w:t>本项目</w:t>
            </w:r>
            <w:r>
              <w:rPr>
                <w:rFonts w:hint="default" w:ascii="Times New Roman" w:eastAsia="宋体"/>
                <w:color w:val="auto"/>
                <w:kern w:val="0"/>
                <w:sz w:val="24"/>
                <w:highlight w:val="none"/>
              </w:rPr>
              <w:t>《岩土工程勘察报告》，现将</w:t>
            </w:r>
            <w:r>
              <w:rPr>
                <w:rFonts w:hint="eastAsia" w:ascii="Times New Roman" w:eastAsia="宋体"/>
                <w:color w:val="auto"/>
                <w:kern w:val="0"/>
                <w:sz w:val="24"/>
                <w:highlight w:val="none"/>
                <w:lang w:val="en-US" w:eastAsia="zh-CN"/>
              </w:rPr>
              <w:t>项目所在区域</w:t>
            </w:r>
            <w:r>
              <w:rPr>
                <w:rFonts w:hint="default" w:ascii="Times New Roman" w:eastAsia="宋体"/>
                <w:color w:val="auto"/>
                <w:kern w:val="0"/>
                <w:sz w:val="24"/>
                <w:highlight w:val="none"/>
              </w:rPr>
              <w:t>地层岩性及其分布和特性自上而下描述如下：</w:t>
            </w:r>
          </w:p>
          <w:p w14:paraId="28B109A1">
            <w:pPr>
              <w:pStyle w:val="10"/>
              <w:spacing w:line="360" w:lineRule="auto"/>
              <w:ind w:firstLine="480" w:firstLineChars="200"/>
              <w:rPr>
                <w:rFonts w:hint="default"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1）</w:t>
            </w:r>
            <w:r>
              <w:rPr>
                <w:rFonts w:hint="default" w:ascii="Times New Roman" w:eastAsia="宋体"/>
                <w:color w:val="auto"/>
                <w:kern w:val="0"/>
                <w:sz w:val="24"/>
                <w:highlight w:val="none"/>
                <w:lang w:val="en-US" w:eastAsia="zh-CN"/>
              </w:rPr>
              <w:t>渝河110</w:t>
            </w:r>
            <w:r>
              <w:rPr>
                <w:rFonts w:hint="eastAsia" w:ascii="Times New Roman" w:eastAsia="宋体"/>
                <w:color w:val="auto"/>
                <w:kern w:val="0"/>
                <w:sz w:val="24"/>
                <w:highlight w:val="none"/>
                <w:lang w:val="en-US" w:eastAsia="zh-CN"/>
              </w:rPr>
              <w:t>千伏</w:t>
            </w:r>
            <w:r>
              <w:rPr>
                <w:rFonts w:hint="default" w:ascii="Times New Roman" w:eastAsia="宋体"/>
                <w:color w:val="auto"/>
                <w:kern w:val="0"/>
                <w:sz w:val="24"/>
                <w:highlight w:val="none"/>
                <w:lang w:val="en-US" w:eastAsia="zh-CN"/>
              </w:rPr>
              <w:t>变电站~N2+150m、N4+700~N5</w:t>
            </w:r>
          </w:p>
          <w:p w14:paraId="022B089A">
            <w:pPr>
              <w:pStyle w:val="10"/>
              <w:spacing w:line="360" w:lineRule="auto"/>
              <w:ind w:firstLine="480" w:firstLineChars="200"/>
              <w:rPr>
                <w:rFonts w:hint="default" w:ascii="Times New Roman" w:eastAsia="宋体"/>
                <w:color w:val="auto"/>
                <w:kern w:val="0"/>
                <w:sz w:val="24"/>
                <w:highlight w:val="none"/>
              </w:rPr>
            </w:pPr>
            <w:r>
              <w:rPr>
                <w:rFonts w:hint="default" w:ascii="Times New Roman" w:eastAsia="宋体"/>
                <w:color w:val="auto"/>
                <w:kern w:val="0"/>
                <w:sz w:val="24"/>
                <w:highlight w:val="none"/>
                <w:lang w:val="en-US" w:eastAsia="zh-CN"/>
              </w:rPr>
              <w:t>①</w:t>
            </w:r>
            <w:r>
              <w:rPr>
                <w:rFonts w:hint="default" w:ascii="Times New Roman" w:eastAsia="宋体"/>
                <w:color w:val="auto"/>
                <w:kern w:val="0"/>
                <w:sz w:val="24"/>
                <w:highlight w:val="none"/>
                <w:vertAlign w:val="subscript"/>
                <w:lang w:val="en-US" w:eastAsia="zh-CN"/>
              </w:rPr>
              <w:t>1</w:t>
            </w:r>
            <w:r>
              <w:rPr>
                <w:rFonts w:hint="default" w:ascii="Times New Roman" w:eastAsia="宋体"/>
                <w:color w:val="auto"/>
                <w:kern w:val="0"/>
                <w:sz w:val="24"/>
                <w:highlight w:val="none"/>
                <w:lang w:val="en-US" w:eastAsia="zh-CN"/>
              </w:rPr>
              <w:t>耕土（Q</w:t>
            </w:r>
            <w:r>
              <w:rPr>
                <w:rFonts w:hint="default" w:ascii="Times New Roman" w:eastAsia="宋体"/>
                <w:color w:val="auto"/>
                <w:kern w:val="0"/>
                <w:sz w:val="24"/>
                <w:highlight w:val="none"/>
                <w:vertAlign w:val="subscript"/>
                <w:lang w:val="en-US" w:eastAsia="zh-CN"/>
              </w:rPr>
              <w:t>4</w:t>
            </w:r>
            <w:r>
              <w:rPr>
                <w:rFonts w:hint="default" w:ascii="Times New Roman" w:eastAsia="宋体"/>
                <w:color w:val="auto"/>
                <w:kern w:val="0"/>
                <w:sz w:val="24"/>
                <w:highlight w:val="none"/>
                <w:vertAlign w:val="superscript"/>
                <w:lang w:val="en-US" w:eastAsia="zh-CN"/>
              </w:rPr>
              <w:t>ml</w:t>
            </w:r>
            <w:r>
              <w:rPr>
                <w:rFonts w:hint="default" w:ascii="Times New Roman" w:eastAsia="宋体"/>
                <w:color w:val="auto"/>
                <w:kern w:val="0"/>
                <w:sz w:val="24"/>
                <w:highlight w:val="none"/>
                <w:lang w:val="en-US" w:eastAsia="zh-CN"/>
              </w:rPr>
              <w:t xml:space="preserve">）：浅黄色，稍湿，松散，成分以粉土主，土质不均，表层含植物根系。该层普遍位于该段线路表层，层厚0.8～1.5m，平均层厚0.8m。 </w:t>
            </w:r>
          </w:p>
          <w:p w14:paraId="54C5F8DF">
            <w:pPr>
              <w:pStyle w:val="10"/>
              <w:spacing w:line="360" w:lineRule="auto"/>
              <w:ind w:firstLine="480" w:firstLineChars="200"/>
              <w:rPr>
                <w:rFonts w:hint="default" w:ascii="Times New Roman" w:eastAsia="宋体"/>
                <w:color w:val="auto"/>
                <w:kern w:val="0"/>
                <w:sz w:val="24"/>
                <w:highlight w:val="none"/>
              </w:rPr>
            </w:pPr>
            <w:r>
              <w:rPr>
                <w:rFonts w:hint="default" w:ascii="Times New Roman" w:eastAsia="宋体"/>
                <w:color w:val="auto"/>
                <w:kern w:val="0"/>
                <w:sz w:val="24"/>
                <w:highlight w:val="none"/>
                <w:lang w:val="en-US" w:eastAsia="zh-CN"/>
              </w:rPr>
              <w:t>①黄土状粉土（Q</w:t>
            </w:r>
            <w:r>
              <w:rPr>
                <w:rFonts w:hint="default" w:ascii="Times New Roman" w:eastAsia="宋体"/>
                <w:color w:val="auto"/>
                <w:kern w:val="0"/>
                <w:sz w:val="24"/>
                <w:highlight w:val="none"/>
                <w:vertAlign w:val="subscript"/>
                <w:lang w:val="en-US" w:eastAsia="zh-CN"/>
              </w:rPr>
              <w:t>4</w:t>
            </w:r>
            <w:r>
              <w:rPr>
                <w:rFonts w:hint="default" w:ascii="Times New Roman" w:eastAsia="宋体"/>
                <w:color w:val="auto"/>
                <w:kern w:val="0"/>
                <w:sz w:val="24"/>
                <w:highlight w:val="none"/>
                <w:vertAlign w:val="superscript"/>
                <w:lang w:val="en-US" w:eastAsia="zh-CN"/>
              </w:rPr>
              <w:t>al</w:t>
            </w:r>
            <w:r>
              <w:rPr>
                <w:rFonts w:hint="default" w:ascii="Times New Roman" w:eastAsia="宋体"/>
                <w:color w:val="auto"/>
                <w:kern w:val="0"/>
                <w:sz w:val="24"/>
                <w:highlight w:val="none"/>
                <w:lang w:val="en-US" w:eastAsia="zh-CN"/>
              </w:rPr>
              <w:t>）：黄褐色-灰褐色，稍密-中密，稍湿，表层含较多植物根系，具大孔结构，垂直节理发育，含菌丝状、白色条带状钙质粉末，具湿陷性，湿陷程度多为中等。该层在该段沿线普遍分布，位于①</w:t>
            </w:r>
            <w:r>
              <w:rPr>
                <w:rFonts w:hint="default" w:ascii="Times New Roman" w:eastAsia="宋体"/>
                <w:color w:val="auto"/>
                <w:kern w:val="0"/>
                <w:sz w:val="24"/>
                <w:highlight w:val="none"/>
                <w:vertAlign w:val="subscript"/>
                <w:lang w:val="en-US" w:eastAsia="zh-CN"/>
              </w:rPr>
              <w:t>1</w:t>
            </w:r>
            <w:r>
              <w:rPr>
                <w:rFonts w:hint="default" w:ascii="Times New Roman" w:eastAsia="宋体"/>
                <w:color w:val="auto"/>
                <w:kern w:val="0"/>
                <w:sz w:val="24"/>
                <w:highlight w:val="none"/>
                <w:lang w:val="en-US" w:eastAsia="zh-CN"/>
              </w:rPr>
              <w:t xml:space="preserve">耕土之下，层厚一般2.0～5.0m。 </w:t>
            </w:r>
          </w:p>
          <w:p w14:paraId="237F04F9">
            <w:pPr>
              <w:pStyle w:val="10"/>
              <w:spacing w:line="360" w:lineRule="auto"/>
              <w:ind w:firstLine="480" w:firstLineChars="200"/>
              <w:rPr>
                <w:rFonts w:hint="default" w:ascii="Times New Roman" w:eastAsia="宋体"/>
                <w:color w:val="auto"/>
                <w:kern w:val="0"/>
                <w:sz w:val="24"/>
                <w:highlight w:val="none"/>
              </w:rPr>
            </w:pPr>
            <w:r>
              <w:rPr>
                <w:rFonts w:hint="default" w:ascii="Times New Roman" w:eastAsia="宋体"/>
                <w:color w:val="auto"/>
                <w:kern w:val="0"/>
                <w:sz w:val="24"/>
                <w:highlight w:val="none"/>
                <w:lang w:val="en-US" w:eastAsia="zh-CN"/>
              </w:rPr>
              <w:t>②粉土（Q</w:t>
            </w:r>
            <w:r>
              <w:rPr>
                <w:rFonts w:hint="default" w:ascii="Times New Roman" w:eastAsia="宋体"/>
                <w:color w:val="auto"/>
                <w:kern w:val="0"/>
                <w:sz w:val="24"/>
                <w:highlight w:val="none"/>
                <w:vertAlign w:val="subscript"/>
                <w:lang w:val="en-US" w:eastAsia="zh-CN"/>
              </w:rPr>
              <w:t>4</w:t>
            </w:r>
            <w:r>
              <w:rPr>
                <w:rFonts w:hint="default" w:ascii="Times New Roman" w:eastAsia="宋体"/>
                <w:color w:val="auto"/>
                <w:kern w:val="0"/>
                <w:sz w:val="24"/>
                <w:highlight w:val="none"/>
                <w:vertAlign w:val="superscript"/>
                <w:lang w:val="en-US" w:eastAsia="zh-CN"/>
              </w:rPr>
              <w:t>al</w:t>
            </w:r>
            <w:r>
              <w:rPr>
                <w:rFonts w:hint="default" w:ascii="Times New Roman" w:eastAsia="宋体"/>
                <w:color w:val="auto"/>
                <w:kern w:val="0"/>
                <w:sz w:val="24"/>
                <w:highlight w:val="none"/>
                <w:lang w:val="en-US" w:eastAsia="zh-CN"/>
              </w:rPr>
              <w:t xml:space="preserve">）：黄褐色，湿-饱和，松散-稍密，黏粒含量较高，含水量较高，有摇振反应，干强度低，韧性低,不具湿陷性，土质较均匀。该层仅在该段部分地段分布，层顶埋深2.0～4.0m，层厚约4.0~8.0m，层底埋深4.0～13.0m。 </w:t>
            </w:r>
          </w:p>
          <w:p w14:paraId="6ECC4A49">
            <w:pPr>
              <w:pStyle w:val="10"/>
              <w:spacing w:line="360" w:lineRule="auto"/>
              <w:ind w:firstLine="480" w:firstLineChars="200"/>
              <w:rPr>
                <w:rFonts w:hint="default" w:ascii="Times New Roman" w:eastAsia="宋体"/>
                <w:color w:val="auto"/>
                <w:kern w:val="0"/>
                <w:sz w:val="24"/>
                <w:highlight w:val="none"/>
              </w:rPr>
            </w:pPr>
            <w:r>
              <w:rPr>
                <w:rFonts w:hint="default" w:ascii="Times New Roman" w:eastAsia="宋体"/>
                <w:color w:val="auto"/>
                <w:kern w:val="0"/>
                <w:sz w:val="24"/>
                <w:highlight w:val="none"/>
                <w:lang w:val="en-US" w:eastAsia="zh-CN"/>
              </w:rPr>
              <w:t>③角砾（Q</w:t>
            </w:r>
            <w:r>
              <w:rPr>
                <w:rFonts w:hint="default" w:ascii="Times New Roman" w:eastAsia="宋体"/>
                <w:color w:val="auto"/>
                <w:kern w:val="0"/>
                <w:sz w:val="24"/>
                <w:highlight w:val="none"/>
                <w:vertAlign w:val="subscript"/>
                <w:lang w:val="en-US" w:eastAsia="zh-CN"/>
              </w:rPr>
              <w:t>4</w:t>
            </w:r>
            <w:r>
              <w:rPr>
                <w:rFonts w:hint="default" w:ascii="Times New Roman" w:eastAsia="宋体"/>
                <w:color w:val="auto"/>
                <w:kern w:val="0"/>
                <w:sz w:val="24"/>
                <w:highlight w:val="none"/>
                <w:vertAlign w:val="superscript"/>
                <w:lang w:val="en-US" w:eastAsia="zh-CN"/>
              </w:rPr>
              <w:t>al+pl</w:t>
            </w:r>
            <w:r>
              <w:rPr>
                <w:rFonts w:hint="default" w:ascii="Times New Roman" w:eastAsia="宋体"/>
                <w:color w:val="auto"/>
                <w:kern w:val="0"/>
                <w:sz w:val="24"/>
                <w:highlight w:val="none"/>
                <w:lang w:val="en-US" w:eastAsia="zh-CN"/>
              </w:rPr>
              <w:t xml:space="preserve">）：杂色，次棱角状、片状，稍湿-饱和，稍密-中密，砾石成分以砂岩、灰岩为主，直径一般在2～40mm之间，最大粒径约200mm，充填中粗砂、粉土、粉黏等，未胶结。该层在沿线普遍分布，位于线路表层或②粉土之下，层顶埋深0.0～9.0m，层厚一般大于5.0m，局部下伏泥岩。 </w:t>
            </w:r>
          </w:p>
          <w:p w14:paraId="058C4271">
            <w:pPr>
              <w:pStyle w:val="10"/>
              <w:spacing w:line="360" w:lineRule="auto"/>
              <w:ind w:firstLine="480" w:firstLineChars="200"/>
              <w:rPr>
                <w:rFonts w:hint="default" w:ascii="Times New Roman" w:eastAsia="宋体"/>
                <w:color w:val="auto"/>
                <w:kern w:val="0"/>
                <w:sz w:val="24"/>
                <w:highlight w:val="none"/>
                <w:lang w:val="en-US" w:eastAsia="zh-CN"/>
              </w:rPr>
            </w:pPr>
            <w:r>
              <w:rPr>
                <w:rFonts w:hint="default" w:ascii="Times New Roman" w:eastAsia="宋体"/>
                <w:color w:val="auto"/>
                <w:kern w:val="0"/>
                <w:sz w:val="24"/>
                <w:highlight w:val="none"/>
                <w:lang w:val="en-US" w:eastAsia="zh-CN"/>
              </w:rPr>
              <w:t>④泥岩（N</w:t>
            </w:r>
            <w:r>
              <w:rPr>
                <w:rFonts w:hint="default" w:ascii="Times New Roman" w:eastAsia="宋体"/>
                <w:color w:val="auto"/>
                <w:kern w:val="0"/>
                <w:sz w:val="24"/>
                <w:highlight w:val="none"/>
                <w:vertAlign w:val="subscript"/>
                <w:lang w:val="en-US" w:eastAsia="zh-CN"/>
              </w:rPr>
              <w:t>1</w:t>
            </w:r>
            <w:r>
              <w:rPr>
                <w:rFonts w:hint="eastAsia" w:ascii="Times New Roman" w:eastAsia="宋体"/>
                <w:color w:val="auto"/>
                <w:kern w:val="0"/>
                <w:sz w:val="24"/>
                <w:highlight w:val="none"/>
                <w:vertAlign w:val="subscript"/>
                <w:lang w:val="en-US" w:eastAsia="zh-CN"/>
              </w:rPr>
              <w:t>Z</w:t>
            </w:r>
            <w:r>
              <w:rPr>
                <w:rFonts w:hint="default" w:ascii="Times New Roman" w:eastAsia="宋体"/>
                <w:color w:val="auto"/>
                <w:kern w:val="0"/>
                <w:sz w:val="24"/>
                <w:highlight w:val="none"/>
                <w:lang w:val="en-US" w:eastAsia="zh-CN"/>
              </w:rPr>
              <w:t>）</w:t>
            </w:r>
            <w:r>
              <w:rPr>
                <w:rFonts w:hint="eastAsia" w:ascii="Times New Roman" w:eastAsia="宋体"/>
                <w:color w:val="auto"/>
                <w:kern w:val="0"/>
                <w:sz w:val="24"/>
                <w:highlight w:val="none"/>
                <w:lang w:val="en-US" w:eastAsia="zh-CN"/>
              </w:rPr>
              <w:t>：</w:t>
            </w:r>
            <w:r>
              <w:rPr>
                <w:rFonts w:hint="default" w:ascii="Times New Roman" w:eastAsia="宋体"/>
                <w:color w:val="auto"/>
                <w:kern w:val="0"/>
                <w:sz w:val="24"/>
                <w:highlight w:val="none"/>
                <w:lang w:val="en-US" w:eastAsia="zh-CN"/>
              </w:rPr>
              <w:t>砖红色-紫红色，泥质结构，块状构造，遇水易软化崩解，局部夹石膏结晶体，部分表层1.0m风化呈硬塑状黏土。该层位于②粉土或③角砾之下，层厚大于15.0m。</w:t>
            </w:r>
          </w:p>
          <w:p w14:paraId="39A6AFB6">
            <w:pPr>
              <w:pStyle w:val="10"/>
              <w:spacing w:line="360" w:lineRule="auto"/>
              <w:ind w:firstLine="480" w:firstLineChars="200"/>
              <w:rPr>
                <w:rFonts w:hint="default" w:ascii="Times New Roman" w:eastAsia="宋体"/>
                <w:color w:val="auto"/>
                <w:kern w:val="0"/>
                <w:sz w:val="24"/>
                <w:highlight w:val="none"/>
                <w:lang w:val="en-US" w:eastAsia="zh-CN"/>
              </w:rPr>
            </w:pPr>
            <w:r>
              <w:rPr>
                <w:rFonts w:hint="eastAsia" w:ascii="Times New Roman" w:eastAsia="宋体"/>
                <w:color w:val="auto"/>
                <w:kern w:val="0"/>
                <w:sz w:val="24"/>
                <w:highlight w:val="none"/>
                <w:lang w:val="en-US" w:eastAsia="zh-CN"/>
              </w:rPr>
              <w:t>2）</w:t>
            </w:r>
            <w:r>
              <w:rPr>
                <w:rFonts w:hint="default" w:ascii="Times New Roman" w:eastAsia="宋体"/>
                <w:color w:val="auto"/>
                <w:kern w:val="0"/>
                <w:sz w:val="24"/>
                <w:highlight w:val="none"/>
                <w:lang w:val="en-US" w:eastAsia="zh-CN"/>
              </w:rPr>
              <w:t>N2+150m~张程110</w:t>
            </w:r>
            <w:r>
              <w:rPr>
                <w:rFonts w:hint="eastAsia" w:ascii="Times New Roman" w:eastAsia="宋体"/>
                <w:color w:val="auto"/>
                <w:kern w:val="0"/>
                <w:sz w:val="24"/>
                <w:highlight w:val="none"/>
                <w:lang w:val="en-US" w:eastAsia="zh-CN"/>
              </w:rPr>
              <w:t>千伏</w:t>
            </w:r>
            <w:r>
              <w:rPr>
                <w:rFonts w:hint="default" w:ascii="Times New Roman" w:eastAsia="宋体"/>
                <w:color w:val="auto"/>
                <w:kern w:val="0"/>
                <w:sz w:val="24"/>
                <w:highlight w:val="none"/>
                <w:lang w:val="en-US" w:eastAsia="zh-CN"/>
              </w:rPr>
              <w:t>变电站</w:t>
            </w:r>
          </w:p>
          <w:p w14:paraId="5A33B294">
            <w:pPr>
              <w:pStyle w:val="1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vertAlign w:val="subscript"/>
                <w:lang w:val="en-US" w:eastAsia="zh-CN"/>
              </w:rPr>
              <w:t>1</w:t>
            </w:r>
            <w:r>
              <w:rPr>
                <w:rFonts w:hint="default" w:ascii="Times New Roman" w:hAnsi="Times New Roman" w:eastAsia="宋体" w:cs="Times New Roman"/>
                <w:color w:val="auto"/>
                <w:kern w:val="0"/>
                <w:sz w:val="24"/>
                <w:highlight w:val="none"/>
                <w:lang w:val="en-US" w:eastAsia="zh-CN"/>
              </w:rPr>
              <w:t>耕土（Q</w:t>
            </w:r>
            <w:r>
              <w:rPr>
                <w:rFonts w:hint="default" w:ascii="Times New Roman" w:hAnsi="Times New Roman" w:eastAsia="宋体" w:cs="Times New Roman"/>
                <w:color w:val="auto"/>
                <w:kern w:val="0"/>
                <w:sz w:val="24"/>
                <w:highlight w:val="none"/>
                <w:vertAlign w:val="subscript"/>
                <w:lang w:val="en-US" w:eastAsia="zh-CN"/>
              </w:rPr>
              <w:t>4</w:t>
            </w:r>
            <w:r>
              <w:rPr>
                <w:rFonts w:hint="default" w:ascii="Times New Roman" w:hAnsi="Times New Roman" w:eastAsia="宋体" w:cs="Times New Roman"/>
                <w:color w:val="auto"/>
                <w:kern w:val="0"/>
                <w:sz w:val="24"/>
                <w:highlight w:val="none"/>
                <w:vertAlign w:val="superscript"/>
                <w:lang w:val="en-US" w:eastAsia="zh-CN"/>
              </w:rPr>
              <w:t>ml</w:t>
            </w:r>
            <w:r>
              <w:rPr>
                <w:rFonts w:hint="default" w:ascii="Times New Roman" w:hAnsi="Times New Roman" w:eastAsia="宋体" w:cs="Times New Roman"/>
                <w:color w:val="auto"/>
                <w:kern w:val="0"/>
                <w:sz w:val="24"/>
                <w:highlight w:val="none"/>
                <w:lang w:val="en-US" w:eastAsia="zh-CN"/>
              </w:rPr>
              <w:t xml:space="preserve">）：浅黄色，稍湿，松散，成分以粉土主，土质不均，表层含植物根系。该层普遍位于该段线路表层，层厚0.8～1.5m，平均层厚1.0m。 </w:t>
            </w:r>
          </w:p>
          <w:p w14:paraId="46C2B6A2">
            <w:pPr>
              <w:pStyle w:val="1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①</w:t>
            </w:r>
            <w:r>
              <w:rPr>
                <w:rFonts w:hint="default" w:ascii="Times New Roman" w:hAnsi="Times New Roman" w:eastAsia="宋体"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素填土（Q</w:t>
            </w:r>
            <w:r>
              <w:rPr>
                <w:rFonts w:hint="default" w:ascii="Times New Roman" w:hAnsi="Times New Roman" w:eastAsia="宋体" w:cs="Times New Roman"/>
                <w:color w:val="auto"/>
                <w:kern w:val="0"/>
                <w:sz w:val="24"/>
                <w:highlight w:val="none"/>
                <w:vertAlign w:val="subscript"/>
                <w:lang w:val="en-US" w:eastAsia="zh-CN"/>
              </w:rPr>
              <w:t>4</w:t>
            </w:r>
            <w:r>
              <w:rPr>
                <w:rFonts w:hint="default" w:ascii="Times New Roman" w:hAnsi="Times New Roman" w:eastAsia="宋体" w:cs="Times New Roman"/>
                <w:color w:val="auto"/>
                <w:kern w:val="0"/>
                <w:sz w:val="24"/>
                <w:highlight w:val="none"/>
                <w:vertAlign w:val="superscript"/>
                <w:lang w:val="en-US" w:eastAsia="zh-CN"/>
              </w:rPr>
              <w:t>ml</w:t>
            </w:r>
            <w:r>
              <w:rPr>
                <w:rFonts w:hint="default" w:ascii="Times New Roman" w:hAnsi="Times New Roman" w:eastAsia="宋体" w:cs="Times New Roman"/>
                <w:color w:val="auto"/>
                <w:kern w:val="0"/>
                <w:sz w:val="24"/>
                <w:highlight w:val="none"/>
                <w:lang w:val="en-US" w:eastAsia="zh-CN"/>
              </w:rPr>
              <w:t xml:space="preserve">）：黄褐色，松散，稍湿，主要成分由黄土状粉土组成，该层主要由高标准农田建设场地整平形成，位于线路表层，堆积时间小于2年，仅在局部地段分布，层厚1.0～3.5m。 </w:t>
            </w:r>
          </w:p>
          <w:p w14:paraId="10248735">
            <w:pPr>
              <w:pStyle w:val="1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①黄土（Q</w:t>
            </w:r>
            <w:r>
              <w:rPr>
                <w:rFonts w:hint="default" w:ascii="Times New Roman" w:hAnsi="Times New Roman" w:eastAsia="宋体" w:cs="Times New Roman"/>
                <w:color w:val="auto"/>
                <w:kern w:val="0"/>
                <w:sz w:val="24"/>
                <w:highlight w:val="none"/>
                <w:vertAlign w:val="subscript"/>
                <w:lang w:val="en-US" w:eastAsia="zh-CN"/>
              </w:rPr>
              <w:t>4</w:t>
            </w:r>
            <w:r>
              <w:rPr>
                <w:rFonts w:hint="default" w:ascii="Times New Roman" w:hAnsi="Times New Roman" w:eastAsia="宋体" w:cs="Times New Roman"/>
                <w:color w:val="auto"/>
                <w:kern w:val="0"/>
                <w:sz w:val="24"/>
                <w:highlight w:val="none"/>
                <w:vertAlign w:val="superscript"/>
                <w:lang w:val="en-US" w:eastAsia="zh-CN"/>
              </w:rPr>
              <w:t>eol</w:t>
            </w:r>
            <w:r>
              <w:rPr>
                <w:rFonts w:hint="default" w:ascii="Times New Roman" w:hAnsi="Times New Roman" w:eastAsia="宋体" w:cs="Times New Roman"/>
                <w:color w:val="auto"/>
                <w:kern w:val="0"/>
                <w:sz w:val="24"/>
                <w:highlight w:val="none"/>
                <w:lang w:val="en-US" w:eastAsia="zh-CN"/>
              </w:rPr>
              <w:t>）：褐黄色，稍密，稍湿，表层含较多植物根系，具大孔结构，垂直节理发育，含菌丝状、白色条带状钙质粉末，具湿陷性，湿陷程度多为严重-中等。该层在该段沿线普遍分布，位于①</w:t>
            </w:r>
            <w:r>
              <w:rPr>
                <w:rFonts w:hint="default" w:ascii="Times New Roman" w:hAnsi="Times New Roman" w:eastAsia="宋体" w:cs="Times New Roman"/>
                <w:color w:val="auto"/>
                <w:kern w:val="0"/>
                <w:sz w:val="24"/>
                <w:highlight w:val="none"/>
                <w:vertAlign w:val="subscript"/>
                <w:lang w:val="en-US" w:eastAsia="zh-CN"/>
              </w:rPr>
              <w:t>1</w:t>
            </w:r>
            <w:r>
              <w:rPr>
                <w:rFonts w:hint="default" w:ascii="Times New Roman" w:hAnsi="Times New Roman" w:eastAsia="宋体" w:cs="Times New Roman"/>
                <w:color w:val="auto"/>
                <w:kern w:val="0"/>
                <w:sz w:val="24"/>
                <w:highlight w:val="none"/>
                <w:lang w:val="en-US" w:eastAsia="zh-CN"/>
              </w:rPr>
              <w:t>耕土或①</w:t>
            </w:r>
            <w:r>
              <w:rPr>
                <w:rFonts w:hint="default" w:ascii="Times New Roman" w:hAnsi="Times New Roman" w:eastAsia="宋体"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 xml:space="preserve">素填土之下，层厚普遍大于15.0m，仅局部地段厚度约6.0~8.0m。 </w:t>
            </w:r>
          </w:p>
          <w:p w14:paraId="1F095331">
            <w:pPr>
              <w:pStyle w:val="10"/>
              <w:spacing w:line="360" w:lineRule="auto"/>
              <w:ind w:firstLine="480" w:firstLineChars="200"/>
              <w:rPr>
                <w:color w:val="auto"/>
                <w:sz w:val="24"/>
                <w:highlight w:val="none"/>
              </w:rPr>
            </w:pPr>
            <w:r>
              <w:rPr>
                <w:rFonts w:hint="default" w:ascii="Times New Roman" w:hAnsi="Times New Roman" w:eastAsia="宋体" w:cs="Times New Roman"/>
                <w:color w:val="auto"/>
                <w:kern w:val="0"/>
                <w:sz w:val="24"/>
                <w:highlight w:val="none"/>
                <w:lang w:val="en-US" w:eastAsia="zh-CN"/>
              </w:rPr>
              <w:t>②泥岩（N</w:t>
            </w:r>
            <w:r>
              <w:rPr>
                <w:rFonts w:hint="default" w:ascii="Times New Roman" w:hAnsi="Times New Roman" w:eastAsia="宋体" w:cs="Times New Roman"/>
                <w:color w:val="auto"/>
                <w:kern w:val="0"/>
                <w:sz w:val="24"/>
                <w:highlight w:val="none"/>
                <w:vertAlign w:val="subscript"/>
                <w:lang w:val="en-US" w:eastAsia="zh-CN"/>
              </w:rPr>
              <w:t>1Z</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砖红色-紫红色，泥质结构，块状构造，遇水易软化崩解，局部夹石膏结晶体，部分表层1.0m风化呈硬塑状黏土。该层仅在沿线局部地段揭露，位于①黄土之下，层厚大于15.0m。</w:t>
            </w:r>
          </w:p>
          <w:p w14:paraId="43C94575">
            <w:pPr>
              <w:spacing w:line="360" w:lineRule="auto"/>
              <w:ind w:left="420" w:leftChars="200"/>
              <w:rPr>
                <w:b/>
                <w:bCs/>
                <w:color w:val="auto"/>
                <w:sz w:val="24"/>
                <w:highlight w:val="none"/>
              </w:rPr>
            </w:pPr>
            <w:r>
              <w:rPr>
                <w:b/>
                <w:bCs/>
                <w:color w:val="auto"/>
                <w:sz w:val="24"/>
                <w:highlight w:val="none"/>
              </w:rPr>
              <w:t>（3）气候气象</w:t>
            </w:r>
          </w:p>
          <w:p w14:paraId="1B7A7E5C">
            <w:pPr>
              <w:spacing w:line="360" w:lineRule="auto"/>
              <w:ind w:firstLine="480" w:firstLineChars="200"/>
              <w:jc w:val="left"/>
              <w:rPr>
                <w:color w:val="auto"/>
                <w:sz w:val="24"/>
                <w:highlight w:val="none"/>
              </w:rPr>
            </w:pPr>
            <w:r>
              <w:rPr>
                <w:color w:val="auto"/>
                <w:sz w:val="24"/>
                <w:highlight w:val="none"/>
              </w:rPr>
              <w:t>本项目位于</w:t>
            </w:r>
            <w:r>
              <w:rPr>
                <w:rFonts w:hint="eastAsia"/>
                <w:color w:val="auto"/>
                <w:sz w:val="24"/>
                <w:highlight w:val="none"/>
                <w:lang w:val="en-US" w:eastAsia="zh-CN"/>
              </w:rPr>
              <w:t>固原市隆德</w:t>
            </w:r>
            <w:r>
              <w:rPr>
                <w:rFonts w:hint="eastAsia"/>
                <w:color w:val="auto"/>
                <w:sz w:val="24"/>
                <w:highlight w:val="none"/>
              </w:rPr>
              <w:t>县境内，</w:t>
            </w:r>
            <w:r>
              <w:rPr>
                <w:rFonts w:hint="default" w:ascii="Times New Roman" w:hAnsi="Times New Roman" w:cs="Times New Roman"/>
                <w:color w:val="auto"/>
                <w:sz w:val="24"/>
                <w:highlight w:val="none"/>
              </w:rPr>
              <w:t>属中温带半湿润区</w:t>
            </w:r>
            <w:r>
              <w:rPr>
                <w:rFonts w:hint="eastAsia" w:ascii="Times New Roman" w:hAnsi="Times New Roman" w:cs="Times New Roman"/>
                <w:color w:val="auto"/>
                <w:sz w:val="24"/>
                <w:highlight w:val="none"/>
                <w:lang w:val="en-US" w:eastAsia="zh-CN"/>
              </w:rPr>
              <w:t>气候</w:t>
            </w:r>
            <w:r>
              <w:rPr>
                <w:rFonts w:hint="default" w:ascii="Times New Roman" w:hAnsi="Times New Roman" w:cs="Times New Roman"/>
                <w:color w:val="auto"/>
                <w:sz w:val="24"/>
                <w:highlight w:val="none"/>
              </w:rPr>
              <w:t>，</w:t>
            </w:r>
            <w:r>
              <w:rPr>
                <w:rFonts w:hint="eastAsia"/>
                <w:color w:val="auto"/>
                <w:sz w:val="24"/>
                <w:highlight w:val="none"/>
              </w:rPr>
              <w:t>全年大部分时间受高压空西北风的环流影响，受青藏高原大气团的控制，境内降水少、蒸发量大，干燥度较高，大陆性气候特征明显，四季气候分明</w:t>
            </w:r>
            <w:r>
              <w:rPr>
                <w:color w:val="auto"/>
                <w:sz w:val="24"/>
                <w:highlight w:val="none"/>
              </w:rPr>
              <w:t>。</w:t>
            </w:r>
          </w:p>
          <w:p w14:paraId="454E55A1">
            <w:pPr>
              <w:pStyle w:val="10"/>
              <w:spacing w:line="360" w:lineRule="auto"/>
              <w:ind w:firstLine="482" w:firstLineChars="200"/>
              <w:rPr>
                <w:rFonts w:hint="default" w:ascii="Times New Roman" w:eastAsia="宋体"/>
                <w:b/>
                <w:bCs/>
                <w:color w:val="auto"/>
                <w:kern w:val="0"/>
                <w:sz w:val="24"/>
                <w:highlight w:val="none"/>
              </w:rPr>
            </w:pPr>
            <w:r>
              <w:rPr>
                <w:rFonts w:hint="default" w:ascii="Times New Roman" w:eastAsia="宋体"/>
                <w:b/>
                <w:bCs/>
                <w:color w:val="auto"/>
                <w:kern w:val="0"/>
                <w:sz w:val="24"/>
                <w:highlight w:val="none"/>
              </w:rPr>
              <w:t>（4）水文</w:t>
            </w:r>
          </w:p>
          <w:p w14:paraId="636F158B">
            <w:pPr>
              <w:autoSpaceDE w:val="0"/>
              <w:autoSpaceDN w:val="0"/>
              <w:spacing w:line="360" w:lineRule="auto"/>
              <w:ind w:firstLine="480" w:firstLineChars="200"/>
              <w:rPr>
                <w:rFonts w:hint="eastAsia" w:ascii="Times New Roman" w:hAnsi="Times New Roman" w:eastAsia="宋体"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拟建张程110千伏变电站周围无稳定地表径流；拟建</w:t>
            </w:r>
            <w:r>
              <w:rPr>
                <w:rFonts w:hint="eastAsia"/>
                <w:color w:val="auto"/>
                <w:sz w:val="24"/>
                <w:highlight w:val="none"/>
                <w:lang w:val="en-US" w:eastAsia="zh-CN"/>
              </w:rPr>
              <w:t>渝河110千伏变电站~张程变110千伏线路</w:t>
            </w:r>
            <w:r>
              <w:rPr>
                <w:rFonts w:hint="eastAsia" w:eastAsia="宋体" w:cs="Times New Roman"/>
                <w:color w:val="auto"/>
                <w:spacing w:val="0"/>
                <w:w w:val="100"/>
                <w:position w:val="0"/>
                <w:sz w:val="24"/>
                <w:szCs w:val="24"/>
                <w:highlight w:val="none"/>
                <w:lang w:val="en-US" w:eastAsia="zh-CN"/>
              </w:rPr>
              <w:t>一档跨越筛子河及其他冲沟等水体。</w:t>
            </w:r>
            <w:r>
              <w:rPr>
                <w:rFonts w:hint="eastAsia"/>
                <w:color w:val="auto"/>
                <w:kern w:val="0"/>
                <w:sz w:val="24"/>
                <w:szCs w:val="24"/>
                <w:highlight w:val="none"/>
                <w:lang w:val="en-US" w:eastAsia="zh-CN"/>
              </w:rPr>
              <w:t>筛子河为渝河右岸支流，是渝河主要支流之一。</w:t>
            </w:r>
          </w:p>
          <w:p w14:paraId="20084A21">
            <w:pPr>
              <w:spacing w:line="360" w:lineRule="auto"/>
              <w:ind w:firstLine="482" w:firstLineChars="200"/>
              <w:jc w:val="left"/>
              <w:rPr>
                <w:b/>
                <w:bCs/>
                <w:color w:val="auto"/>
                <w:kern w:val="0"/>
                <w:sz w:val="24"/>
                <w:highlight w:val="none"/>
              </w:rPr>
            </w:pPr>
            <w:r>
              <w:rPr>
                <w:b/>
                <w:bCs/>
                <w:color w:val="auto"/>
                <w:kern w:val="0"/>
                <w:sz w:val="24"/>
                <w:highlight w:val="none"/>
              </w:rPr>
              <w:t>2、区域生态环境现状</w:t>
            </w:r>
          </w:p>
          <w:p w14:paraId="79108CC8">
            <w:pPr>
              <w:adjustRightInd w:val="0"/>
              <w:snapToGrid w:val="0"/>
              <w:spacing w:line="360" w:lineRule="auto"/>
              <w:ind w:firstLine="482" w:firstLineChars="200"/>
              <w:jc w:val="left"/>
              <w:rPr>
                <w:color w:val="auto"/>
                <w:kern w:val="0"/>
                <w:sz w:val="24"/>
                <w:highlight w:val="none"/>
              </w:rPr>
            </w:pPr>
            <w:r>
              <w:rPr>
                <w:b/>
                <w:bCs/>
                <w:color w:val="auto"/>
                <w:kern w:val="0"/>
                <w:sz w:val="24"/>
                <w:highlight w:val="none"/>
              </w:rPr>
              <w:t>（1）生态环境现状</w:t>
            </w:r>
          </w:p>
          <w:p w14:paraId="0AF5C8B9">
            <w:pPr>
              <w:spacing w:line="360" w:lineRule="auto"/>
              <w:ind w:firstLine="480" w:firstLineChars="200"/>
              <w:jc w:val="left"/>
              <w:rPr>
                <w:color w:val="auto"/>
                <w:sz w:val="24"/>
                <w:highlight w:val="none"/>
              </w:rPr>
            </w:pPr>
            <w:r>
              <w:rPr>
                <w:color w:val="auto"/>
                <w:sz w:val="24"/>
                <w:highlight w:val="none"/>
              </w:rPr>
              <w:t>本项目所</w:t>
            </w:r>
            <w:r>
              <w:rPr>
                <w:rFonts w:hint="eastAsia"/>
                <w:color w:val="auto"/>
                <w:sz w:val="24"/>
                <w:highlight w:val="none"/>
                <w:lang w:val="en-US" w:eastAsia="zh-CN"/>
              </w:rPr>
              <w:t>在</w:t>
            </w:r>
            <w:r>
              <w:rPr>
                <w:color w:val="auto"/>
                <w:sz w:val="24"/>
                <w:highlight w:val="none"/>
              </w:rPr>
              <w:t>区域土地现状主要为</w:t>
            </w:r>
            <w:r>
              <w:rPr>
                <w:rFonts w:hint="eastAsia"/>
                <w:bCs/>
                <w:color w:val="auto"/>
                <w:sz w:val="24"/>
                <w:highlight w:val="none"/>
                <w:lang w:val="en-US" w:eastAsia="zh-CN"/>
              </w:rPr>
              <w:t>旱地</w:t>
            </w:r>
            <w:r>
              <w:rPr>
                <w:rFonts w:hint="eastAsia"/>
                <w:bCs/>
                <w:color w:val="auto"/>
                <w:sz w:val="24"/>
                <w:highlight w:val="none"/>
              </w:rPr>
              <w:t>、乔木林地</w:t>
            </w:r>
            <w:r>
              <w:rPr>
                <w:rFonts w:hint="eastAsia"/>
                <w:bCs/>
                <w:color w:val="auto"/>
                <w:sz w:val="24"/>
                <w:highlight w:val="none"/>
                <w:lang w:eastAsia="zh-CN"/>
              </w:rPr>
              <w:t>、</w:t>
            </w:r>
            <w:r>
              <w:rPr>
                <w:rFonts w:hint="eastAsia"/>
                <w:bCs/>
                <w:color w:val="auto"/>
                <w:sz w:val="24"/>
                <w:highlight w:val="none"/>
                <w:lang w:val="en-US" w:eastAsia="zh-CN"/>
              </w:rPr>
              <w:t>灌木林地、其他林地、天然牧草地、人工牧草地、其他草地、农村宅基地、机关团体新闻出版用地、公路用地、农村道路等</w:t>
            </w:r>
            <w:r>
              <w:rPr>
                <w:color w:val="auto"/>
                <w:sz w:val="24"/>
                <w:highlight w:val="none"/>
              </w:rPr>
              <w:t>。经现场调查，</w:t>
            </w:r>
            <w:r>
              <w:rPr>
                <w:rFonts w:hint="eastAsia"/>
                <w:color w:val="auto"/>
                <w:sz w:val="24"/>
                <w:highlight w:val="none"/>
                <w:lang w:val="en-US" w:eastAsia="zh-CN"/>
              </w:rPr>
              <w:t>变电站所在区域地表植被主要为农田栽培植被，农田栽培植被主要有小麦、玉米等；输电线路和生态保护红线评价范围内主要有农田栽培植被、人工种植林木和自然草本植被，农田栽培植被主要有小麦、玉米等，人工种植林木主要有杨树</w:t>
            </w:r>
            <w:r>
              <w:rPr>
                <w:rFonts w:hint="eastAsia"/>
                <w:color w:val="auto"/>
                <w:sz w:val="24"/>
                <w:highlight w:val="none"/>
                <w:lang w:eastAsia="zh-CN"/>
              </w:rPr>
              <w:t>、</w:t>
            </w:r>
            <w:r>
              <w:rPr>
                <w:rFonts w:hint="eastAsia"/>
                <w:color w:val="auto"/>
                <w:sz w:val="24"/>
                <w:highlight w:val="none"/>
                <w:lang w:val="en-US" w:eastAsia="zh-CN"/>
              </w:rPr>
              <w:t>柳树</w:t>
            </w:r>
            <w:r>
              <w:rPr>
                <w:color w:val="auto"/>
                <w:sz w:val="24"/>
                <w:highlight w:val="none"/>
              </w:rPr>
              <w:t>、</w:t>
            </w:r>
            <w:r>
              <w:rPr>
                <w:rFonts w:hint="eastAsia"/>
                <w:color w:val="auto"/>
                <w:sz w:val="24"/>
                <w:highlight w:val="none"/>
                <w:lang w:val="en-US" w:eastAsia="zh-CN"/>
              </w:rPr>
              <w:t>杏</w:t>
            </w:r>
            <w:r>
              <w:rPr>
                <w:rFonts w:hint="eastAsia"/>
                <w:color w:val="auto"/>
                <w:sz w:val="24"/>
                <w:highlight w:val="none"/>
              </w:rPr>
              <w:t>树</w:t>
            </w:r>
            <w:r>
              <w:rPr>
                <w:rFonts w:hint="eastAsia"/>
                <w:color w:val="auto"/>
                <w:sz w:val="24"/>
                <w:highlight w:val="none"/>
                <w:lang w:eastAsia="zh-CN"/>
              </w:rPr>
              <w:t>、</w:t>
            </w:r>
            <w:r>
              <w:rPr>
                <w:rFonts w:hint="eastAsia"/>
                <w:color w:val="auto"/>
                <w:sz w:val="24"/>
                <w:highlight w:val="none"/>
                <w:lang w:val="en-US" w:eastAsia="zh-CN"/>
              </w:rPr>
              <w:t>云杉等乔木及沙棘林、柠条林、山毛桃林等灌木，自然草本</w:t>
            </w:r>
            <w:r>
              <w:rPr>
                <w:rFonts w:hint="eastAsia"/>
                <w:color w:val="auto"/>
                <w:sz w:val="24"/>
                <w:highlight w:val="none"/>
              </w:rPr>
              <w:t>植被主要</w:t>
            </w:r>
            <w:r>
              <w:rPr>
                <w:rFonts w:hint="eastAsia"/>
                <w:color w:val="auto"/>
                <w:sz w:val="24"/>
                <w:highlight w:val="none"/>
                <w:lang w:val="en-US" w:eastAsia="zh-CN"/>
              </w:rPr>
              <w:t>有短花针茅、百里香、猪毛蒿、铁杆蒿、冰草、长芒草等；</w:t>
            </w:r>
            <w:r>
              <w:rPr>
                <w:bCs/>
                <w:color w:val="auto"/>
                <w:sz w:val="24"/>
                <w:highlight w:val="none"/>
              </w:rPr>
              <w:t>项目</w:t>
            </w:r>
            <w:r>
              <w:rPr>
                <w:color w:val="auto"/>
                <w:sz w:val="24"/>
                <w:highlight w:val="none"/>
              </w:rPr>
              <w:t>所经区域</w:t>
            </w:r>
            <w:r>
              <w:rPr>
                <w:bCs/>
                <w:color w:val="auto"/>
                <w:sz w:val="24"/>
                <w:highlight w:val="none"/>
              </w:rPr>
              <w:t>动物种类较少，动物</w:t>
            </w:r>
            <w:r>
              <w:rPr>
                <w:rFonts w:hint="eastAsia"/>
                <w:bCs/>
                <w:color w:val="auto"/>
                <w:sz w:val="24"/>
                <w:highlight w:val="none"/>
                <w:lang w:val="en-US" w:eastAsia="zh-CN"/>
              </w:rPr>
              <w:t>均</w:t>
            </w:r>
            <w:r>
              <w:rPr>
                <w:bCs/>
                <w:color w:val="auto"/>
                <w:sz w:val="24"/>
                <w:highlight w:val="none"/>
              </w:rPr>
              <w:t>为当地常见种，如鼠类、麻雀</w:t>
            </w:r>
            <w:r>
              <w:rPr>
                <w:rFonts w:hint="eastAsia"/>
                <w:bCs/>
                <w:color w:val="auto"/>
                <w:sz w:val="24"/>
                <w:highlight w:val="none"/>
                <w:lang w:eastAsia="zh-CN"/>
              </w:rPr>
              <w:t>、</w:t>
            </w:r>
            <w:r>
              <w:rPr>
                <w:rFonts w:hint="eastAsia"/>
                <w:bCs/>
                <w:color w:val="auto"/>
                <w:sz w:val="24"/>
                <w:highlight w:val="none"/>
                <w:lang w:val="en-US" w:eastAsia="zh-CN"/>
              </w:rPr>
              <w:t>野兔</w:t>
            </w:r>
            <w:r>
              <w:rPr>
                <w:bCs/>
                <w:color w:val="auto"/>
                <w:sz w:val="24"/>
                <w:highlight w:val="none"/>
              </w:rPr>
              <w:t>等常见种类。</w:t>
            </w:r>
            <w:r>
              <w:rPr>
                <w:rFonts w:hint="default" w:ascii="Times New Roman" w:hAnsi="Times New Roman" w:eastAsia="宋体" w:cs="Times New Roman"/>
                <w:color w:val="auto"/>
                <w:spacing w:val="0"/>
                <w:w w:val="100"/>
                <w:position w:val="0"/>
                <w:sz w:val="24"/>
                <w:szCs w:val="24"/>
                <w:highlight w:val="none"/>
              </w:rPr>
              <w:t>现场调查期间未发现爬行动物</w:t>
            </w:r>
            <w:r>
              <w:rPr>
                <w:rFonts w:hint="eastAsia" w:cs="Times New Roman"/>
                <w:color w:val="auto"/>
                <w:spacing w:val="0"/>
                <w:w w:val="100"/>
                <w:position w:val="0"/>
                <w:sz w:val="24"/>
                <w:szCs w:val="24"/>
                <w:highlight w:val="none"/>
                <w:lang w:eastAsia="zh-CN"/>
              </w:rPr>
              <w:t>，</w:t>
            </w:r>
            <w:r>
              <w:rPr>
                <w:rFonts w:hint="default"/>
                <w:color w:val="auto"/>
                <w:sz w:val="24"/>
                <w:szCs w:val="24"/>
                <w:highlight w:val="none"/>
                <w:lang w:val="en-US" w:eastAsia="zh-CN"/>
              </w:rPr>
              <w:t>评价范围内未发现</w:t>
            </w:r>
            <w:r>
              <w:rPr>
                <w:rFonts w:hint="eastAsia"/>
                <w:color w:val="auto"/>
                <w:sz w:val="24"/>
                <w:szCs w:val="24"/>
                <w:highlight w:val="none"/>
                <w:lang w:val="en-US" w:eastAsia="zh-CN"/>
              </w:rPr>
              <w:t>国家和地方珍稀濒危野生动植物</w:t>
            </w:r>
            <w:r>
              <w:rPr>
                <w:rFonts w:hint="default"/>
                <w:color w:val="auto"/>
                <w:sz w:val="24"/>
                <w:szCs w:val="24"/>
                <w:highlight w:val="none"/>
                <w:lang w:val="en-US" w:eastAsia="zh-CN"/>
              </w:rPr>
              <w:t>。</w:t>
            </w:r>
          </w:p>
          <w:p w14:paraId="0C99B061">
            <w:pPr>
              <w:spacing w:line="360" w:lineRule="auto"/>
              <w:ind w:firstLine="482"/>
              <w:rPr>
                <w:rFonts w:hint="eastAsia" w:cs="Times New Roman"/>
                <w:color w:val="auto"/>
                <w:spacing w:val="0"/>
                <w:w w:val="100"/>
                <w:position w:val="0"/>
                <w:sz w:val="24"/>
                <w:szCs w:val="24"/>
                <w:highlight w:val="none"/>
                <w:lang w:val="en-US" w:eastAsia="zh-CN"/>
              </w:rPr>
            </w:pPr>
            <w:r>
              <w:rPr>
                <w:rFonts w:hint="eastAsia" w:cs="Times New Roman"/>
                <w:color w:val="auto"/>
                <w:spacing w:val="0"/>
                <w:w w:val="100"/>
                <w:position w:val="0"/>
                <w:sz w:val="24"/>
                <w:szCs w:val="24"/>
                <w:highlight w:val="none"/>
                <w:lang w:val="en-US" w:eastAsia="zh-CN"/>
              </w:rPr>
              <w:t>本项目部分线路一档跨越生态保护红线，不在生态保护红线范围内新增永久、临时占地，跨越线路长度约13m，线路路径上最近的铁塔距离生态保护红线约46m。</w:t>
            </w:r>
          </w:p>
          <w:p w14:paraId="1222229F">
            <w:pPr>
              <w:spacing w:line="360" w:lineRule="auto"/>
              <w:ind w:firstLine="482"/>
              <w:rPr>
                <w:b/>
                <w:bCs/>
                <w:color w:val="auto"/>
                <w:sz w:val="24"/>
                <w:highlight w:val="none"/>
              </w:rPr>
            </w:pPr>
            <w:r>
              <w:rPr>
                <w:rFonts w:hint="default" w:ascii="Times New Roman" w:hAnsi="Times New Roman" w:eastAsia="宋体" w:cs="Times New Roman"/>
                <w:color w:val="auto"/>
                <w:spacing w:val="0"/>
                <w:w w:val="100"/>
                <w:position w:val="0"/>
                <w:sz w:val="24"/>
                <w:szCs w:val="24"/>
                <w:highlight w:val="none"/>
                <w:lang w:val="en-US" w:eastAsia="zh-CN"/>
              </w:rPr>
              <w:t>项目</w:t>
            </w:r>
            <w:r>
              <w:rPr>
                <w:rFonts w:hint="eastAsia"/>
                <w:b w:val="0"/>
                <w:bCs w:val="0"/>
                <w:color w:val="auto"/>
                <w:sz w:val="24"/>
                <w:szCs w:val="24"/>
                <w:highlight w:val="none"/>
                <w:lang w:val="en-US" w:eastAsia="zh-CN"/>
              </w:rPr>
              <w:t>生态环境现状具体内容详见</w:t>
            </w:r>
            <w:r>
              <w:rPr>
                <w:rFonts w:hint="eastAsia"/>
                <w:b/>
                <w:bCs/>
                <w:color w:val="auto"/>
                <w:sz w:val="24"/>
                <w:szCs w:val="24"/>
                <w:highlight w:val="none"/>
                <w:lang w:val="en-US" w:eastAsia="zh-CN"/>
              </w:rPr>
              <w:t>生态专题评价</w:t>
            </w:r>
            <w:r>
              <w:rPr>
                <w:rFonts w:hint="eastAsia"/>
                <w:b w:val="0"/>
                <w:bCs w:val="0"/>
                <w:color w:val="auto"/>
                <w:sz w:val="24"/>
                <w:szCs w:val="24"/>
                <w:highlight w:val="none"/>
                <w:lang w:val="en-US" w:eastAsia="zh-CN"/>
              </w:rPr>
              <w:t>。</w:t>
            </w:r>
          </w:p>
          <w:p w14:paraId="4296F731">
            <w:pPr>
              <w:tabs>
                <w:tab w:val="left" w:pos="614"/>
              </w:tabs>
              <w:spacing w:line="360" w:lineRule="auto"/>
              <w:ind w:firstLine="482" w:firstLineChars="200"/>
              <w:jc w:val="left"/>
              <w:rPr>
                <w:b/>
                <w:bCs/>
                <w:color w:val="auto"/>
                <w:kern w:val="0"/>
                <w:sz w:val="24"/>
                <w:highlight w:val="none"/>
              </w:rPr>
            </w:pPr>
            <w:r>
              <w:rPr>
                <w:b/>
                <w:bCs/>
                <w:color w:val="auto"/>
                <w:kern w:val="0"/>
                <w:sz w:val="24"/>
                <w:highlight w:val="none"/>
              </w:rPr>
              <w:t>（2）主体功能定位</w:t>
            </w:r>
          </w:p>
          <w:p w14:paraId="12A6662E">
            <w:pPr>
              <w:adjustRightInd w:val="0"/>
              <w:snapToGrid w:val="0"/>
              <w:spacing w:line="360" w:lineRule="auto"/>
              <w:ind w:firstLine="480" w:firstLineChars="200"/>
              <w:jc w:val="left"/>
              <w:rPr>
                <w:color w:val="auto"/>
                <w:kern w:val="0"/>
                <w:sz w:val="24"/>
                <w:highlight w:val="none"/>
              </w:rPr>
            </w:pPr>
            <w:r>
              <w:rPr>
                <w:color w:val="auto"/>
                <w:kern w:val="0"/>
                <w:sz w:val="24"/>
                <w:highlight w:val="none"/>
              </w:rPr>
              <w:t>本项目所在区域位于《宁夏回族自治区主体功能区划》中的</w:t>
            </w:r>
            <w:r>
              <w:rPr>
                <w:rFonts w:hint="eastAsia"/>
                <w:color w:val="auto"/>
                <w:kern w:val="0"/>
                <w:sz w:val="24"/>
                <w:highlight w:val="none"/>
              </w:rPr>
              <w:t>“国家</w:t>
            </w:r>
            <w:r>
              <w:rPr>
                <w:rFonts w:hint="eastAsia"/>
                <w:color w:val="auto"/>
                <w:kern w:val="0"/>
                <w:sz w:val="24"/>
                <w:highlight w:val="none"/>
                <w:lang w:val="en-US" w:eastAsia="zh-CN"/>
              </w:rPr>
              <w:t>重点生态功能区</w:t>
            </w:r>
            <w:r>
              <w:rPr>
                <w:rFonts w:hint="eastAsia"/>
                <w:color w:val="auto"/>
                <w:kern w:val="0"/>
                <w:sz w:val="24"/>
                <w:highlight w:val="none"/>
              </w:rPr>
              <w:t>”</w:t>
            </w:r>
            <w:r>
              <w:rPr>
                <w:color w:val="auto"/>
                <w:kern w:val="0"/>
                <w:sz w:val="24"/>
                <w:highlight w:val="none"/>
              </w:rPr>
              <w:t>。</w:t>
            </w:r>
            <w:r>
              <w:rPr>
                <w:rFonts w:hint="eastAsia"/>
                <w:color w:val="auto"/>
                <w:kern w:val="0"/>
                <w:sz w:val="24"/>
                <w:highlight w:val="none"/>
                <w:lang w:val="en-US" w:eastAsia="zh-CN"/>
              </w:rPr>
              <w:t>属于水土保持型生态功能区，发展方向为“大力推行节水灌溉，发展旱作节水农业。禁止陡坡垦殖。加强小流域综合治理，恢复退化植被。严格对资源开发和建设项目的监管，加大矿山环境整治修复力度，控制人为因素对土壤的侵蚀。大力发展草畜产业、马铃薯产业、林果产业、中药材产业等适合当地资源环境的特色农业和加工业，拓宽农民增收渠道，解决农民长远生计，巩固退耕还林成果。”</w:t>
            </w:r>
          </w:p>
          <w:p w14:paraId="3495ECF1">
            <w:pPr>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本项目为输变电项目，永久占地主要为变电站占地及少量塔基零星占地，项目占地主要以临时占地为主，施工期结束后，对临时占地根据其原有土地及植被类型，恢复其原有土地类型及植被。因此，</w:t>
            </w:r>
            <w:r>
              <w:rPr>
                <w:rFonts w:hint="eastAsia"/>
                <w:color w:val="auto"/>
                <w:kern w:val="0"/>
                <w:sz w:val="24"/>
                <w:highlight w:val="none"/>
              </w:rPr>
              <w:t>项目建设与《宁夏回族自治区主体功能区规划》确定的发展方向及开发管制原则相符</w:t>
            </w:r>
            <w:r>
              <w:rPr>
                <w:rFonts w:hint="eastAsia"/>
                <w:color w:val="auto"/>
                <w:kern w:val="0"/>
                <w:sz w:val="24"/>
                <w:highlight w:val="none"/>
                <w:lang w:eastAsia="zh-CN"/>
              </w:rPr>
              <w:t>。</w:t>
            </w:r>
            <w:r>
              <w:rPr>
                <w:color w:val="auto"/>
                <w:kern w:val="0"/>
                <w:sz w:val="24"/>
                <w:highlight w:val="none"/>
              </w:rPr>
              <w:t>本项目与宁夏主体功能区划位置关系详见</w:t>
            </w:r>
            <w:r>
              <w:rPr>
                <w:b/>
                <w:bCs/>
                <w:color w:val="auto"/>
                <w:kern w:val="0"/>
                <w:sz w:val="24"/>
                <w:highlight w:val="none"/>
              </w:rPr>
              <w:t>附图</w:t>
            </w:r>
            <w:r>
              <w:rPr>
                <w:rFonts w:hint="eastAsia"/>
                <w:b/>
                <w:bCs/>
                <w:color w:val="auto"/>
                <w:kern w:val="0"/>
                <w:sz w:val="24"/>
                <w:highlight w:val="none"/>
                <w:lang w:val="en-US" w:eastAsia="zh-CN"/>
              </w:rPr>
              <w:t>3-1</w:t>
            </w:r>
            <w:r>
              <w:rPr>
                <w:color w:val="auto"/>
                <w:kern w:val="0"/>
                <w:sz w:val="24"/>
                <w:highlight w:val="none"/>
              </w:rPr>
              <w:t>。</w:t>
            </w:r>
          </w:p>
          <w:p w14:paraId="76AFA0BB">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（3）生态功能定位</w:t>
            </w:r>
          </w:p>
          <w:p w14:paraId="10684D91">
            <w:pPr>
              <w:adjustRightInd w:val="0"/>
              <w:snapToGrid w:val="0"/>
              <w:spacing w:line="360" w:lineRule="auto"/>
              <w:ind w:firstLine="480" w:firstLineChars="200"/>
              <w:jc w:val="left"/>
              <w:rPr>
                <w:color w:val="auto"/>
                <w:kern w:val="0"/>
                <w:sz w:val="24"/>
                <w:highlight w:val="none"/>
              </w:rPr>
            </w:pPr>
            <w:r>
              <w:rPr>
                <w:color w:val="auto"/>
                <w:kern w:val="0"/>
                <w:sz w:val="24"/>
                <w:highlight w:val="none"/>
              </w:rPr>
              <w:t>本项目所在区域位于《宁夏回族自治区生态功能区划》中的</w:t>
            </w:r>
            <w:r>
              <w:rPr>
                <w:rFonts w:hint="eastAsia"/>
                <w:color w:val="auto"/>
                <w:kern w:val="0"/>
                <w:sz w:val="24"/>
                <w:highlight w:val="none"/>
                <w:lang w:eastAsia="zh-CN"/>
              </w:rPr>
              <w:t>“</w:t>
            </w:r>
            <w:r>
              <w:rPr>
                <w:rFonts w:hint="eastAsia"/>
                <w:color w:val="auto"/>
                <w:kern w:val="0"/>
                <w:sz w:val="24"/>
                <w:highlight w:val="none"/>
                <w:lang w:val="en-US" w:eastAsia="zh-CN"/>
              </w:rPr>
              <w:t>I2-1葫芦河两侧梁峁丘陵强度水土流失治理</w:t>
            </w:r>
            <w:r>
              <w:rPr>
                <w:color w:val="auto"/>
                <w:kern w:val="0"/>
                <w:sz w:val="24"/>
                <w:highlight w:val="none"/>
              </w:rPr>
              <w:t>生态功能区</w:t>
            </w:r>
            <w:r>
              <w:rPr>
                <w:rFonts w:hint="eastAsia"/>
                <w:color w:val="auto"/>
                <w:kern w:val="0"/>
                <w:sz w:val="24"/>
                <w:highlight w:val="none"/>
                <w:lang w:eastAsia="zh-CN"/>
              </w:rPr>
              <w:t>”、</w:t>
            </w:r>
            <w:r>
              <w:rPr>
                <w:rFonts w:hint="eastAsia"/>
                <w:color w:val="auto"/>
                <w:kern w:val="0"/>
                <w:sz w:val="24"/>
                <w:highlight w:val="none"/>
              </w:rPr>
              <w:t>“</w:t>
            </w:r>
            <w:r>
              <w:rPr>
                <w:rFonts w:hint="eastAsia"/>
                <w:color w:val="auto"/>
                <w:kern w:val="0"/>
                <w:sz w:val="24"/>
                <w:highlight w:val="none"/>
                <w:lang w:val="en-US" w:eastAsia="zh-CN"/>
              </w:rPr>
              <w:t>I2-2葫芦河干支流河谷节灌农田</w:t>
            </w:r>
            <w:r>
              <w:rPr>
                <w:color w:val="auto"/>
                <w:kern w:val="0"/>
                <w:sz w:val="24"/>
                <w:highlight w:val="none"/>
              </w:rPr>
              <w:t>生态功能区</w:t>
            </w:r>
            <w:r>
              <w:rPr>
                <w:rFonts w:hint="eastAsia"/>
                <w:color w:val="auto"/>
                <w:kern w:val="0"/>
                <w:sz w:val="24"/>
                <w:highlight w:val="none"/>
              </w:rPr>
              <w:t>”</w:t>
            </w:r>
            <w:r>
              <w:rPr>
                <w:color w:val="auto"/>
                <w:kern w:val="0"/>
                <w:sz w:val="24"/>
                <w:highlight w:val="none"/>
              </w:rPr>
              <w:t>。</w:t>
            </w:r>
          </w:p>
          <w:p w14:paraId="41155829">
            <w:pPr>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I2-1葫芦河两侧梁峁丘陵强度水土流失治理</w:t>
            </w:r>
            <w:r>
              <w:rPr>
                <w:color w:val="auto"/>
                <w:kern w:val="0"/>
                <w:sz w:val="24"/>
                <w:highlight w:val="none"/>
              </w:rPr>
              <w:t>生态功能区</w:t>
            </w:r>
            <w:r>
              <w:rPr>
                <w:rFonts w:hint="eastAsia"/>
                <w:color w:val="auto"/>
                <w:kern w:val="0"/>
                <w:sz w:val="24"/>
                <w:highlight w:val="none"/>
                <w:lang w:eastAsia="zh-CN"/>
              </w:rPr>
              <w:t>：</w:t>
            </w:r>
            <w:r>
              <w:rPr>
                <w:color w:val="auto"/>
                <w:kern w:val="0"/>
                <w:sz w:val="24"/>
                <w:highlight w:val="none"/>
                <w:lang w:val="en-US" w:eastAsia="zh-CN"/>
              </w:rPr>
              <w:t>其地貌为典型的黄土梁峁丘陵，地形破碎，沟壑纵横，水土流失相当严重。本区</w:t>
            </w:r>
            <w:r>
              <w:rPr>
                <w:rFonts w:hint="eastAsia"/>
                <w:color w:val="auto"/>
                <w:kern w:val="0"/>
                <w:sz w:val="24"/>
                <w:highlight w:val="none"/>
                <w:lang w:val="en-US" w:eastAsia="zh-CN"/>
              </w:rPr>
              <w:t>属于强度水土流失区，年侵蚀模数6000t/km</w:t>
            </w:r>
            <w:r>
              <w:rPr>
                <w:rFonts w:hint="eastAsia"/>
                <w:color w:val="auto"/>
                <w:kern w:val="0"/>
                <w:sz w:val="24"/>
                <w:highlight w:val="none"/>
                <w:vertAlign w:val="superscript"/>
                <w:lang w:val="en-US" w:eastAsia="zh-CN"/>
              </w:rPr>
              <w:t>2</w:t>
            </w:r>
            <w:r>
              <w:rPr>
                <w:rFonts w:hint="eastAsia"/>
                <w:color w:val="auto"/>
                <w:kern w:val="0"/>
                <w:sz w:val="24"/>
                <w:highlight w:val="none"/>
                <w:lang w:val="en-US" w:eastAsia="zh-CN"/>
              </w:rPr>
              <w:t>以上，治理的措施是：坚决退耕还林还草，增加植被覆盖，加强小流域综合治理，建立健全该区的复合生态系统。</w:t>
            </w:r>
          </w:p>
          <w:p w14:paraId="0BD9F694">
            <w:pPr>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I2-2葫芦河干支流河谷节灌农田</w:t>
            </w:r>
            <w:r>
              <w:rPr>
                <w:color w:val="auto"/>
                <w:kern w:val="0"/>
                <w:sz w:val="24"/>
                <w:highlight w:val="none"/>
              </w:rPr>
              <w:t>生态功能区</w:t>
            </w:r>
            <w:r>
              <w:rPr>
                <w:rFonts w:hint="eastAsia"/>
                <w:color w:val="auto"/>
                <w:kern w:val="0"/>
                <w:sz w:val="24"/>
                <w:highlight w:val="none"/>
                <w:lang w:eastAsia="zh-CN"/>
              </w:rPr>
              <w:t>：</w:t>
            </w:r>
            <w:r>
              <w:rPr>
                <w:color w:val="auto"/>
                <w:kern w:val="0"/>
                <w:sz w:val="24"/>
                <w:highlight w:val="none"/>
                <w:lang w:val="en-US" w:eastAsia="zh-CN"/>
              </w:rPr>
              <w:t>本</w:t>
            </w:r>
            <w:r>
              <w:rPr>
                <w:rFonts w:hint="eastAsia"/>
                <w:color w:val="auto"/>
                <w:kern w:val="0"/>
                <w:sz w:val="24"/>
                <w:highlight w:val="none"/>
                <w:lang w:val="en-US" w:eastAsia="zh-CN"/>
              </w:rPr>
              <w:t>生态功能区内的支流有数十条，主要发源于六盘山，另外还有葫芦河支流、滥泥河上游的大小堰塞湖，河谷平原区土壤多为新积土，土质肥沃，灌溉条件较好。土壤盐渍化是其生态敏感问题。本区需实施节水灌溉，搞好川地基本农田建设，缩小灌面，推行先进的节水措施；调整种植结构，合理安排粮作、经济、饲料比例，全面发展农牧业、林草业，建立健全河谷川道区农田生态系统。</w:t>
            </w:r>
          </w:p>
          <w:p w14:paraId="4AB61534">
            <w:pPr>
              <w:adjustRightInd w:val="0"/>
              <w:snapToGrid w:val="0"/>
              <w:spacing w:line="360" w:lineRule="auto"/>
              <w:ind w:firstLine="480" w:firstLineChars="200"/>
              <w:jc w:val="left"/>
              <w:rPr>
                <w:color w:val="auto"/>
                <w:kern w:val="0"/>
                <w:sz w:val="24"/>
                <w:highlight w:val="none"/>
              </w:rPr>
            </w:pPr>
            <w:r>
              <w:rPr>
                <w:rFonts w:hint="eastAsia"/>
                <w:color w:val="auto"/>
                <w:kern w:val="0"/>
                <w:sz w:val="24"/>
                <w:highlight w:val="none"/>
                <w:lang w:val="en-US" w:eastAsia="zh-CN"/>
              </w:rPr>
              <w:t>本项目为输变电项目，不涉及土壤盐渍化；项目主要为变电站永久占地及少量塔基零星占地，占地较为分散且占地面积小，主要以临时占地为主，单个杆塔施工周期较短，施工期结束后，对临时占地根据其原有土地及植被类型，恢复其原有土地类型及植被，对周边生态影响较小。因此，</w:t>
            </w:r>
            <w:r>
              <w:rPr>
                <w:rFonts w:hint="eastAsia"/>
                <w:color w:val="auto"/>
                <w:kern w:val="0"/>
                <w:sz w:val="24"/>
                <w:highlight w:val="none"/>
              </w:rPr>
              <w:t>项目建设与《宁夏回族自治区</w:t>
            </w:r>
            <w:r>
              <w:rPr>
                <w:rFonts w:hint="eastAsia"/>
                <w:color w:val="auto"/>
                <w:kern w:val="0"/>
                <w:sz w:val="24"/>
                <w:highlight w:val="none"/>
                <w:lang w:val="en-US" w:eastAsia="zh-CN"/>
              </w:rPr>
              <w:t>生态</w:t>
            </w:r>
            <w:r>
              <w:rPr>
                <w:rFonts w:hint="eastAsia"/>
                <w:color w:val="auto"/>
                <w:kern w:val="0"/>
                <w:sz w:val="24"/>
                <w:highlight w:val="none"/>
              </w:rPr>
              <w:t>功能区规划》相符</w:t>
            </w:r>
            <w:r>
              <w:rPr>
                <w:rFonts w:hint="eastAsia"/>
                <w:color w:val="auto"/>
                <w:kern w:val="0"/>
                <w:sz w:val="24"/>
                <w:highlight w:val="none"/>
                <w:lang w:eastAsia="zh-CN"/>
              </w:rPr>
              <w:t>。</w:t>
            </w:r>
            <w:r>
              <w:rPr>
                <w:color w:val="auto"/>
                <w:kern w:val="0"/>
                <w:sz w:val="24"/>
                <w:highlight w:val="none"/>
              </w:rPr>
              <w:t>本项目与宁夏</w:t>
            </w:r>
            <w:r>
              <w:rPr>
                <w:rFonts w:hint="eastAsia"/>
                <w:color w:val="auto"/>
                <w:kern w:val="0"/>
                <w:sz w:val="24"/>
                <w:highlight w:val="none"/>
                <w:lang w:val="en-US" w:eastAsia="zh-CN"/>
              </w:rPr>
              <w:t>生态</w:t>
            </w:r>
            <w:r>
              <w:rPr>
                <w:color w:val="auto"/>
                <w:kern w:val="0"/>
                <w:sz w:val="24"/>
                <w:highlight w:val="none"/>
              </w:rPr>
              <w:t>功能区划位置关系详见</w:t>
            </w:r>
            <w:r>
              <w:rPr>
                <w:b/>
                <w:bCs/>
                <w:color w:val="auto"/>
                <w:kern w:val="0"/>
                <w:sz w:val="24"/>
                <w:highlight w:val="none"/>
              </w:rPr>
              <w:t>附图</w:t>
            </w:r>
            <w:r>
              <w:rPr>
                <w:rFonts w:hint="eastAsia"/>
                <w:b/>
                <w:bCs/>
                <w:color w:val="auto"/>
                <w:kern w:val="0"/>
                <w:sz w:val="24"/>
                <w:highlight w:val="none"/>
                <w:lang w:val="en-US" w:eastAsia="zh-CN"/>
              </w:rPr>
              <w:t>3-2</w:t>
            </w:r>
            <w:r>
              <w:rPr>
                <w:color w:val="auto"/>
                <w:kern w:val="0"/>
                <w:sz w:val="24"/>
                <w:highlight w:val="none"/>
              </w:rPr>
              <w:t>。</w:t>
            </w:r>
          </w:p>
          <w:p w14:paraId="46583BB0">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（4）项目区域土地利用类型</w:t>
            </w:r>
          </w:p>
          <w:p w14:paraId="6290B480">
            <w:pPr>
              <w:pStyle w:val="8"/>
              <w:spacing w:after="0" w:line="360" w:lineRule="auto"/>
              <w:ind w:left="0" w:leftChars="0" w:firstLine="480" w:firstLineChars="200"/>
              <w:rPr>
                <w:rFonts w:hint="default"/>
                <w:color w:val="auto"/>
                <w:sz w:val="24"/>
                <w:highlight w:val="none"/>
              </w:rPr>
            </w:pPr>
            <w:r>
              <w:rPr>
                <w:color w:val="auto"/>
                <w:sz w:val="24"/>
                <w:highlight w:val="none"/>
              </w:rPr>
              <w:t>本项目</w:t>
            </w:r>
            <w:r>
              <w:rPr>
                <w:rFonts w:hint="eastAsia"/>
                <w:color w:val="auto"/>
                <w:sz w:val="24"/>
                <w:highlight w:val="none"/>
                <w:lang w:val="en-US" w:eastAsia="zh-CN"/>
              </w:rPr>
              <w:t>所在区域</w:t>
            </w:r>
            <w:r>
              <w:rPr>
                <w:color w:val="auto"/>
                <w:sz w:val="24"/>
                <w:highlight w:val="none"/>
              </w:rPr>
              <w:t>土地利用类型</w:t>
            </w:r>
            <w:r>
              <w:rPr>
                <w:rFonts w:hint="eastAsia"/>
                <w:color w:val="auto"/>
                <w:sz w:val="24"/>
                <w:highlight w:val="none"/>
                <w:lang w:val="en-US" w:eastAsia="zh-CN"/>
              </w:rPr>
              <w:t>主要为</w:t>
            </w:r>
            <w:r>
              <w:rPr>
                <w:rFonts w:hint="eastAsia"/>
                <w:bCs/>
                <w:color w:val="auto"/>
                <w:sz w:val="24"/>
                <w:highlight w:val="none"/>
                <w:lang w:val="en-US" w:eastAsia="zh-CN"/>
              </w:rPr>
              <w:t>旱地</w:t>
            </w:r>
            <w:r>
              <w:rPr>
                <w:rFonts w:hint="eastAsia"/>
                <w:bCs/>
                <w:color w:val="auto"/>
                <w:sz w:val="24"/>
                <w:highlight w:val="none"/>
              </w:rPr>
              <w:t>、乔木林地</w:t>
            </w:r>
            <w:r>
              <w:rPr>
                <w:rFonts w:hint="eastAsia"/>
                <w:bCs/>
                <w:color w:val="auto"/>
                <w:sz w:val="24"/>
                <w:highlight w:val="none"/>
                <w:lang w:eastAsia="zh-CN"/>
              </w:rPr>
              <w:t>、</w:t>
            </w:r>
            <w:r>
              <w:rPr>
                <w:rFonts w:hint="eastAsia"/>
                <w:bCs/>
                <w:color w:val="auto"/>
                <w:sz w:val="24"/>
                <w:highlight w:val="none"/>
                <w:lang w:val="en-US" w:eastAsia="zh-CN"/>
              </w:rPr>
              <w:t>灌木林地、其他林地、天然牧草地、人工牧草地、其他草地、农村宅基地、机关团体新闻出版用地、公路用地、农村道路等</w:t>
            </w:r>
            <w:r>
              <w:rPr>
                <w:color w:val="auto"/>
                <w:sz w:val="24"/>
                <w:highlight w:val="none"/>
              </w:rPr>
              <w:t>，</w:t>
            </w:r>
            <w:r>
              <w:rPr>
                <w:rFonts w:hint="eastAsia"/>
                <w:color w:val="auto"/>
                <w:sz w:val="24"/>
                <w:highlight w:val="none"/>
                <w:lang w:val="en-US" w:eastAsia="zh-CN"/>
              </w:rPr>
              <w:t>本</w:t>
            </w:r>
            <w:r>
              <w:rPr>
                <w:color w:val="auto"/>
                <w:kern w:val="0"/>
                <w:sz w:val="24"/>
                <w:highlight w:val="none"/>
              </w:rPr>
              <w:t>项目</w:t>
            </w:r>
            <w:r>
              <w:rPr>
                <w:rFonts w:hint="eastAsia"/>
                <w:color w:val="auto"/>
                <w:kern w:val="0"/>
                <w:sz w:val="24"/>
                <w:highlight w:val="none"/>
                <w:lang w:val="en-US" w:eastAsia="zh-CN"/>
              </w:rPr>
              <w:t>评价区</w:t>
            </w:r>
            <w:r>
              <w:rPr>
                <w:color w:val="auto"/>
                <w:kern w:val="0"/>
                <w:sz w:val="24"/>
                <w:highlight w:val="none"/>
              </w:rPr>
              <w:t>土地利用</w:t>
            </w:r>
            <w:r>
              <w:rPr>
                <w:rFonts w:hint="eastAsia"/>
                <w:color w:val="auto"/>
                <w:kern w:val="0"/>
                <w:sz w:val="24"/>
                <w:highlight w:val="none"/>
                <w:lang w:val="en-US" w:eastAsia="zh-CN"/>
              </w:rPr>
              <w:t>类型现状</w:t>
            </w:r>
            <w:r>
              <w:rPr>
                <w:color w:val="auto"/>
                <w:kern w:val="0"/>
                <w:sz w:val="24"/>
                <w:highlight w:val="none"/>
              </w:rPr>
              <w:t>见</w:t>
            </w:r>
            <w:r>
              <w:rPr>
                <w:b/>
                <w:bCs/>
                <w:color w:val="auto"/>
                <w:sz w:val="24"/>
                <w:highlight w:val="none"/>
              </w:rPr>
              <w:t>附图</w:t>
            </w:r>
            <w:r>
              <w:rPr>
                <w:rFonts w:hint="eastAsia"/>
                <w:b/>
                <w:bCs/>
                <w:color w:val="auto"/>
                <w:sz w:val="24"/>
                <w:highlight w:val="none"/>
                <w:lang w:val="en-US" w:eastAsia="zh-CN"/>
              </w:rPr>
              <w:t>3-3</w:t>
            </w:r>
            <w:r>
              <w:rPr>
                <w:rFonts w:hint="default"/>
                <w:color w:val="auto"/>
                <w:sz w:val="24"/>
                <w:highlight w:val="none"/>
              </w:rPr>
              <w:t>。</w:t>
            </w:r>
          </w:p>
          <w:p w14:paraId="3147EE5A">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（5）项目区域植被类型</w:t>
            </w:r>
          </w:p>
          <w:p w14:paraId="1CC2412A">
            <w:pPr>
              <w:pStyle w:val="8"/>
              <w:spacing w:after="0" w:line="360" w:lineRule="auto"/>
              <w:ind w:left="0" w:leftChars="0" w:firstLine="480" w:firstLineChars="200"/>
              <w:rPr>
                <w:b/>
                <w:bCs/>
                <w:color w:val="auto"/>
                <w:kern w:val="0"/>
                <w:sz w:val="24"/>
                <w:highlight w:val="none"/>
              </w:rPr>
            </w:pPr>
            <w:r>
              <w:rPr>
                <w:rFonts w:hint="eastAsia" w:ascii="Times New Roman" w:hAnsi="Times New Roman" w:cs="Times New Roman"/>
                <w:color w:val="auto"/>
                <w:sz w:val="24"/>
                <w:highlight w:val="none"/>
                <w:lang w:val="en-US" w:eastAsia="zh-CN"/>
              </w:rPr>
              <w:t>根据现场实际调查，</w:t>
            </w:r>
            <w:r>
              <w:rPr>
                <w:rFonts w:hint="eastAsia"/>
                <w:color w:val="auto"/>
                <w:sz w:val="24"/>
                <w:highlight w:val="none"/>
                <w:lang w:val="en-US" w:eastAsia="zh-CN"/>
              </w:rPr>
              <w:t>变电站所在区域地表植被主要为农田栽培植被，农田栽培植被主要有小麦、玉米等；输电线路和生态保护红线评价范围内主要有农田栽培植被、人工种植林木和自然草本植被，农田栽培植被主要有小麦、玉米等，人工种植林木主要有杨树</w:t>
            </w:r>
            <w:r>
              <w:rPr>
                <w:rFonts w:hint="eastAsia"/>
                <w:color w:val="auto"/>
                <w:sz w:val="24"/>
                <w:highlight w:val="none"/>
                <w:lang w:eastAsia="zh-CN"/>
              </w:rPr>
              <w:t>、</w:t>
            </w:r>
            <w:r>
              <w:rPr>
                <w:rFonts w:hint="eastAsia"/>
                <w:color w:val="auto"/>
                <w:sz w:val="24"/>
                <w:highlight w:val="none"/>
                <w:lang w:val="en-US" w:eastAsia="zh-CN"/>
              </w:rPr>
              <w:t>柳树</w:t>
            </w:r>
            <w:r>
              <w:rPr>
                <w:color w:val="auto"/>
                <w:sz w:val="24"/>
                <w:highlight w:val="none"/>
              </w:rPr>
              <w:t>、</w:t>
            </w:r>
            <w:r>
              <w:rPr>
                <w:rFonts w:hint="eastAsia"/>
                <w:color w:val="auto"/>
                <w:sz w:val="24"/>
                <w:highlight w:val="none"/>
                <w:lang w:val="en-US" w:eastAsia="zh-CN"/>
              </w:rPr>
              <w:t>杏</w:t>
            </w:r>
            <w:r>
              <w:rPr>
                <w:rFonts w:hint="eastAsia"/>
                <w:color w:val="auto"/>
                <w:sz w:val="24"/>
                <w:highlight w:val="none"/>
              </w:rPr>
              <w:t>树</w:t>
            </w:r>
            <w:r>
              <w:rPr>
                <w:rFonts w:hint="eastAsia"/>
                <w:color w:val="auto"/>
                <w:sz w:val="24"/>
                <w:highlight w:val="none"/>
                <w:lang w:eastAsia="zh-CN"/>
              </w:rPr>
              <w:t>、</w:t>
            </w:r>
            <w:r>
              <w:rPr>
                <w:rFonts w:hint="eastAsia"/>
                <w:color w:val="auto"/>
                <w:sz w:val="24"/>
                <w:highlight w:val="none"/>
                <w:lang w:val="en-US" w:eastAsia="zh-CN"/>
              </w:rPr>
              <w:t>云杉等乔木及沙棘林、柠条林、山毛桃林等灌木，自然草本</w:t>
            </w:r>
            <w:r>
              <w:rPr>
                <w:rFonts w:hint="eastAsia"/>
                <w:color w:val="auto"/>
                <w:sz w:val="24"/>
                <w:highlight w:val="none"/>
              </w:rPr>
              <w:t>植被主要</w:t>
            </w:r>
            <w:r>
              <w:rPr>
                <w:rFonts w:hint="eastAsia"/>
                <w:color w:val="auto"/>
                <w:sz w:val="24"/>
                <w:highlight w:val="none"/>
                <w:lang w:val="en-US" w:eastAsia="zh-CN"/>
              </w:rPr>
              <w:t>有短花针茅、百里香、猪毛蒿、铁杆蒿、冰草、长芒草等</w:t>
            </w:r>
            <w:r>
              <w:rPr>
                <w:bCs/>
                <w:color w:val="auto"/>
                <w:sz w:val="24"/>
                <w:highlight w:val="none"/>
              </w:rPr>
              <w:t>。</w:t>
            </w:r>
            <w:r>
              <w:rPr>
                <w:rFonts w:hint="eastAsia"/>
                <w:color w:val="auto"/>
                <w:sz w:val="24"/>
                <w:highlight w:val="none"/>
                <w:lang w:val="en-US" w:eastAsia="zh-CN"/>
              </w:rPr>
              <w:t>本</w:t>
            </w:r>
            <w:r>
              <w:rPr>
                <w:color w:val="auto"/>
                <w:kern w:val="0"/>
                <w:sz w:val="24"/>
                <w:highlight w:val="none"/>
              </w:rPr>
              <w:t>项目</w:t>
            </w:r>
            <w:r>
              <w:rPr>
                <w:rFonts w:hint="eastAsia"/>
                <w:color w:val="auto"/>
                <w:kern w:val="0"/>
                <w:sz w:val="24"/>
                <w:highlight w:val="none"/>
                <w:lang w:val="en-US" w:eastAsia="zh-CN"/>
              </w:rPr>
              <w:t>评价</w:t>
            </w:r>
            <w:r>
              <w:rPr>
                <w:color w:val="auto"/>
                <w:kern w:val="0"/>
                <w:sz w:val="24"/>
                <w:highlight w:val="none"/>
              </w:rPr>
              <w:t>区</w:t>
            </w:r>
            <w:r>
              <w:rPr>
                <w:rFonts w:hint="eastAsia"/>
                <w:color w:val="auto"/>
                <w:kern w:val="0"/>
                <w:sz w:val="24"/>
                <w:highlight w:val="none"/>
                <w:lang w:eastAsia="zh-CN"/>
              </w:rPr>
              <w:t>植被类型</w:t>
            </w:r>
            <w:r>
              <w:rPr>
                <w:color w:val="auto"/>
                <w:kern w:val="0"/>
                <w:sz w:val="24"/>
                <w:highlight w:val="none"/>
              </w:rPr>
              <w:t>见</w:t>
            </w:r>
            <w:r>
              <w:rPr>
                <w:rFonts w:hint="eastAsia"/>
                <w:b/>
                <w:bCs/>
                <w:color w:val="auto"/>
                <w:kern w:val="0"/>
                <w:sz w:val="24"/>
                <w:highlight w:val="none"/>
                <w:lang w:eastAsia="zh-CN"/>
              </w:rPr>
              <w:t>附</w:t>
            </w:r>
            <w:r>
              <w:rPr>
                <w:b/>
                <w:bCs/>
                <w:color w:val="auto"/>
                <w:kern w:val="0"/>
                <w:sz w:val="24"/>
                <w:highlight w:val="none"/>
              </w:rPr>
              <w:t>图</w:t>
            </w:r>
            <w:r>
              <w:rPr>
                <w:rFonts w:hint="eastAsia"/>
                <w:b/>
                <w:bCs/>
                <w:color w:val="auto"/>
                <w:kern w:val="0"/>
                <w:sz w:val="24"/>
                <w:highlight w:val="none"/>
                <w:lang w:val="en-US" w:eastAsia="zh-CN"/>
              </w:rPr>
              <w:t>3-4</w:t>
            </w:r>
            <w:r>
              <w:rPr>
                <w:color w:val="auto"/>
                <w:kern w:val="0"/>
                <w:sz w:val="24"/>
                <w:highlight w:val="none"/>
              </w:rPr>
              <w:t>。</w:t>
            </w:r>
          </w:p>
          <w:tbl>
            <w:tblPr>
              <w:tblStyle w:val="28"/>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0"/>
              <w:gridCol w:w="4180"/>
            </w:tblGrid>
            <w:tr w14:paraId="2241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499210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kern w:val="0"/>
                      <w:sz w:val="21"/>
                      <w:szCs w:val="21"/>
                      <w:highlight w:val="none"/>
                      <w:lang w:eastAsia="zh-CN"/>
                    </w:rPr>
                  </w:pPr>
                  <w:r>
                    <w:rPr>
                      <w:rFonts w:hint="eastAsia"/>
                      <w:color w:val="auto"/>
                      <w:sz w:val="21"/>
                      <w:szCs w:val="21"/>
                      <w:highlight w:val="none"/>
                      <w:lang w:val="en-US" w:eastAsia="zh-CN"/>
                    </w:rPr>
                    <w:t>******</w:t>
                  </w:r>
                </w:p>
              </w:tc>
              <w:tc>
                <w:tcPr>
                  <w:tcW w:w="4180" w:type="dxa"/>
                  <w:vAlign w:val="top"/>
                </w:tcPr>
                <w:p w14:paraId="11701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kern w:val="0"/>
                      <w:sz w:val="21"/>
                      <w:szCs w:val="21"/>
                      <w:highlight w:val="none"/>
                      <w:lang w:eastAsia="zh-CN"/>
                    </w:rPr>
                  </w:pPr>
                  <w:r>
                    <w:rPr>
                      <w:rFonts w:hint="eastAsia"/>
                      <w:color w:val="auto"/>
                      <w:sz w:val="21"/>
                      <w:szCs w:val="21"/>
                      <w:highlight w:val="none"/>
                      <w:lang w:val="en-US" w:eastAsia="zh-CN"/>
                    </w:rPr>
                    <w:t>******</w:t>
                  </w:r>
                </w:p>
              </w:tc>
            </w:tr>
            <w:tr w14:paraId="4E9B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015AE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4180" w:type="dxa"/>
                  <w:vAlign w:val="top"/>
                </w:tcPr>
                <w:p w14:paraId="5D2AD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w:t>
                  </w:r>
                </w:p>
              </w:tc>
            </w:tr>
            <w:tr w14:paraId="24D9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80" w:type="dxa"/>
                  <w:vAlign w:val="top"/>
                </w:tcPr>
                <w:p w14:paraId="21647A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4180" w:type="dxa"/>
                  <w:vAlign w:val="top"/>
                </w:tcPr>
                <w:p w14:paraId="28CFA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r>
            <w:tr w14:paraId="19F4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60" w:type="dxa"/>
                  <w:gridSpan w:val="2"/>
                  <w:tcBorders>
                    <w:top w:val="nil"/>
                    <w:left w:val="nil"/>
                    <w:bottom w:val="nil"/>
                    <w:right w:val="nil"/>
                  </w:tcBorders>
                  <w:vAlign w:val="top"/>
                </w:tcPr>
                <w:p w14:paraId="1EF86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黑体"/>
                      <w:b/>
                      <w:bCs/>
                      <w:color w:val="auto"/>
                      <w:kern w:val="0"/>
                      <w:szCs w:val="21"/>
                      <w:highlight w:val="none"/>
                      <w:lang w:val="en-US" w:eastAsia="zh-CN"/>
                    </w:rPr>
                  </w:pPr>
                  <w:r>
                    <w:rPr>
                      <w:rFonts w:eastAsia="黑体"/>
                      <w:b/>
                      <w:color w:val="auto"/>
                      <w:kern w:val="0"/>
                      <w:sz w:val="24"/>
                      <w:highlight w:val="none"/>
                    </w:rPr>
                    <w:t>图3-</w:t>
                  </w:r>
                  <w:r>
                    <w:rPr>
                      <w:rFonts w:hint="eastAsia" w:eastAsia="黑体"/>
                      <w:b/>
                      <w:color w:val="auto"/>
                      <w:kern w:val="0"/>
                      <w:sz w:val="24"/>
                      <w:highlight w:val="none"/>
                      <w:lang w:val="en-US" w:eastAsia="zh-CN"/>
                    </w:rPr>
                    <w:t>2</w:t>
                  </w:r>
                  <w:r>
                    <w:rPr>
                      <w:rFonts w:eastAsia="黑体"/>
                      <w:b/>
                      <w:color w:val="auto"/>
                      <w:kern w:val="0"/>
                      <w:sz w:val="24"/>
                      <w:highlight w:val="none"/>
                    </w:rPr>
                    <w:t xml:space="preserve">  本项目所经区域</w:t>
                  </w:r>
                  <w:r>
                    <w:rPr>
                      <w:rFonts w:hint="eastAsia" w:eastAsia="黑体"/>
                      <w:b/>
                      <w:color w:val="auto"/>
                      <w:kern w:val="0"/>
                      <w:sz w:val="24"/>
                      <w:highlight w:val="none"/>
                      <w:lang w:val="en-US" w:eastAsia="zh-CN"/>
                    </w:rPr>
                    <w:t>主要植被类型</w:t>
                  </w:r>
                </w:p>
              </w:tc>
            </w:tr>
          </w:tbl>
          <w:p w14:paraId="3722BDEC">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3、区域环境质量现状</w:t>
            </w:r>
          </w:p>
          <w:p w14:paraId="1C81F42B">
            <w:pPr>
              <w:adjustRightInd w:val="0"/>
              <w:snapToGrid w:val="0"/>
              <w:spacing w:line="360" w:lineRule="auto"/>
              <w:ind w:firstLine="482" w:firstLineChars="200"/>
              <w:jc w:val="left"/>
              <w:rPr>
                <w:b/>
                <w:bCs/>
                <w:color w:val="auto"/>
                <w:kern w:val="0"/>
                <w:sz w:val="24"/>
                <w:highlight w:val="none"/>
              </w:rPr>
            </w:pPr>
            <w:r>
              <w:rPr>
                <w:b/>
                <w:bCs/>
                <w:color w:val="auto"/>
                <w:kern w:val="0"/>
                <w:sz w:val="24"/>
                <w:highlight w:val="none"/>
              </w:rPr>
              <w:t>（</w:t>
            </w:r>
            <w:r>
              <w:rPr>
                <w:rFonts w:hint="eastAsia"/>
                <w:b/>
                <w:bCs/>
                <w:color w:val="auto"/>
                <w:kern w:val="0"/>
                <w:sz w:val="24"/>
                <w:highlight w:val="none"/>
                <w:lang w:val="en-US" w:eastAsia="zh-CN"/>
              </w:rPr>
              <w:t>1</w:t>
            </w:r>
            <w:r>
              <w:rPr>
                <w:b/>
                <w:bCs/>
                <w:color w:val="auto"/>
                <w:kern w:val="0"/>
                <w:sz w:val="24"/>
                <w:highlight w:val="none"/>
              </w:rPr>
              <w:t>）电磁环境现状</w:t>
            </w:r>
          </w:p>
          <w:p w14:paraId="242E25C3">
            <w:pPr>
              <w:adjustRightInd w:val="0"/>
              <w:snapToGrid w:val="0"/>
              <w:spacing w:line="360" w:lineRule="auto"/>
              <w:ind w:firstLine="480" w:firstLineChars="200"/>
              <w:jc w:val="left"/>
              <w:rPr>
                <w:color w:val="auto"/>
                <w:kern w:val="0"/>
                <w:sz w:val="24"/>
                <w:highlight w:val="none"/>
              </w:rPr>
            </w:pPr>
            <w:r>
              <w:rPr>
                <w:color w:val="auto"/>
                <w:kern w:val="0"/>
                <w:sz w:val="24"/>
                <w:highlight w:val="none"/>
              </w:rPr>
              <w:t>为了解本项目运行前的电磁环境质量现状，我单位委托</w:t>
            </w:r>
            <w:r>
              <w:rPr>
                <w:rFonts w:hint="default" w:ascii="Times New Roman" w:hAnsi="Times New Roman" w:eastAsia="宋体" w:cs="Times New Roman"/>
                <w:bCs/>
                <w:color w:val="auto"/>
                <w:sz w:val="24"/>
                <w:szCs w:val="24"/>
                <w:highlight w:val="none"/>
                <w:lang w:eastAsia="zh-CN"/>
              </w:rPr>
              <w:t>长润安测科技有限公司</w:t>
            </w:r>
            <w:r>
              <w:rPr>
                <w:color w:val="auto"/>
                <w:kern w:val="0"/>
                <w:sz w:val="24"/>
                <w:highlight w:val="none"/>
              </w:rPr>
              <w:t>于202</w:t>
            </w:r>
            <w:r>
              <w:rPr>
                <w:rFonts w:hint="eastAsia"/>
                <w:color w:val="auto"/>
                <w:kern w:val="0"/>
                <w:sz w:val="24"/>
                <w:highlight w:val="none"/>
              </w:rPr>
              <w:t>5</w:t>
            </w:r>
            <w:r>
              <w:rPr>
                <w:color w:val="auto"/>
                <w:kern w:val="0"/>
                <w:sz w:val="24"/>
                <w:highlight w:val="none"/>
              </w:rPr>
              <w:t>年</w:t>
            </w:r>
            <w:r>
              <w:rPr>
                <w:rFonts w:hint="eastAsia"/>
                <w:color w:val="auto"/>
                <w:kern w:val="0"/>
                <w:sz w:val="24"/>
                <w:highlight w:val="none"/>
                <w:lang w:val="en-US" w:eastAsia="zh-CN"/>
              </w:rPr>
              <w:t>12</w:t>
            </w:r>
            <w:r>
              <w:rPr>
                <w:color w:val="auto"/>
                <w:kern w:val="0"/>
                <w:sz w:val="24"/>
                <w:highlight w:val="none"/>
              </w:rPr>
              <w:t>月</w:t>
            </w:r>
            <w:r>
              <w:rPr>
                <w:rFonts w:hint="eastAsia"/>
                <w:color w:val="auto"/>
                <w:kern w:val="0"/>
                <w:sz w:val="24"/>
                <w:highlight w:val="none"/>
                <w:lang w:val="en-US" w:eastAsia="zh-CN"/>
              </w:rPr>
              <w:t>10</w:t>
            </w:r>
            <w:r>
              <w:rPr>
                <w:color w:val="auto"/>
                <w:kern w:val="0"/>
                <w:sz w:val="24"/>
                <w:highlight w:val="none"/>
              </w:rPr>
              <w:t>日对项目周边的电磁环境进行了现状监测。</w:t>
            </w:r>
            <w:r>
              <w:rPr>
                <w:b/>
                <w:bCs/>
                <w:color w:val="auto"/>
                <w:kern w:val="0"/>
                <w:sz w:val="24"/>
                <w:highlight w:val="none"/>
              </w:rPr>
              <w:t>具体电磁环境现状评价详见本报告电磁环境影响专题评价。</w:t>
            </w:r>
          </w:p>
          <w:p w14:paraId="4BE9D889">
            <w:pPr>
              <w:adjustRightInd w:val="0"/>
              <w:snapToGrid w:val="0"/>
              <w:spacing w:line="360" w:lineRule="auto"/>
              <w:ind w:firstLine="480" w:firstLineChars="200"/>
              <w:jc w:val="left"/>
              <w:rPr>
                <w:color w:val="auto"/>
                <w:highlight w:val="none"/>
              </w:rPr>
            </w:pPr>
            <w:r>
              <w:rPr>
                <w:color w:val="auto"/>
                <w:sz w:val="24"/>
                <w:highlight w:val="none"/>
              </w:rPr>
              <w:t>根据监测结果可知，该项目建设区域内，工频电场强度、工频磁感应强度均低于《电磁环境控制限值》（GB8702-2014）规定的相应标准限值。</w:t>
            </w:r>
          </w:p>
          <w:p w14:paraId="4ADCD1AA">
            <w:pPr>
              <w:adjustRightInd w:val="0"/>
              <w:snapToGrid w:val="0"/>
              <w:spacing w:line="360" w:lineRule="auto"/>
              <w:ind w:left="420" w:leftChars="200"/>
              <w:jc w:val="left"/>
              <w:rPr>
                <w:b/>
                <w:bCs/>
                <w:color w:val="auto"/>
                <w:kern w:val="0"/>
                <w:sz w:val="24"/>
                <w:highlight w:val="none"/>
              </w:rPr>
            </w:pPr>
            <w:r>
              <w:rPr>
                <w:b/>
                <w:bCs/>
                <w:color w:val="auto"/>
                <w:kern w:val="0"/>
                <w:sz w:val="24"/>
                <w:highlight w:val="none"/>
              </w:rPr>
              <w:t>（</w:t>
            </w:r>
            <w:r>
              <w:rPr>
                <w:rFonts w:hint="eastAsia"/>
                <w:b/>
                <w:bCs/>
                <w:color w:val="auto"/>
                <w:kern w:val="0"/>
                <w:sz w:val="24"/>
                <w:highlight w:val="none"/>
                <w:lang w:val="en-US" w:eastAsia="zh-CN"/>
              </w:rPr>
              <w:t>2</w:t>
            </w:r>
            <w:r>
              <w:rPr>
                <w:b/>
                <w:bCs/>
                <w:color w:val="auto"/>
                <w:kern w:val="0"/>
                <w:sz w:val="24"/>
                <w:highlight w:val="none"/>
              </w:rPr>
              <w:t>）声环境现状</w:t>
            </w:r>
          </w:p>
          <w:p w14:paraId="146432D0">
            <w:pPr>
              <w:adjustRightInd w:val="0"/>
              <w:snapToGrid w:val="0"/>
              <w:spacing w:line="360" w:lineRule="auto"/>
              <w:ind w:firstLine="480" w:firstLineChars="200"/>
              <w:jc w:val="left"/>
              <w:rPr>
                <w:color w:val="auto"/>
                <w:kern w:val="0"/>
                <w:sz w:val="24"/>
                <w:highlight w:val="none"/>
              </w:rPr>
            </w:pPr>
            <w:r>
              <w:rPr>
                <w:color w:val="auto"/>
                <w:kern w:val="0"/>
                <w:sz w:val="24"/>
                <w:highlight w:val="none"/>
              </w:rPr>
              <w:t>为了解本项目运行前的声环境质量现状，我单位委托</w:t>
            </w:r>
            <w:r>
              <w:rPr>
                <w:rFonts w:hint="eastAsia"/>
                <w:color w:val="auto"/>
                <w:kern w:val="0"/>
                <w:sz w:val="24"/>
                <w:highlight w:val="none"/>
                <w:lang w:val="en-US" w:eastAsia="zh-CN"/>
              </w:rPr>
              <w:t>长润安测科技有限公司</w:t>
            </w:r>
            <w:r>
              <w:rPr>
                <w:color w:val="auto"/>
                <w:kern w:val="0"/>
                <w:sz w:val="24"/>
                <w:highlight w:val="none"/>
              </w:rPr>
              <w:t>于202</w:t>
            </w:r>
            <w:r>
              <w:rPr>
                <w:rFonts w:hint="eastAsia"/>
                <w:color w:val="auto"/>
                <w:kern w:val="0"/>
                <w:sz w:val="24"/>
                <w:highlight w:val="none"/>
              </w:rPr>
              <w:t>5</w:t>
            </w:r>
            <w:r>
              <w:rPr>
                <w:color w:val="auto"/>
                <w:kern w:val="0"/>
                <w:sz w:val="24"/>
                <w:highlight w:val="none"/>
              </w:rPr>
              <w:t>年</w:t>
            </w:r>
            <w:r>
              <w:rPr>
                <w:rFonts w:hint="eastAsia"/>
                <w:color w:val="auto"/>
                <w:kern w:val="0"/>
                <w:sz w:val="24"/>
                <w:highlight w:val="none"/>
                <w:lang w:val="en-US" w:eastAsia="zh-CN"/>
              </w:rPr>
              <w:t>12</w:t>
            </w:r>
            <w:r>
              <w:rPr>
                <w:color w:val="auto"/>
                <w:kern w:val="0"/>
                <w:sz w:val="24"/>
                <w:highlight w:val="none"/>
              </w:rPr>
              <w:t>月</w:t>
            </w:r>
            <w:r>
              <w:rPr>
                <w:rFonts w:hint="eastAsia"/>
                <w:color w:val="auto"/>
                <w:kern w:val="0"/>
                <w:sz w:val="24"/>
                <w:highlight w:val="none"/>
                <w:lang w:val="en-US" w:eastAsia="zh-CN"/>
              </w:rPr>
              <w:t>10</w:t>
            </w:r>
            <w:r>
              <w:rPr>
                <w:color w:val="auto"/>
                <w:kern w:val="0"/>
                <w:sz w:val="24"/>
                <w:highlight w:val="none"/>
              </w:rPr>
              <w:t>日对项目</w:t>
            </w:r>
            <w:r>
              <w:rPr>
                <w:rFonts w:hint="eastAsia"/>
                <w:color w:val="auto"/>
                <w:kern w:val="0"/>
                <w:sz w:val="24"/>
                <w:highlight w:val="none"/>
                <w:lang w:val="en-US" w:eastAsia="zh-CN"/>
              </w:rPr>
              <w:t>周边</w:t>
            </w:r>
            <w:r>
              <w:rPr>
                <w:color w:val="auto"/>
                <w:kern w:val="0"/>
                <w:sz w:val="24"/>
                <w:highlight w:val="none"/>
              </w:rPr>
              <w:t>的声环境进行了现状监测</w:t>
            </w:r>
            <w:r>
              <w:rPr>
                <w:rFonts w:hint="eastAsia"/>
                <w:color w:val="auto"/>
                <w:kern w:val="0"/>
                <w:sz w:val="24"/>
                <w:highlight w:val="none"/>
                <w:lang w:eastAsia="zh-CN"/>
              </w:rPr>
              <w:t>，</w:t>
            </w:r>
            <w:r>
              <w:rPr>
                <w:rFonts w:hint="eastAsia"/>
                <w:color w:val="auto"/>
                <w:kern w:val="0"/>
                <w:sz w:val="24"/>
                <w:highlight w:val="none"/>
                <w:lang w:val="en-US" w:eastAsia="zh-CN"/>
              </w:rPr>
              <w:t>具体详见附件</w:t>
            </w:r>
            <w:r>
              <w:rPr>
                <w:color w:val="auto"/>
                <w:kern w:val="0"/>
                <w:sz w:val="24"/>
                <w:highlight w:val="none"/>
              </w:rPr>
              <w:t>。</w:t>
            </w:r>
          </w:p>
          <w:p w14:paraId="62FE170C">
            <w:pPr>
              <w:adjustRightInd w:val="0"/>
              <w:snapToGrid w:val="0"/>
              <w:spacing w:line="360" w:lineRule="auto"/>
              <w:ind w:firstLine="480" w:firstLineChars="200"/>
              <w:jc w:val="left"/>
              <w:rPr>
                <w:color w:val="auto"/>
                <w:kern w:val="0"/>
                <w:sz w:val="24"/>
                <w:highlight w:val="none"/>
              </w:rPr>
            </w:pPr>
            <w:r>
              <w:rPr>
                <w:color w:val="auto"/>
                <w:kern w:val="0"/>
                <w:sz w:val="24"/>
                <w:highlight w:val="none"/>
              </w:rPr>
              <w:t>1）监测项目</w:t>
            </w:r>
          </w:p>
          <w:p w14:paraId="48C71E1F">
            <w:pPr>
              <w:adjustRightInd w:val="0"/>
              <w:snapToGrid w:val="0"/>
              <w:spacing w:line="360" w:lineRule="auto"/>
              <w:ind w:firstLine="480" w:firstLineChars="200"/>
              <w:jc w:val="left"/>
              <w:rPr>
                <w:color w:val="auto"/>
                <w:kern w:val="0"/>
                <w:sz w:val="24"/>
                <w:highlight w:val="none"/>
              </w:rPr>
            </w:pPr>
            <w:r>
              <w:rPr>
                <w:color w:val="auto"/>
                <w:kern w:val="0"/>
                <w:sz w:val="24"/>
                <w:highlight w:val="none"/>
              </w:rPr>
              <w:t>测量离地1.5m高度处的噪声。</w:t>
            </w:r>
          </w:p>
          <w:p w14:paraId="19DB6148">
            <w:pPr>
              <w:adjustRightInd w:val="0"/>
              <w:snapToGrid w:val="0"/>
              <w:spacing w:line="360" w:lineRule="auto"/>
              <w:ind w:firstLine="480" w:firstLineChars="200"/>
              <w:jc w:val="left"/>
              <w:rPr>
                <w:color w:val="auto"/>
                <w:kern w:val="0"/>
                <w:sz w:val="24"/>
                <w:highlight w:val="none"/>
              </w:rPr>
            </w:pPr>
            <w:r>
              <w:rPr>
                <w:color w:val="auto"/>
                <w:kern w:val="0"/>
                <w:sz w:val="24"/>
                <w:highlight w:val="none"/>
              </w:rPr>
              <w:t>2）监测方法</w:t>
            </w:r>
          </w:p>
          <w:p w14:paraId="102FCEB7">
            <w:pPr>
              <w:adjustRightInd w:val="0"/>
              <w:snapToGrid w:val="0"/>
              <w:spacing w:line="360" w:lineRule="auto"/>
              <w:ind w:firstLine="480" w:firstLineChars="200"/>
              <w:jc w:val="left"/>
              <w:rPr>
                <w:color w:val="auto"/>
                <w:kern w:val="0"/>
                <w:sz w:val="24"/>
                <w:highlight w:val="none"/>
              </w:rPr>
            </w:pPr>
            <w:r>
              <w:rPr>
                <w:color w:val="auto"/>
                <w:kern w:val="0"/>
                <w:sz w:val="24"/>
                <w:highlight w:val="none"/>
              </w:rPr>
              <w:t>严格按《声环境质量标准》（GB3096-2008）进行监测。</w:t>
            </w:r>
          </w:p>
          <w:p w14:paraId="151A07DE">
            <w:pPr>
              <w:adjustRightInd w:val="0"/>
              <w:snapToGrid w:val="0"/>
              <w:spacing w:line="360" w:lineRule="auto"/>
              <w:ind w:firstLine="480" w:firstLineChars="200"/>
              <w:jc w:val="left"/>
              <w:rPr>
                <w:color w:val="auto"/>
                <w:kern w:val="0"/>
                <w:sz w:val="24"/>
                <w:highlight w:val="none"/>
              </w:rPr>
            </w:pPr>
            <w:r>
              <w:rPr>
                <w:color w:val="auto"/>
                <w:kern w:val="0"/>
                <w:sz w:val="24"/>
                <w:highlight w:val="none"/>
              </w:rPr>
              <w:t>3）监测仪器</w:t>
            </w:r>
          </w:p>
          <w:p w14:paraId="4E2EB34D">
            <w:pPr>
              <w:spacing w:line="360" w:lineRule="auto"/>
              <w:ind w:firstLine="480" w:firstLineChars="200"/>
              <w:jc w:val="both"/>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监测使用的仪器见</w:t>
            </w:r>
            <w:r>
              <w:rPr>
                <w:rFonts w:hint="default" w:ascii="Times New Roman" w:hAnsi="Times New Roman" w:cs="Times New Roman"/>
                <w:b w:val="0"/>
                <w:bCs w:val="0"/>
                <w:color w:val="auto"/>
                <w:sz w:val="24"/>
                <w:highlight w:val="none"/>
                <w:lang w:val="en-US" w:eastAsia="zh-CN"/>
              </w:rPr>
              <w:t>表</w:t>
            </w:r>
            <w:r>
              <w:rPr>
                <w:rFonts w:hint="eastAsia" w:ascii="Times New Roman" w:hAnsi="Times New Roman" w:cs="Times New Roman"/>
                <w:b w:val="0"/>
                <w:bCs w:val="0"/>
                <w:color w:val="auto"/>
                <w:sz w:val="24"/>
                <w:highlight w:val="none"/>
                <w:lang w:val="en-US" w:eastAsia="zh-CN"/>
              </w:rPr>
              <w:t>3-1</w:t>
            </w:r>
            <w:r>
              <w:rPr>
                <w:rFonts w:hint="eastAsia"/>
                <w:color w:val="auto"/>
                <w:kern w:val="0"/>
                <w:sz w:val="24"/>
                <w:highlight w:val="none"/>
                <w:lang w:val="en-US" w:eastAsia="zh-CN"/>
              </w:rPr>
              <w:t>，监测仪器校准记录见表3-2</w:t>
            </w:r>
            <w:r>
              <w:rPr>
                <w:rFonts w:hint="default" w:ascii="Times New Roman" w:hAnsi="Times New Roman" w:cs="Times New Roman"/>
                <w:color w:val="auto"/>
                <w:sz w:val="24"/>
                <w:highlight w:val="none"/>
                <w:lang w:val="en-US" w:eastAsia="zh-CN"/>
              </w:rPr>
              <w:t>。</w:t>
            </w:r>
          </w:p>
          <w:p w14:paraId="5D52CD0F">
            <w:pPr>
              <w:pStyle w:val="48"/>
              <w:keepNext w:val="0"/>
              <w:keepLines w:val="0"/>
              <w:pageBreakBefore w:val="0"/>
              <w:widowControl w:val="0"/>
              <w:kinsoku/>
              <w:wordWrap/>
              <w:overflowPunct/>
              <w:topLinePunct w:val="0"/>
              <w:autoSpaceDE/>
              <w:autoSpaceDN/>
              <w:bidi w:val="0"/>
              <w:adjustRightInd/>
              <w:snapToGrid/>
              <w:spacing w:line="360" w:lineRule="auto"/>
              <w:ind w:firstLine="422"/>
              <w:jc w:val="center"/>
              <w:textAlignment w:val="auto"/>
              <w:rPr>
                <w:rFonts w:hint="eastAsia" w:ascii="Times New Roman" w:hAnsi="Times New Roman" w:eastAsia="黑体" w:cs="Times New Roman"/>
                <w:b/>
                <w:bCs/>
                <w:color w:val="auto"/>
                <w:sz w:val="24"/>
                <w:szCs w:val="24"/>
                <w:highlight w:val="none"/>
                <w:lang w:val="en-US" w:eastAsia="zh-CN"/>
              </w:rPr>
            </w:pPr>
            <w:r>
              <w:rPr>
                <w:rFonts w:hint="eastAsia" w:ascii="Times New Roman" w:hAnsi="Times New Roman" w:eastAsia="黑体" w:cs="Times New Roman"/>
                <w:b/>
                <w:bCs/>
                <w:color w:val="auto"/>
                <w:sz w:val="24"/>
                <w:szCs w:val="24"/>
                <w:highlight w:val="none"/>
                <w:lang w:val="en-US" w:eastAsia="zh-CN"/>
              </w:rPr>
              <w:t>表3-1  本项目监测使用的仪器一览表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0"/>
              <w:gridCol w:w="1320"/>
              <w:gridCol w:w="1080"/>
              <w:gridCol w:w="3716"/>
            </w:tblGrid>
            <w:tr w14:paraId="062C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87" w:type="dxa"/>
                  <w:noWrap w:val="0"/>
                  <w:vAlign w:val="center"/>
                </w:tcPr>
                <w:p w14:paraId="5166D357">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7736" w:type="dxa"/>
                  <w:gridSpan w:val="4"/>
                  <w:noWrap w:val="0"/>
                  <w:vAlign w:val="center"/>
                </w:tcPr>
                <w:p w14:paraId="39C327BA">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噪声及气象参数</w:t>
                  </w:r>
                </w:p>
              </w:tc>
            </w:tr>
            <w:tr w14:paraId="3B2A8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vMerge w:val="restart"/>
                  <w:noWrap w:val="0"/>
                  <w:vAlign w:val="center"/>
                </w:tcPr>
                <w:p w14:paraId="16E69D02">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rPr>
                    <w:t>长润安测科技有限公司</w:t>
                  </w:r>
                </w:p>
              </w:tc>
              <w:tc>
                <w:tcPr>
                  <w:tcW w:w="1620" w:type="dxa"/>
                  <w:noWrap w:val="0"/>
                  <w:vAlign w:val="center"/>
                </w:tcPr>
                <w:p w14:paraId="65844C0D">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仪器名称</w:t>
                  </w:r>
                </w:p>
              </w:tc>
              <w:tc>
                <w:tcPr>
                  <w:tcW w:w="1320" w:type="dxa"/>
                  <w:noWrap w:val="0"/>
                  <w:vAlign w:val="center"/>
                </w:tcPr>
                <w:p w14:paraId="5CDD47E5">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测量范围</w:t>
                  </w:r>
                </w:p>
              </w:tc>
              <w:tc>
                <w:tcPr>
                  <w:tcW w:w="1080" w:type="dxa"/>
                  <w:noWrap w:val="0"/>
                  <w:vAlign w:val="center"/>
                </w:tcPr>
                <w:p w14:paraId="00DA0CBF">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生产厂家</w:t>
                  </w:r>
                </w:p>
              </w:tc>
              <w:tc>
                <w:tcPr>
                  <w:tcW w:w="3716" w:type="dxa"/>
                  <w:noWrap w:val="0"/>
                  <w:vAlign w:val="center"/>
                </w:tcPr>
                <w:p w14:paraId="0F2312AB">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检定与校准</w:t>
                  </w:r>
                </w:p>
              </w:tc>
            </w:tr>
            <w:tr w14:paraId="62A33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vMerge w:val="continue"/>
                  <w:noWrap w:val="0"/>
                  <w:vAlign w:val="center"/>
                </w:tcPr>
                <w:p w14:paraId="56E6EE6B">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p>
              </w:tc>
              <w:tc>
                <w:tcPr>
                  <w:tcW w:w="1620" w:type="dxa"/>
                  <w:shd w:val="clear" w:color="auto" w:fill="auto"/>
                  <w:noWrap w:val="0"/>
                  <w:vAlign w:val="center"/>
                </w:tcPr>
                <w:p w14:paraId="02B91158">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AWA5688（CR-YQ-126）多功能声级计</w:t>
                  </w:r>
                </w:p>
              </w:tc>
              <w:tc>
                <w:tcPr>
                  <w:tcW w:w="1320" w:type="dxa"/>
                  <w:shd w:val="clear" w:color="auto" w:fill="auto"/>
                  <w:noWrap w:val="0"/>
                  <w:vAlign w:val="center"/>
                </w:tcPr>
                <w:p w14:paraId="06FF65F2">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rPr>
                    <w:t>2</w:t>
                  </w:r>
                  <w:r>
                    <w:rPr>
                      <w:rFonts w:hint="eastAsia" w:ascii="Times New Roman" w:hAnsi="Times New Roman" w:eastAsia="宋体" w:cs="Times New Roman"/>
                      <w:color w:val="auto"/>
                      <w:kern w:val="2"/>
                      <w:sz w:val="21"/>
                      <w:szCs w:val="21"/>
                      <w:highlight w:val="none"/>
                      <w:lang w:val="en-US" w:eastAsia="zh-CN"/>
                    </w:rPr>
                    <w:t>8</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133）</w:t>
                  </w:r>
                  <w:r>
                    <w:rPr>
                      <w:rFonts w:hint="default" w:ascii="Times New Roman" w:hAnsi="Times New Roman" w:eastAsia="宋体" w:cs="Times New Roman"/>
                      <w:color w:val="auto"/>
                      <w:kern w:val="2"/>
                      <w:sz w:val="21"/>
                      <w:szCs w:val="21"/>
                      <w:highlight w:val="none"/>
                    </w:rPr>
                    <w:t>dB</w:t>
                  </w:r>
                  <w:r>
                    <w:rPr>
                      <w:rFonts w:hint="eastAsia" w:ascii="Times New Roman" w:hAnsi="Times New Roman" w:eastAsia="宋体" w:cs="Times New Roman"/>
                      <w:color w:val="auto"/>
                      <w:kern w:val="2"/>
                      <w:sz w:val="21"/>
                      <w:szCs w:val="21"/>
                      <w:highlight w:val="none"/>
                      <w:lang w:val="en-US" w:eastAsia="zh-CN"/>
                    </w:rPr>
                    <w:t>(A)</w:t>
                  </w:r>
                </w:p>
              </w:tc>
              <w:tc>
                <w:tcPr>
                  <w:tcW w:w="1080" w:type="dxa"/>
                  <w:shd w:val="clear" w:color="auto" w:fill="auto"/>
                  <w:noWrap w:val="0"/>
                  <w:vAlign w:val="center"/>
                </w:tcPr>
                <w:p w14:paraId="1F4AD760">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杭州爱华仪器有限公司</w:t>
                  </w:r>
                </w:p>
              </w:tc>
              <w:tc>
                <w:tcPr>
                  <w:tcW w:w="3716" w:type="dxa"/>
                  <w:shd w:val="clear" w:color="auto" w:fill="auto"/>
                  <w:noWrap w:val="0"/>
                  <w:vAlign w:val="center"/>
                </w:tcPr>
                <w:p w14:paraId="716F2C01">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出厂编号：10344276</w:t>
                  </w:r>
                </w:p>
                <w:p w14:paraId="10217085">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检定单位：北京市计量检测科学研究院</w:t>
                  </w:r>
                </w:p>
                <w:p w14:paraId="762BE996">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检定证书号：JA2</w:t>
                  </w:r>
                  <w:r>
                    <w:rPr>
                      <w:rFonts w:hint="default" w:ascii="Times New Roman" w:hAnsi="Times New Roman" w:eastAsia="宋体"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J-CD101</w:t>
                  </w:r>
                  <w:r>
                    <w:rPr>
                      <w:rFonts w:hint="default" w:ascii="Times New Roman" w:hAnsi="Times New Roman" w:eastAsia="宋体" w:cs="Times New Roman"/>
                      <w:color w:val="auto"/>
                      <w:kern w:val="2"/>
                      <w:sz w:val="21"/>
                      <w:szCs w:val="21"/>
                      <w:highlight w:val="none"/>
                      <w:lang w:val="en-US" w:eastAsia="zh-CN"/>
                    </w:rPr>
                    <w:t>414</w:t>
                  </w:r>
                </w:p>
                <w:p w14:paraId="18A95371">
                  <w:pPr>
                    <w:keepNext w:val="0"/>
                    <w:keepLines w:val="0"/>
                    <w:suppressLineNumbers w:val="0"/>
                    <w:spacing w:before="0" w:beforeAutospacing="0" w:after="0" w:afterAutospacing="0" w:line="240" w:lineRule="atLeas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有效期</w:t>
                  </w:r>
                  <w:r>
                    <w:rPr>
                      <w:rFonts w:hint="eastAsia" w:ascii="Times New Roman" w:hAnsi="Times New Roman" w:eastAsia="宋体" w:cs="Times New Roman"/>
                      <w:color w:val="auto"/>
                      <w:kern w:val="2"/>
                      <w:sz w:val="21"/>
                      <w:szCs w:val="21"/>
                      <w:highlight w:val="none"/>
                      <w:lang w:val="en-US" w:eastAsia="zh-CN"/>
                    </w:rPr>
                    <w:t>至</w:t>
                  </w:r>
                  <w:r>
                    <w:rPr>
                      <w:rFonts w:hint="default" w:ascii="Times New Roman" w:hAnsi="Times New Roman" w:eastAsia="宋体" w:cs="Times New Roman"/>
                      <w:color w:val="auto"/>
                      <w:kern w:val="2"/>
                      <w:sz w:val="21"/>
                      <w:szCs w:val="21"/>
                      <w:highlight w:val="none"/>
                    </w:rPr>
                    <w:t>：202</w:t>
                  </w:r>
                  <w:r>
                    <w:rPr>
                      <w:rFonts w:hint="eastAsia" w:ascii="Times New Roman" w:hAnsi="Times New Roman" w:eastAsia="宋体" w:cs="Times New Roman"/>
                      <w:color w:val="auto"/>
                      <w:kern w:val="2"/>
                      <w:sz w:val="21"/>
                      <w:szCs w:val="21"/>
                      <w:highlight w:val="none"/>
                      <w:lang w:val="en-US" w:eastAsia="zh-CN"/>
                    </w:rPr>
                    <w:t>6</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9</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21</w:t>
                  </w:r>
                </w:p>
              </w:tc>
            </w:tr>
            <w:tr w14:paraId="6B0A0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vMerge w:val="continue"/>
                  <w:noWrap w:val="0"/>
                  <w:vAlign w:val="center"/>
                </w:tcPr>
                <w:p w14:paraId="1D70CFFC">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p>
              </w:tc>
              <w:tc>
                <w:tcPr>
                  <w:tcW w:w="1620" w:type="dxa"/>
                  <w:shd w:val="clear" w:color="auto" w:fill="auto"/>
                  <w:noWrap w:val="0"/>
                  <w:vAlign w:val="center"/>
                </w:tcPr>
                <w:p w14:paraId="4FB37499">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AWA6022A（CR-YQ-114）声校准器</w:t>
                  </w:r>
                </w:p>
              </w:tc>
              <w:tc>
                <w:tcPr>
                  <w:tcW w:w="1320" w:type="dxa"/>
                  <w:shd w:val="clear" w:color="auto" w:fill="auto"/>
                  <w:noWrap w:val="0"/>
                  <w:vAlign w:val="center"/>
                </w:tcPr>
                <w:p w14:paraId="00ADB5CB">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w:t>
                  </w:r>
                </w:p>
              </w:tc>
              <w:tc>
                <w:tcPr>
                  <w:tcW w:w="1080" w:type="dxa"/>
                  <w:shd w:val="clear" w:color="auto" w:fill="auto"/>
                  <w:noWrap w:val="0"/>
                  <w:vAlign w:val="center"/>
                </w:tcPr>
                <w:p w14:paraId="2E40B694">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杭州爱华仪器有限公司</w:t>
                  </w:r>
                </w:p>
              </w:tc>
              <w:tc>
                <w:tcPr>
                  <w:tcW w:w="3716" w:type="dxa"/>
                  <w:shd w:val="clear" w:color="auto" w:fill="auto"/>
                  <w:noWrap w:val="0"/>
                  <w:vAlign w:val="center"/>
                </w:tcPr>
                <w:p w14:paraId="15147071">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出厂编号：</w:t>
                  </w:r>
                  <w:r>
                    <w:rPr>
                      <w:rFonts w:hint="default" w:ascii="Times New Roman" w:hAnsi="Times New Roman" w:eastAsia="宋体" w:cs="Times New Roman"/>
                      <w:color w:val="auto"/>
                      <w:kern w:val="2"/>
                      <w:sz w:val="21"/>
                      <w:szCs w:val="21"/>
                      <w:highlight w:val="none"/>
                      <w:lang w:val="en-US" w:eastAsia="zh-CN"/>
                    </w:rPr>
                    <w:t>2020139</w:t>
                  </w:r>
                </w:p>
                <w:p w14:paraId="19A7D5FE">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检定单位：北京市计量检测科学研究院</w:t>
                  </w:r>
                </w:p>
                <w:p w14:paraId="389699A9">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检定证书号：JA2</w:t>
                  </w:r>
                  <w:r>
                    <w:rPr>
                      <w:rFonts w:hint="default" w:ascii="Times New Roman" w:hAnsi="Times New Roman" w:eastAsia="宋体"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rPr>
                    <w:t>J-CD101</w:t>
                  </w:r>
                  <w:r>
                    <w:rPr>
                      <w:rFonts w:hint="default" w:ascii="Times New Roman" w:hAnsi="Times New Roman" w:eastAsia="宋体" w:cs="Times New Roman"/>
                      <w:color w:val="auto"/>
                      <w:kern w:val="2"/>
                      <w:sz w:val="21"/>
                      <w:szCs w:val="21"/>
                      <w:highlight w:val="none"/>
                      <w:lang w:val="en-US" w:eastAsia="zh-CN"/>
                    </w:rPr>
                    <w:t>426</w:t>
                  </w:r>
                </w:p>
                <w:p w14:paraId="084EB6E7">
                  <w:pPr>
                    <w:keepNext w:val="0"/>
                    <w:keepLines w:val="0"/>
                    <w:suppressLineNumbers w:val="0"/>
                    <w:spacing w:before="0" w:beforeAutospacing="0" w:after="0" w:afterAutospacing="0" w:line="240" w:lineRule="atLeas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有效期</w:t>
                  </w:r>
                  <w:r>
                    <w:rPr>
                      <w:rFonts w:hint="eastAsia" w:ascii="Times New Roman" w:hAnsi="Times New Roman" w:eastAsia="宋体" w:cs="Times New Roman"/>
                      <w:color w:val="auto"/>
                      <w:kern w:val="2"/>
                      <w:sz w:val="21"/>
                      <w:szCs w:val="21"/>
                      <w:highlight w:val="none"/>
                      <w:lang w:val="en-US" w:eastAsia="zh-CN"/>
                    </w:rPr>
                    <w:t>至</w:t>
                  </w:r>
                  <w:r>
                    <w:rPr>
                      <w:rFonts w:hint="default" w:ascii="Times New Roman" w:hAnsi="Times New Roman" w:eastAsia="宋体" w:cs="Times New Roman"/>
                      <w:color w:val="auto"/>
                      <w:kern w:val="2"/>
                      <w:sz w:val="21"/>
                      <w:szCs w:val="21"/>
                      <w:highlight w:val="none"/>
                    </w:rPr>
                    <w:t>：202</w:t>
                  </w:r>
                  <w:r>
                    <w:rPr>
                      <w:rFonts w:hint="eastAsia" w:ascii="Times New Roman" w:hAnsi="Times New Roman" w:eastAsia="宋体" w:cs="Times New Roman"/>
                      <w:color w:val="auto"/>
                      <w:kern w:val="2"/>
                      <w:sz w:val="21"/>
                      <w:szCs w:val="21"/>
                      <w:highlight w:val="none"/>
                      <w:lang w:val="en-US" w:eastAsia="zh-CN"/>
                    </w:rPr>
                    <w:t>6</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9</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23</w:t>
                  </w:r>
                </w:p>
              </w:tc>
            </w:tr>
            <w:tr w14:paraId="6F694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7" w:type="dxa"/>
                  <w:vMerge w:val="continue"/>
                  <w:noWrap w:val="0"/>
                  <w:vAlign w:val="center"/>
                </w:tcPr>
                <w:p w14:paraId="7256B3E1">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p>
              </w:tc>
              <w:tc>
                <w:tcPr>
                  <w:tcW w:w="1620" w:type="dxa"/>
                  <w:shd w:val="clear" w:color="auto" w:fill="auto"/>
                  <w:noWrap w:val="0"/>
                  <w:vAlign w:val="center"/>
                </w:tcPr>
                <w:p w14:paraId="52B6BB51">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3500（CR-YQ-012）风速仪</w:t>
                  </w:r>
                </w:p>
              </w:tc>
              <w:tc>
                <w:tcPr>
                  <w:tcW w:w="1320" w:type="dxa"/>
                  <w:shd w:val="clear" w:color="auto" w:fill="auto"/>
                  <w:noWrap w:val="0"/>
                  <w:vAlign w:val="center"/>
                </w:tcPr>
                <w:p w14:paraId="4F2D3E7C">
                  <w:pPr>
                    <w:keepNext w:val="0"/>
                    <w:keepLines w:val="0"/>
                    <w:suppressLineNumbers w:val="0"/>
                    <w:spacing w:before="0" w:beforeAutospacing="0" w:after="0" w:afterAutospacing="0" w:line="240" w:lineRule="atLeas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（0.5~25）m/s</w:t>
                  </w:r>
                </w:p>
              </w:tc>
              <w:tc>
                <w:tcPr>
                  <w:tcW w:w="1080" w:type="dxa"/>
                  <w:shd w:val="clear" w:color="auto" w:fill="auto"/>
                  <w:noWrap w:val="0"/>
                  <w:vAlign w:val="center"/>
                </w:tcPr>
                <w:p w14:paraId="547C6CD6">
                  <w:pPr>
                    <w:keepNext w:val="0"/>
                    <w:keepLines w:val="0"/>
                    <w:suppressLineNumbers w:val="0"/>
                    <w:spacing w:before="0" w:beforeAutospacing="0" w:after="0" w:afterAutospacing="0" w:line="240" w:lineRule="atLeas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Kestrel</w:t>
                  </w:r>
                </w:p>
              </w:tc>
              <w:tc>
                <w:tcPr>
                  <w:tcW w:w="3716" w:type="dxa"/>
                  <w:shd w:val="clear" w:color="auto" w:fill="auto"/>
                  <w:noWrap w:val="0"/>
                  <w:vAlign w:val="center"/>
                </w:tcPr>
                <w:p w14:paraId="2EC29FB3">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出厂编号：20</w:t>
                  </w:r>
                  <w:r>
                    <w:rPr>
                      <w:rFonts w:hint="eastAsia" w:ascii="Times New Roman" w:hAnsi="Times New Roman" w:eastAsia="宋体" w:cs="Times New Roman"/>
                      <w:color w:val="auto"/>
                      <w:kern w:val="2"/>
                      <w:sz w:val="21"/>
                      <w:szCs w:val="21"/>
                      <w:highlight w:val="none"/>
                      <w:lang w:val="en-US" w:eastAsia="zh-CN"/>
                    </w:rPr>
                    <w:t>86519</w:t>
                  </w:r>
                </w:p>
                <w:p w14:paraId="7A857CEE">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检定单位：中检（宁夏）计量检测有限公司</w:t>
                  </w:r>
                </w:p>
                <w:p w14:paraId="6B82A69E">
                  <w:pPr>
                    <w:keepNext w:val="0"/>
                    <w:keepLines w:val="0"/>
                    <w:suppressLineNumbers w:val="0"/>
                    <w:spacing w:before="0" w:beforeAutospacing="0" w:after="0" w:afterAutospacing="0" w:line="240" w:lineRule="atLeast"/>
                    <w:ind w:left="0" w:leftChars="0" w:right="0" w:firstLine="0" w:firstLineChars="0"/>
                    <w:jc w:val="left"/>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检定证书号：RL250512788</w:t>
                  </w:r>
                </w:p>
                <w:p w14:paraId="5780BDDC">
                  <w:pPr>
                    <w:keepNext w:val="0"/>
                    <w:keepLines w:val="0"/>
                    <w:suppressLineNumbers w:val="0"/>
                    <w:spacing w:before="0" w:beforeAutospacing="0" w:after="0" w:afterAutospacing="0" w:line="240" w:lineRule="atLeast"/>
                    <w:ind w:left="0" w:leftChars="0" w:right="0" w:rightChars="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有效期</w:t>
                  </w:r>
                  <w:r>
                    <w:rPr>
                      <w:rFonts w:hint="eastAsia" w:ascii="Times New Roman" w:hAnsi="Times New Roman" w:eastAsia="宋体" w:cs="Times New Roman"/>
                      <w:color w:val="auto"/>
                      <w:kern w:val="2"/>
                      <w:sz w:val="21"/>
                      <w:szCs w:val="21"/>
                      <w:highlight w:val="none"/>
                      <w:lang w:val="en-US" w:eastAsia="zh-CN"/>
                    </w:rPr>
                    <w:t>至</w:t>
                  </w:r>
                  <w:r>
                    <w:rPr>
                      <w:rFonts w:hint="default" w:ascii="Times New Roman" w:hAnsi="Times New Roman" w:eastAsia="宋体" w:cs="Times New Roman"/>
                      <w:color w:val="auto"/>
                      <w:kern w:val="2"/>
                      <w:sz w:val="21"/>
                      <w:szCs w:val="21"/>
                      <w:highlight w:val="none"/>
                    </w:rPr>
                    <w:t>：202</w:t>
                  </w:r>
                  <w:r>
                    <w:rPr>
                      <w:rFonts w:hint="eastAsia" w:ascii="Times New Roman" w:hAnsi="Times New Roman" w:eastAsia="宋体" w:cs="Times New Roman"/>
                      <w:color w:val="auto"/>
                      <w:kern w:val="2"/>
                      <w:sz w:val="21"/>
                      <w:szCs w:val="21"/>
                      <w:highlight w:val="none"/>
                      <w:lang w:val="en-US" w:eastAsia="zh-CN"/>
                    </w:rPr>
                    <w:t>6.5.14</w:t>
                  </w:r>
                </w:p>
              </w:tc>
            </w:tr>
          </w:tbl>
          <w:p w14:paraId="75147FB0">
            <w:pPr>
              <w:pStyle w:val="48"/>
              <w:keepNext w:val="0"/>
              <w:keepLines w:val="0"/>
              <w:pageBreakBefore w:val="0"/>
              <w:widowControl w:val="0"/>
              <w:kinsoku/>
              <w:wordWrap/>
              <w:overflowPunct/>
              <w:topLinePunct w:val="0"/>
              <w:autoSpaceDE/>
              <w:autoSpaceDN/>
              <w:bidi w:val="0"/>
              <w:adjustRightInd/>
              <w:snapToGrid/>
              <w:spacing w:before="192" w:beforeLines="50" w:line="360" w:lineRule="auto"/>
              <w:jc w:val="right"/>
              <w:textAlignment w:val="auto"/>
              <w:rPr>
                <w:rFonts w:hint="default" w:ascii="Times New Roman" w:hAnsi="Times New Roman" w:eastAsia="黑体" w:cs="Times New Roman"/>
                <w:b/>
                <w:color w:val="auto"/>
                <w:kern w:val="0"/>
                <w:sz w:val="24"/>
                <w:highlight w:val="none"/>
                <w:lang w:val="en-US" w:eastAsia="zh-CN"/>
              </w:rPr>
            </w:pPr>
            <w:r>
              <w:rPr>
                <w:rFonts w:hint="default" w:ascii="Times New Roman" w:hAnsi="Times New Roman" w:eastAsia="黑体" w:cs="Times New Roman"/>
                <w:b/>
                <w:bCs/>
                <w:color w:val="auto"/>
                <w:sz w:val="24"/>
                <w:szCs w:val="24"/>
                <w:highlight w:val="none"/>
                <w:lang w:val="en-US" w:eastAsia="zh-CN"/>
              </w:rPr>
              <w:t>表</w:t>
            </w:r>
            <w:r>
              <w:rPr>
                <w:rFonts w:hint="eastAsia" w:ascii="Times New Roman" w:hAnsi="Times New Roman" w:eastAsia="黑体" w:cs="Times New Roman"/>
                <w:b/>
                <w:bCs/>
                <w:color w:val="auto"/>
                <w:sz w:val="24"/>
                <w:szCs w:val="24"/>
                <w:highlight w:val="none"/>
                <w:lang w:val="en-US" w:eastAsia="zh-CN"/>
              </w:rPr>
              <w:t>3-2</w:t>
            </w:r>
            <w:r>
              <w:rPr>
                <w:rFonts w:hint="default" w:ascii="Times New Roman" w:hAnsi="Times New Roman" w:eastAsia="黑体" w:cs="Times New Roman"/>
                <w:b/>
                <w:bCs/>
                <w:color w:val="auto"/>
                <w:sz w:val="24"/>
                <w:szCs w:val="24"/>
                <w:highlight w:val="none"/>
                <w:lang w:val="en-US" w:eastAsia="zh-CN"/>
              </w:rPr>
              <w:t xml:space="preserve">  </w:t>
            </w:r>
            <w:r>
              <w:rPr>
                <w:rFonts w:hint="eastAsia" w:ascii="Times New Roman" w:hAnsi="Times New Roman" w:eastAsia="黑体" w:cs="Times New Roman"/>
                <w:b/>
                <w:bCs/>
                <w:color w:val="auto"/>
                <w:sz w:val="24"/>
                <w:szCs w:val="24"/>
                <w:highlight w:val="none"/>
                <w:lang w:val="en-US" w:eastAsia="zh-CN"/>
              </w:rPr>
              <w:t>监测仪器校准记录一览</w:t>
            </w:r>
            <w:r>
              <w:rPr>
                <w:rFonts w:hint="default" w:ascii="Times New Roman" w:hAnsi="Times New Roman" w:eastAsia="黑体" w:cs="Times New Roman"/>
                <w:b/>
                <w:bCs/>
                <w:color w:val="auto"/>
                <w:sz w:val="24"/>
                <w:szCs w:val="24"/>
                <w:highlight w:val="none"/>
                <w:lang w:val="en-US" w:eastAsia="zh-CN"/>
              </w:rPr>
              <w:t>表</w:t>
            </w:r>
            <w:r>
              <w:rPr>
                <w:rFonts w:hint="eastAsia" w:eastAsia="黑体" w:cs="Times New Roman"/>
                <w:b/>
                <w:bCs/>
                <w:color w:val="auto"/>
                <w:sz w:val="24"/>
                <w:szCs w:val="24"/>
                <w:highlight w:val="none"/>
                <w:lang w:val="en-US" w:eastAsia="zh-CN"/>
              </w:rPr>
              <w:t xml:space="preserve">         </w:t>
            </w:r>
            <w:r>
              <w:rPr>
                <w:rFonts w:hint="eastAsia" w:eastAsia="黑体" w:cs="Times New Roman"/>
                <w:b w:val="0"/>
                <w:bCs w:val="0"/>
                <w:color w:val="auto"/>
                <w:sz w:val="24"/>
                <w:szCs w:val="24"/>
                <w:highlight w:val="none"/>
                <w:lang w:val="en-US" w:eastAsia="zh-CN"/>
              </w:rPr>
              <w:t>单位：</w:t>
            </w:r>
            <w:r>
              <w:rPr>
                <w:rFonts w:hint="default" w:ascii="Times New Roman" w:hAnsi="Times New Roman" w:eastAsia="宋体" w:cs="Times New Roman"/>
                <w:b w:val="0"/>
                <w:bCs w:val="0"/>
                <w:color w:val="auto"/>
                <w:kern w:val="2"/>
                <w:sz w:val="24"/>
                <w:szCs w:val="24"/>
                <w:highlight w:val="none"/>
              </w:rPr>
              <w:t>dB(A)</w:t>
            </w:r>
          </w:p>
          <w:tbl>
            <w:tblPr>
              <w:tblStyle w:val="28"/>
              <w:tblW w:w="84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73"/>
              <w:gridCol w:w="715"/>
              <w:gridCol w:w="1256"/>
              <w:gridCol w:w="1305"/>
              <w:gridCol w:w="990"/>
              <w:gridCol w:w="1155"/>
              <w:gridCol w:w="1371"/>
            </w:tblGrid>
            <w:tr w14:paraId="35559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0"/>
                  <w:vAlign w:val="center"/>
                </w:tcPr>
                <w:p w14:paraId="32780645">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序号</w:t>
                  </w:r>
                </w:p>
              </w:tc>
              <w:tc>
                <w:tcPr>
                  <w:tcW w:w="1888" w:type="dxa"/>
                  <w:gridSpan w:val="2"/>
                  <w:noWrap w:val="0"/>
                  <w:vAlign w:val="center"/>
                </w:tcPr>
                <w:p w14:paraId="187726D9">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校准日期</w:t>
                  </w:r>
                </w:p>
              </w:tc>
              <w:tc>
                <w:tcPr>
                  <w:tcW w:w="1256" w:type="dxa"/>
                  <w:noWrap w:val="0"/>
                  <w:vAlign w:val="center"/>
                </w:tcPr>
                <w:p w14:paraId="771F35D3">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b/>
                      <w:bCs/>
                      <w:color w:val="auto"/>
                      <w:kern w:val="2"/>
                      <w:sz w:val="21"/>
                      <w:szCs w:val="21"/>
                      <w:highlight w:val="none"/>
                    </w:rPr>
                    <w:t>测量</w:t>
                  </w:r>
                  <w:r>
                    <w:rPr>
                      <w:rFonts w:hint="eastAsia" w:ascii="Times New Roman" w:hAnsi="Times New Roman" w:eastAsia="宋体" w:cs="Times New Roman"/>
                      <w:b/>
                      <w:bCs/>
                      <w:color w:val="auto"/>
                      <w:kern w:val="2"/>
                      <w:sz w:val="21"/>
                      <w:szCs w:val="21"/>
                      <w:highlight w:val="none"/>
                      <w:lang w:val="en-US" w:eastAsia="zh-CN"/>
                    </w:rPr>
                    <w:t>前校准示值</w:t>
                  </w:r>
                </w:p>
              </w:tc>
              <w:tc>
                <w:tcPr>
                  <w:tcW w:w="1305" w:type="dxa"/>
                  <w:noWrap w:val="0"/>
                  <w:vAlign w:val="center"/>
                </w:tcPr>
                <w:p w14:paraId="39AA705F">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测量</w:t>
                  </w:r>
                  <w:r>
                    <w:rPr>
                      <w:rFonts w:hint="eastAsia" w:ascii="Times New Roman" w:hAnsi="Times New Roman" w:eastAsia="宋体" w:cs="Times New Roman"/>
                      <w:b/>
                      <w:bCs/>
                      <w:color w:val="auto"/>
                      <w:kern w:val="2"/>
                      <w:sz w:val="21"/>
                      <w:szCs w:val="21"/>
                      <w:highlight w:val="none"/>
                      <w:lang w:val="en-US" w:eastAsia="zh-CN"/>
                    </w:rPr>
                    <w:t>后校准示值</w:t>
                  </w:r>
                </w:p>
              </w:tc>
              <w:tc>
                <w:tcPr>
                  <w:tcW w:w="990" w:type="dxa"/>
                  <w:noWrap w:val="0"/>
                  <w:vAlign w:val="center"/>
                </w:tcPr>
                <w:p w14:paraId="510AC3C3">
                  <w:pPr>
                    <w:keepNext w:val="0"/>
                    <w:keepLines w:val="0"/>
                    <w:suppressLineNumbers w:val="0"/>
                    <w:spacing w:before="0" w:beforeAutospacing="0" w:after="0" w:afterAutospacing="0" w:line="240" w:lineRule="atLeast"/>
                    <w:ind w:left="0" w:leftChars="0" w:right="0" w:firstLine="0" w:firstLineChars="0"/>
                    <w:jc w:val="center"/>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差值</w:t>
                  </w:r>
                </w:p>
              </w:tc>
              <w:tc>
                <w:tcPr>
                  <w:tcW w:w="1155" w:type="dxa"/>
                  <w:noWrap w:val="0"/>
                  <w:vAlign w:val="center"/>
                </w:tcPr>
                <w:p w14:paraId="38AE592E">
                  <w:pPr>
                    <w:keepNext w:val="0"/>
                    <w:keepLines w:val="0"/>
                    <w:suppressLineNumbers w:val="0"/>
                    <w:spacing w:before="0" w:beforeAutospacing="0" w:after="0" w:afterAutospacing="0" w:line="240" w:lineRule="atLeast"/>
                    <w:ind w:left="0" w:leftChars="0" w:right="0" w:firstLine="0" w:firstLineChars="0"/>
                    <w:jc w:val="center"/>
                    <w:rPr>
                      <w:rFonts w:hint="eastAsia"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rPr>
                    <w:t>是否合格</w:t>
                  </w:r>
                </w:p>
              </w:tc>
              <w:tc>
                <w:tcPr>
                  <w:tcW w:w="1371" w:type="dxa"/>
                  <w:noWrap w:val="0"/>
                  <w:vAlign w:val="center"/>
                </w:tcPr>
                <w:p w14:paraId="2F155E87">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val="en-US" w:eastAsia="zh-CN"/>
                    </w:rPr>
                    <w:t>标准声压级</w:t>
                  </w:r>
                </w:p>
              </w:tc>
            </w:tr>
            <w:tr w14:paraId="4C810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0"/>
                  <w:vAlign w:val="center"/>
                </w:tcPr>
                <w:p w14:paraId="1724BFD2">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w:t>
                  </w:r>
                </w:p>
              </w:tc>
              <w:tc>
                <w:tcPr>
                  <w:tcW w:w="1173" w:type="dxa"/>
                  <w:vMerge w:val="restart"/>
                  <w:noWrap w:val="0"/>
                  <w:vAlign w:val="center"/>
                </w:tcPr>
                <w:p w14:paraId="5F20A2E2">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2025.</w:t>
                  </w:r>
                  <w:r>
                    <w:rPr>
                      <w:rFonts w:hint="eastAsia" w:cs="Times New Roman"/>
                      <w:color w:val="auto"/>
                      <w:kern w:val="2"/>
                      <w:sz w:val="21"/>
                      <w:szCs w:val="21"/>
                      <w:highlight w:val="none"/>
                      <w:lang w:val="en-US" w:eastAsia="zh-CN"/>
                    </w:rPr>
                    <w:t>12.10</w:t>
                  </w:r>
                </w:p>
              </w:tc>
              <w:tc>
                <w:tcPr>
                  <w:tcW w:w="715" w:type="dxa"/>
                  <w:noWrap w:val="0"/>
                  <w:vAlign w:val="center"/>
                </w:tcPr>
                <w:p w14:paraId="3ED83882">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昼间</w:t>
                  </w:r>
                </w:p>
              </w:tc>
              <w:tc>
                <w:tcPr>
                  <w:tcW w:w="1256" w:type="dxa"/>
                  <w:noWrap w:val="0"/>
                  <w:vAlign w:val="center"/>
                </w:tcPr>
                <w:p w14:paraId="5F39A75C">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93.</w:t>
                  </w:r>
                  <w:r>
                    <w:rPr>
                      <w:rFonts w:hint="eastAsia" w:cs="Times New Roman"/>
                      <w:color w:val="auto"/>
                      <w:kern w:val="2"/>
                      <w:sz w:val="21"/>
                      <w:szCs w:val="21"/>
                      <w:highlight w:val="none"/>
                      <w:lang w:val="en-US" w:eastAsia="zh-CN"/>
                    </w:rPr>
                    <w:t>9</w:t>
                  </w:r>
                </w:p>
              </w:tc>
              <w:tc>
                <w:tcPr>
                  <w:tcW w:w="1305" w:type="dxa"/>
                  <w:noWrap w:val="0"/>
                  <w:vAlign w:val="center"/>
                </w:tcPr>
                <w:p w14:paraId="69006E48">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w:t>
                  </w:r>
                  <w:r>
                    <w:rPr>
                      <w:rFonts w:hint="eastAsia" w:cs="Times New Roman"/>
                      <w:color w:val="auto"/>
                      <w:kern w:val="2"/>
                      <w:sz w:val="21"/>
                      <w:szCs w:val="21"/>
                      <w:highlight w:val="none"/>
                      <w:lang w:val="en-US" w:eastAsia="zh-CN"/>
                    </w:rPr>
                    <w:t>3.7</w:t>
                  </w:r>
                </w:p>
              </w:tc>
              <w:tc>
                <w:tcPr>
                  <w:tcW w:w="990" w:type="dxa"/>
                  <w:noWrap w:val="0"/>
                  <w:vAlign w:val="center"/>
                </w:tcPr>
                <w:p w14:paraId="65A95D96">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0.2</w:t>
                  </w:r>
                </w:p>
              </w:tc>
              <w:tc>
                <w:tcPr>
                  <w:tcW w:w="1155" w:type="dxa"/>
                  <w:noWrap w:val="0"/>
                  <w:vAlign w:val="center"/>
                </w:tcPr>
                <w:p w14:paraId="6FD14662">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合格</w:t>
                  </w:r>
                </w:p>
              </w:tc>
              <w:tc>
                <w:tcPr>
                  <w:tcW w:w="1371" w:type="dxa"/>
                  <w:noWrap w:val="0"/>
                  <w:vAlign w:val="center"/>
                </w:tcPr>
                <w:p w14:paraId="1BC5FA0E">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94</w:t>
                  </w:r>
                </w:p>
              </w:tc>
            </w:tr>
            <w:tr w14:paraId="5843F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noWrap w:val="0"/>
                  <w:vAlign w:val="center"/>
                </w:tcPr>
                <w:p w14:paraId="3FC2E6A3">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w:t>
                  </w:r>
                </w:p>
              </w:tc>
              <w:tc>
                <w:tcPr>
                  <w:tcW w:w="1173" w:type="dxa"/>
                  <w:vMerge w:val="continue"/>
                  <w:noWrap w:val="0"/>
                  <w:vAlign w:val="center"/>
                </w:tcPr>
                <w:p w14:paraId="7EDCB51A">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rPr>
                  </w:pPr>
                </w:p>
              </w:tc>
              <w:tc>
                <w:tcPr>
                  <w:tcW w:w="715" w:type="dxa"/>
                  <w:noWrap w:val="0"/>
                  <w:vAlign w:val="center"/>
                </w:tcPr>
                <w:p w14:paraId="7C6CBBAD">
                  <w:pPr>
                    <w:keepNext w:val="0"/>
                    <w:keepLines w:val="0"/>
                    <w:suppressLineNumbers w:val="0"/>
                    <w:spacing w:before="0" w:beforeAutospacing="0" w:after="0" w:afterAutospacing="0" w:line="240" w:lineRule="atLeast"/>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夜间</w:t>
                  </w:r>
                </w:p>
              </w:tc>
              <w:tc>
                <w:tcPr>
                  <w:tcW w:w="1256" w:type="dxa"/>
                  <w:noWrap w:val="0"/>
                  <w:vAlign w:val="center"/>
                </w:tcPr>
                <w:p w14:paraId="4CCC5854">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93.</w:t>
                  </w:r>
                  <w:r>
                    <w:rPr>
                      <w:rFonts w:hint="eastAsia" w:cs="Times New Roman"/>
                      <w:color w:val="auto"/>
                      <w:kern w:val="2"/>
                      <w:sz w:val="21"/>
                      <w:szCs w:val="21"/>
                      <w:highlight w:val="none"/>
                      <w:lang w:val="en-US" w:eastAsia="zh-CN"/>
                    </w:rPr>
                    <w:t>9</w:t>
                  </w:r>
                </w:p>
              </w:tc>
              <w:tc>
                <w:tcPr>
                  <w:tcW w:w="1305" w:type="dxa"/>
                  <w:noWrap w:val="0"/>
                  <w:vAlign w:val="center"/>
                </w:tcPr>
                <w:p w14:paraId="7040E4B4">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w:t>
                  </w:r>
                  <w:r>
                    <w:rPr>
                      <w:rFonts w:hint="eastAsia" w:cs="Times New Roman"/>
                      <w:color w:val="auto"/>
                      <w:kern w:val="2"/>
                      <w:sz w:val="21"/>
                      <w:szCs w:val="21"/>
                      <w:highlight w:val="none"/>
                      <w:lang w:val="en-US" w:eastAsia="zh-CN"/>
                    </w:rPr>
                    <w:t>3.7</w:t>
                  </w:r>
                </w:p>
              </w:tc>
              <w:tc>
                <w:tcPr>
                  <w:tcW w:w="990" w:type="dxa"/>
                  <w:noWrap w:val="0"/>
                  <w:vAlign w:val="center"/>
                </w:tcPr>
                <w:p w14:paraId="41929A86">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w:t>
                  </w:r>
                  <w:r>
                    <w:rPr>
                      <w:rFonts w:hint="eastAsia" w:cs="Times New Roman"/>
                      <w:color w:val="auto"/>
                      <w:kern w:val="2"/>
                      <w:sz w:val="21"/>
                      <w:szCs w:val="21"/>
                      <w:highlight w:val="none"/>
                      <w:lang w:val="en-US" w:eastAsia="zh-CN"/>
                    </w:rPr>
                    <w:t>2</w:t>
                  </w:r>
                </w:p>
              </w:tc>
              <w:tc>
                <w:tcPr>
                  <w:tcW w:w="1155" w:type="dxa"/>
                  <w:noWrap w:val="0"/>
                  <w:vAlign w:val="center"/>
                </w:tcPr>
                <w:p w14:paraId="690084FC">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合格</w:t>
                  </w:r>
                </w:p>
              </w:tc>
              <w:tc>
                <w:tcPr>
                  <w:tcW w:w="1371" w:type="dxa"/>
                  <w:noWrap w:val="0"/>
                  <w:vAlign w:val="center"/>
                </w:tcPr>
                <w:p w14:paraId="48FF3F8C">
                  <w:pPr>
                    <w:keepNext w:val="0"/>
                    <w:keepLines w:val="0"/>
                    <w:suppressLineNumbers w:val="0"/>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94</w:t>
                  </w:r>
                </w:p>
              </w:tc>
            </w:tr>
          </w:tbl>
          <w:p w14:paraId="2123B4EB">
            <w:pPr>
              <w:adjustRightInd w:val="0"/>
              <w:snapToGrid w:val="0"/>
              <w:spacing w:line="360" w:lineRule="auto"/>
              <w:ind w:firstLine="480" w:firstLineChars="200"/>
              <w:jc w:val="left"/>
              <w:rPr>
                <w:color w:val="auto"/>
                <w:kern w:val="0"/>
                <w:sz w:val="24"/>
                <w:highlight w:val="none"/>
              </w:rPr>
            </w:pPr>
            <w:r>
              <w:rPr>
                <w:color w:val="auto"/>
                <w:kern w:val="0"/>
                <w:sz w:val="24"/>
                <w:highlight w:val="none"/>
              </w:rPr>
              <w:t>4）监测布点</w:t>
            </w:r>
          </w:p>
          <w:p w14:paraId="71E04DF2">
            <w:pPr>
              <w:adjustRightInd w:val="0"/>
              <w:snapToGrid w:val="0"/>
              <w:spacing w:line="360" w:lineRule="auto"/>
              <w:ind w:firstLine="480" w:firstLineChars="200"/>
              <w:jc w:val="left"/>
              <w:rPr>
                <w:color w:val="auto"/>
                <w:kern w:val="0"/>
                <w:sz w:val="24"/>
                <w:highlight w:val="none"/>
              </w:rPr>
            </w:pPr>
            <w:r>
              <w:rPr>
                <w:color w:val="auto"/>
                <w:kern w:val="0"/>
                <w:sz w:val="24"/>
                <w:highlight w:val="none"/>
              </w:rPr>
              <w:t>按照《环境影响评价技术导则 声环境》（HJ2.4-2021）布点。</w:t>
            </w:r>
          </w:p>
          <w:p w14:paraId="63DF27F8">
            <w:pPr>
              <w:spacing w:line="360" w:lineRule="auto"/>
              <w:ind w:firstLine="480" w:firstLineChars="200"/>
              <w:rPr>
                <w:rFonts w:hint="default" w:ascii="Times New Roman" w:hAnsi="Times New Roman" w:cs="Times New Roman"/>
                <w:color w:val="auto"/>
                <w:sz w:val="24"/>
                <w:highlight w:val="none"/>
              </w:rPr>
            </w:pPr>
            <w:r>
              <w:rPr>
                <w:rFonts w:hint="eastAsia"/>
                <w:color w:val="auto"/>
                <w:sz w:val="24"/>
                <w:highlight w:val="none"/>
                <w:lang w:val="en-US" w:eastAsia="zh-CN"/>
              </w:rPr>
              <w:t>①新建张程110千伏变电站工程：</w:t>
            </w:r>
            <w:r>
              <w:rPr>
                <w:rFonts w:hint="default" w:ascii="Times New Roman" w:hAnsi="Times New Roman" w:cs="Times New Roman"/>
                <w:color w:val="auto"/>
                <w:sz w:val="24"/>
                <w:highlight w:val="none"/>
              </w:rPr>
              <w:t>本次监测选择拟建站界四周围墙外布设监测点，共布设4个监测点。</w:t>
            </w:r>
          </w:p>
          <w:p w14:paraId="7C7778D4">
            <w:pPr>
              <w:numPr>
                <w:ilvl w:val="0"/>
                <w:numId w:val="0"/>
              </w:numPr>
              <w:adjustRightInd w:val="0"/>
              <w:snapToGrid w:val="0"/>
              <w:spacing w:line="360" w:lineRule="auto"/>
              <w:ind w:firstLine="480" w:firstLineChars="200"/>
              <w:jc w:val="left"/>
              <w:rPr>
                <w:rFonts w:hint="default" w:ascii="Times New Roman" w:hAnsi="Times New Roman" w:eastAsia="宋体" w:cs="Times New Roman"/>
                <w:color w:val="auto"/>
                <w:spacing w:val="0"/>
                <w:w w:val="100"/>
                <w:position w:val="0"/>
                <w:sz w:val="24"/>
                <w:highlight w:val="none"/>
                <w:lang w:val="en-US" w:eastAsia="zh-CN"/>
              </w:rPr>
            </w:pPr>
            <w:r>
              <w:rPr>
                <w:rFonts w:hint="eastAsia" w:ascii="Times New Roman" w:hAnsi="Times New Roman" w:eastAsia="宋体" w:cs="Times New Roman"/>
                <w:color w:val="auto"/>
                <w:spacing w:val="0"/>
                <w:w w:val="100"/>
                <w:kern w:val="2"/>
                <w:position w:val="0"/>
                <w:sz w:val="24"/>
                <w:szCs w:val="24"/>
                <w:highlight w:val="none"/>
                <w:lang w:val="en-US" w:eastAsia="zh-CN" w:bidi="ar-SA"/>
              </w:rPr>
              <w:t>②</w:t>
            </w:r>
            <w:r>
              <w:rPr>
                <w:rFonts w:hint="eastAsia"/>
                <w:color w:val="auto"/>
                <w:sz w:val="24"/>
                <w:highlight w:val="none"/>
                <w:lang w:val="en-US" w:eastAsia="zh-CN"/>
              </w:rPr>
              <w:t>新建渝河110千伏变电站~张程变110千伏线路工程：线路位于******，</w:t>
            </w:r>
            <w:r>
              <w:rPr>
                <w:color w:val="auto"/>
                <w:kern w:val="0"/>
                <w:sz w:val="24"/>
                <w:highlight w:val="none"/>
              </w:rPr>
              <w:t>监测点布设尽量沿线路路径均匀布点，兼顾行政区及环境特征的代表性</w:t>
            </w:r>
            <w:r>
              <w:rPr>
                <w:rFonts w:hint="eastAsia"/>
                <w:color w:val="auto"/>
                <w:kern w:val="0"/>
                <w:sz w:val="24"/>
                <w:highlight w:val="none"/>
                <w:lang w:val="en-US" w:eastAsia="zh-CN"/>
              </w:rPr>
              <w:t>进行布设</w:t>
            </w:r>
            <w:r>
              <w:rPr>
                <w:color w:val="auto"/>
                <w:kern w:val="0"/>
                <w:sz w:val="24"/>
                <w:highlight w:val="none"/>
              </w:rPr>
              <w:t>，</w:t>
            </w:r>
            <w:r>
              <w:rPr>
                <w:rFonts w:hint="eastAsia"/>
                <w:color w:val="auto"/>
                <w:kern w:val="0"/>
                <w:sz w:val="24"/>
                <w:highlight w:val="none"/>
                <w:lang w:val="en-US" w:eastAsia="zh-CN"/>
              </w:rPr>
              <w:t>本次在线路路径上</w:t>
            </w:r>
            <w:r>
              <w:rPr>
                <w:color w:val="auto"/>
                <w:kern w:val="0"/>
                <w:sz w:val="24"/>
                <w:highlight w:val="none"/>
              </w:rPr>
              <w:t>布设</w:t>
            </w:r>
            <w:r>
              <w:rPr>
                <w:rFonts w:hint="eastAsia"/>
                <w:color w:val="auto"/>
                <w:kern w:val="0"/>
                <w:sz w:val="24"/>
                <w:highlight w:val="none"/>
                <w:lang w:val="en-US" w:eastAsia="zh-CN"/>
              </w:rPr>
              <w:t>3</w:t>
            </w:r>
            <w:r>
              <w:rPr>
                <w:color w:val="auto"/>
                <w:kern w:val="0"/>
                <w:sz w:val="24"/>
                <w:highlight w:val="none"/>
              </w:rPr>
              <w:t>监测点。</w:t>
            </w:r>
          </w:p>
          <w:p w14:paraId="3EC2B3B7">
            <w:pPr>
              <w:spacing w:line="360" w:lineRule="auto"/>
              <w:ind w:firstLine="480" w:firstLineChars="200"/>
              <w:rPr>
                <w:color w:val="auto"/>
                <w:kern w:val="0"/>
                <w:sz w:val="24"/>
                <w:highlight w:val="none"/>
              </w:rPr>
            </w:pPr>
            <w:r>
              <w:rPr>
                <w:rFonts w:hint="eastAsia"/>
                <w:color w:val="auto"/>
                <w:sz w:val="24"/>
                <w:highlight w:val="none"/>
                <w:lang w:val="en-US" w:eastAsia="zh-CN"/>
              </w:rPr>
              <w:t>③</w:t>
            </w:r>
            <w:r>
              <w:rPr>
                <w:color w:val="auto"/>
                <w:kern w:val="0"/>
                <w:sz w:val="24"/>
                <w:highlight w:val="none"/>
              </w:rPr>
              <w:t>环境敏感目标：</w:t>
            </w:r>
            <w:r>
              <w:rPr>
                <w:rFonts w:hint="eastAsia" w:ascii="Times New Roman" w:hAnsi="Times New Roman" w:cs="Times New Roman"/>
                <w:color w:val="auto"/>
                <w:sz w:val="24"/>
                <w:szCs w:val="24"/>
                <w:highlight w:val="none"/>
                <w:lang w:val="en-US" w:eastAsia="zh-CN"/>
              </w:rPr>
              <w:t>本次监测</w:t>
            </w:r>
            <w:r>
              <w:rPr>
                <w:rFonts w:hint="eastAsia" w:cs="Times New Roman"/>
                <w:color w:val="auto"/>
                <w:sz w:val="24"/>
                <w:szCs w:val="24"/>
                <w:highlight w:val="none"/>
                <w:lang w:val="en-US" w:eastAsia="zh-CN"/>
              </w:rPr>
              <w:t>对所有声</w:t>
            </w:r>
            <w:r>
              <w:rPr>
                <w:rFonts w:hint="eastAsia" w:ascii="Times New Roman" w:hAnsi="Times New Roman" w:cs="Times New Roman"/>
                <w:color w:val="auto"/>
                <w:sz w:val="24"/>
                <w:szCs w:val="24"/>
                <w:highlight w:val="none"/>
                <w:lang w:val="en-US" w:eastAsia="zh-CN"/>
              </w:rPr>
              <w:t>环境敏感目标进行监测，</w:t>
            </w:r>
            <w:r>
              <w:rPr>
                <w:rFonts w:hint="default" w:ascii="Times New Roman" w:hAnsi="Times New Roman" w:eastAsia="宋体" w:cs="Times New Roman"/>
                <w:b w:val="0"/>
                <w:bCs w:val="0"/>
                <w:color w:val="auto"/>
                <w:spacing w:val="0"/>
                <w:w w:val="100"/>
                <w:kern w:val="0"/>
                <w:position w:val="0"/>
                <w:sz w:val="24"/>
                <w:highlight w:val="none"/>
                <w:lang w:val="en-US" w:eastAsia="zh-CN"/>
              </w:rPr>
              <w:t>监测点选在</w:t>
            </w:r>
            <w:r>
              <w:rPr>
                <w:rFonts w:hint="eastAsia" w:cs="Times New Roman"/>
                <w:b w:val="0"/>
                <w:bCs w:val="0"/>
                <w:color w:val="auto"/>
                <w:spacing w:val="0"/>
                <w:w w:val="100"/>
                <w:kern w:val="0"/>
                <w:position w:val="0"/>
                <w:sz w:val="24"/>
                <w:highlight w:val="none"/>
                <w:lang w:val="en-US" w:eastAsia="zh-CN"/>
              </w:rPr>
              <w:t>声</w:t>
            </w:r>
            <w:r>
              <w:rPr>
                <w:rFonts w:hint="default" w:ascii="Times New Roman" w:hAnsi="Times New Roman" w:eastAsia="宋体" w:cs="Times New Roman"/>
                <w:b w:val="0"/>
                <w:bCs w:val="0"/>
                <w:color w:val="auto"/>
                <w:spacing w:val="0"/>
                <w:w w:val="100"/>
                <w:kern w:val="0"/>
                <w:position w:val="0"/>
                <w:sz w:val="24"/>
                <w:highlight w:val="none"/>
                <w:lang w:val="en-US" w:eastAsia="zh-CN"/>
              </w:rPr>
              <w:t>环境敏感目标建筑物户外</w:t>
            </w:r>
            <w:r>
              <w:rPr>
                <w:rFonts w:hint="eastAsia" w:cs="Times New Roman"/>
                <w:b w:val="0"/>
                <w:bCs w:val="0"/>
                <w:color w:val="auto"/>
                <w:spacing w:val="0"/>
                <w:w w:val="100"/>
                <w:kern w:val="0"/>
                <w:position w:val="0"/>
                <w:sz w:val="24"/>
                <w:highlight w:val="none"/>
                <w:lang w:val="en-US" w:eastAsia="zh-CN"/>
              </w:rPr>
              <w:t>，且靠近</w:t>
            </w:r>
            <w:r>
              <w:rPr>
                <w:rFonts w:hint="default" w:ascii="Times New Roman" w:hAnsi="Times New Roman" w:eastAsia="宋体" w:cs="Times New Roman"/>
                <w:b w:val="0"/>
                <w:bCs w:val="0"/>
                <w:color w:val="auto"/>
                <w:spacing w:val="0"/>
                <w:w w:val="100"/>
                <w:kern w:val="0"/>
                <w:position w:val="0"/>
                <w:sz w:val="24"/>
                <w:highlight w:val="none"/>
                <w:lang w:val="en-US" w:eastAsia="zh-CN"/>
              </w:rPr>
              <w:t>本项目</w:t>
            </w:r>
            <w:r>
              <w:rPr>
                <w:rFonts w:hint="eastAsia" w:cs="Times New Roman"/>
                <w:b w:val="0"/>
                <w:bCs w:val="0"/>
                <w:color w:val="auto"/>
                <w:spacing w:val="0"/>
                <w:w w:val="100"/>
                <w:kern w:val="0"/>
                <w:position w:val="0"/>
                <w:sz w:val="24"/>
                <w:highlight w:val="none"/>
                <w:lang w:val="en-US" w:eastAsia="zh-CN"/>
              </w:rPr>
              <w:t>一侧</w:t>
            </w:r>
            <w:r>
              <w:rPr>
                <w:rFonts w:hint="default" w:ascii="Times New Roman" w:hAnsi="Times New Roman" w:eastAsia="宋体" w:cs="Times New Roman"/>
                <w:b w:val="0"/>
                <w:bCs w:val="0"/>
                <w:color w:val="auto"/>
                <w:spacing w:val="0"/>
                <w:w w:val="100"/>
                <w:kern w:val="0"/>
                <w:position w:val="0"/>
                <w:sz w:val="24"/>
                <w:highlight w:val="none"/>
                <w:lang w:val="en-US" w:eastAsia="zh-CN"/>
              </w:rPr>
              <w:t>，距离墙壁1m处，距离地面1.5m的位置</w:t>
            </w:r>
            <w:r>
              <w:rPr>
                <w:rFonts w:hint="eastAsia" w:cs="Times New Roman"/>
                <w:b w:val="0"/>
                <w:bCs w:val="0"/>
                <w:color w:val="auto"/>
                <w:spacing w:val="0"/>
                <w:w w:val="100"/>
                <w:kern w:val="0"/>
                <w:position w:val="0"/>
                <w:sz w:val="24"/>
                <w:highlight w:val="none"/>
                <w:lang w:val="en-US" w:eastAsia="zh-CN"/>
              </w:rPr>
              <w:t>，</w:t>
            </w:r>
            <w:r>
              <w:rPr>
                <w:color w:val="auto"/>
                <w:kern w:val="0"/>
                <w:sz w:val="24"/>
                <w:highlight w:val="none"/>
              </w:rPr>
              <w:t>共布设</w:t>
            </w:r>
            <w:r>
              <w:rPr>
                <w:rFonts w:hint="eastAsia"/>
                <w:color w:val="auto"/>
                <w:kern w:val="0"/>
                <w:sz w:val="24"/>
                <w:highlight w:val="none"/>
                <w:lang w:val="en-US" w:eastAsia="zh-CN"/>
              </w:rPr>
              <w:t>5</w:t>
            </w:r>
            <w:r>
              <w:rPr>
                <w:color w:val="auto"/>
                <w:kern w:val="0"/>
                <w:sz w:val="24"/>
                <w:highlight w:val="none"/>
              </w:rPr>
              <w:t>个监测点。</w:t>
            </w:r>
          </w:p>
          <w:p w14:paraId="25EEA6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color w:val="auto"/>
                <w:highlight w:val="none"/>
              </w:rPr>
            </w:pPr>
            <w:r>
              <w:rPr>
                <w:rFonts w:hint="eastAsia"/>
                <w:color w:val="auto"/>
                <w:kern w:val="0"/>
                <w:sz w:val="24"/>
                <w:highlight w:val="none"/>
                <w:lang w:val="en-US" w:eastAsia="zh-CN"/>
              </w:rPr>
              <w:t>噪声</w:t>
            </w:r>
            <w:r>
              <w:rPr>
                <w:color w:val="auto"/>
                <w:kern w:val="0"/>
                <w:sz w:val="24"/>
                <w:highlight w:val="none"/>
              </w:rPr>
              <w:t>监测点位详见图3-</w:t>
            </w:r>
            <w:r>
              <w:rPr>
                <w:rFonts w:hint="eastAsia"/>
                <w:color w:val="auto"/>
                <w:kern w:val="0"/>
                <w:sz w:val="24"/>
                <w:highlight w:val="none"/>
                <w:lang w:val="en-US" w:eastAsia="zh-CN"/>
              </w:rPr>
              <w:t>3</w:t>
            </w:r>
            <w:r>
              <w:rPr>
                <w:color w:val="auto"/>
                <w:kern w:val="0"/>
                <w:sz w:val="24"/>
                <w:highlight w:val="none"/>
              </w:rPr>
              <w:t>。</w:t>
            </w:r>
          </w:p>
          <w:p w14:paraId="56AD1B6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auto"/>
                <w:spacing w:val="0"/>
                <w:w w:val="100"/>
                <w:kern w:val="0"/>
                <w:position w:val="0"/>
                <w:sz w:val="24"/>
                <w:szCs w:val="24"/>
                <w:highlight w:val="none"/>
                <w:lang w:val="en-US" w:eastAsia="zh-CN"/>
              </w:rPr>
            </w:pPr>
            <w:r>
              <w:rPr>
                <w:rFonts w:hint="eastAsia" w:cs="Times New Roman"/>
                <w:color w:val="auto"/>
                <w:spacing w:val="0"/>
                <w:w w:val="100"/>
                <w:kern w:val="0"/>
                <w:position w:val="0"/>
                <w:sz w:val="24"/>
                <w:szCs w:val="24"/>
                <w:highlight w:val="none"/>
                <w:lang w:val="en-US" w:eastAsia="zh-CN"/>
              </w:rPr>
              <w:t>******</w:t>
            </w:r>
          </w:p>
          <w:p w14:paraId="0A87F576">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jc w:val="center"/>
              <w:textAlignment w:val="auto"/>
              <w:rPr>
                <w:color w:val="auto"/>
                <w:kern w:val="0"/>
                <w:sz w:val="24"/>
                <w:highlight w:val="none"/>
              </w:rPr>
            </w:pPr>
            <w:r>
              <w:rPr>
                <w:rFonts w:hint="default" w:ascii="Times New Roman" w:hAnsi="Times New Roman" w:eastAsia="黑体" w:cs="Times New Roman"/>
                <w:b/>
                <w:bCs/>
                <w:color w:val="auto"/>
                <w:sz w:val="24"/>
                <w:szCs w:val="24"/>
                <w:highlight w:val="none"/>
                <w:lang w:val="en-US" w:eastAsia="zh-CN"/>
              </w:rPr>
              <w:t>图3-</w:t>
            </w:r>
            <w:r>
              <w:rPr>
                <w:rFonts w:hint="eastAsia" w:eastAsia="黑体" w:cs="Times New Roman"/>
                <w:b/>
                <w:bCs/>
                <w:color w:val="auto"/>
                <w:sz w:val="24"/>
                <w:szCs w:val="24"/>
                <w:highlight w:val="none"/>
                <w:lang w:val="en-US" w:eastAsia="zh-CN"/>
              </w:rPr>
              <w:t>3</w:t>
            </w:r>
            <w:r>
              <w:rPr>
                <w:rFonts w:hint="default" w:ascii="Times New Roman" w:hAnsi="Times New Roman" w:eastAsia="黑体" w:cs="Times New Roman"/>
                <w:b/>
                <w:bCs/>
                <w:color w:val="auto"/>
                <w:sz w:val="24"/>
                <w:szCs w:val="24"/>
                <w:highlight w:val="none"/>
                <w:lang w:val="en-US" w:eastAsia="zh-CN"/>
              </w:rPr>
              <w:t xml:space="preserve">  本项目噪声监测点位示意图</w:t>
            </w:r>
          </w:p>
          <w:p w14:paraId="03753ADA">
            <w:pPr>
              <w:adjustRightInd w:val="0"/>
              <w:snapToGrid w:val="0"/>
              <w:spacing w:line="360" w:lineRule="auto"/>
              <w:ind w:firstLine="480" w:firstLineChars="200"/>
              <w:jc w:val="left"/>
              <w:rPr>
                <w:color w:val="auto"/>
                <w:kern w:val="0"/>
                <w:sz w:val="24"/>
                <w:highlight w:val="none"/>
              </w:rPr>
            </w:pPr>
            <w:r>
              <w:rPr>
                <w:color w:val="auto"/>
                <w:kern w:val="0"/>
                <w:sz w:val="24"/>
                <w:highlight w:val="none"/>
              </w:rPr>
              <w:t>5）监测频次</w:t>
            </w:r>
          </w:p>
          <w:p w14:paraId="69FB27E3">
            <w:pPr>
              <w:adjustRightInd w:val="0"/>
              <w:snapToGrid w:val="0"/>
              <w:spacing w:line="360" w:lineRule="auto"/>
              <w:ind w:firstLine="480" w:firstLineChars="200"/>
              <w:jc w:val="left"/>
              <w:rPr>
                <w:color w:val="auto"/>
                <w:kern w:val="0"/>
                <w:sz w:val="24"/>
                <w:highlight w:val="none"/>
              </w:rPr>
            </w:pPr>
            <w:r>
              <w:rPr>
                <w:color w:val="auto"/>
                <w:kern w:val="0"/>
                <w:sz w:val="24"/>
                <w:highlight w:val="none"/>
              </w:rPr>
              <w:t>昼夜各1次，监测1天。</w:t>
            </w:r>
          </w:p>
          <w:p w14:paraId="3BC63A02">
            <w:pPr>
              <w:adjustRightInd w:val="0"/>
              <w:snapToGrid w:val="0"/>
              <w:spacing w:line="360" w:lineRule="auto"/>
              <w:ind w:firstLine="480" w:firstLineChars="200"/>
              <w:jc w:val="left"/>
              <w:rPr>
                <w:color w:val="auto"/>
                <w:kern w:val="0"/>
                <w:sz w:val="24"/>
                <w:highlight w:val="none"/>
              </w:rPr>
            </w:pPr>
            <w:r>
              <w:rPr>
                <w:color w:val="auto"/>
                <w:kern w:val="0"/>
                <w:sz w:val="24"/>
                <w:highlight w:val="none"/>
              </w:rPr>
              <w:t>6）监测条件</w:t>
            </w:r>
          </w:p>
          <w:p w14:paraId="1B930C40">
            <w:pPr>
              <w:adjustRightInd w:val="0"/>
              <w:snapToGrid w:val="0"/>
              <w:spacing w:line="360" w:lineRule="auto"/>
              <w:ind w:firstLine="480" w:firstLineChars="200"/>
              <w:jc w:val="left"/>
              <w:rPr>
                <w:rFonts w:hint="eastAsia" w:eastAsia="宋体"/>
                <w:color w:val="auto"/>
                <w:kern w:val="0"/>
                <w:sz w:val="24"/>
                <w:highlight w:val="none"/>
                <w:lang w:eastAsia="zh-CN"/>
              </w:rPr>
            </w:pPr>
            <w:r>
              <w:rPr>
                <w:rFonts w:hint="eastAsia"/>
                <w:color w:val="auto"/>
                <w:kern w:val="0"/>
                <w:sz w:val="24"/>
                <w:highlight w:val="none"/>
                <w:lang w:val="en-US" w:eastAsia="zh-CN"/>
              </w:rPr>
              <w:t>昼间：天气晴，温度5℃，湿度42.1</w:t>
            </w:r>
            <w:r>
              <w:rPr>
                <w:rFonts w:hint="default"/>
                <w:color w:val="auto"/>
                <w:kern w:val="0"/>
                <w:sz w:val="24"/>
                <w:highlight w:val="none"/>
                <w:lang w:val="en-US" w:eastAsia="zh-CN"/>
              </w:rPr>
              <w:t>%</w:t>
            </w:r>
            <w:r>
              <w:rPr>
                <w:rFonts w:hint="eastAsia"/>
                <w:color w:val="auto"/>
                <w:kern w:val="0"/>
                <w:sz w:val="24"/>
                <w:highlight w:val="none"/>
                <w:lang w:val="en-US" w:eastAsia="zh-CN"/>
              </w:rPr>
              <w:t>，风速1.8</w:t>
            </w:r>
            <w:r>
              <w:rPr>
                <w:rFonts w:hint="default"/>
                <w:color w:val="auto"/>
                <w:kern w:val="0"/>
                <w:sz w:val="24"/>
                <w:highlight w:val="none"/>
                <w:lang w:val="en-US" w:eastAsia="zh-CN"/>
              </w:rPr>
              <w:t>m/s</w:t>
            </w:r>
            <w:r>
              <w:rPr>
                <w:rFonts w:hint="eastAsia"/>
                <w:color w:val="auto"/>
                <w:kern w:val="0"/>
                <w:sz w:val="24"/>
                <w:highlight w:val="none"/>
                <w:lang w:val="en-US" w:eastAsia="zh-CN"/>
              </w:rPr>
              <w:t>；夜间：天气晴，温度-3℃，湿度56.7</w:t>
            </w:r>
            <w:r>
              <w:rPr>
                <w:rFonts w:hint="default"/>
                <w:color w:val="auto"/>
                <w:kern w:val="0"/>
                <w:sz w:val="24"/>
                <w:highlight w:val="none"/>
                <w:lang w:val="en-US" w:eastAsia="zh-CN"/>
              </w:rPr>
              <w:t>%</w:t>
            </w:r>
            <w:r>
              <w:rPr>
                <w:rFonts w:hint="eastAsia"/>
                <w:color w:val="auto"/>
                <w:kern w:val="0"/>
                <w:sz w:val="24"/>
                <w:highlight w:val="none"/>
                <w:lang w:val="en-US" w:eastAsia="zh-CN"/>
              </w:rPr>
              <w:t>，风速1.9</w:t>
            </w:r>
            <w:r>
              <w:rPr>
                <w:rFonts w:hint="default"/>
                <w:color w:val="auto"/>
                <w:kern w:val="0"/>
                <w:sz w:val="24"/>
                <w:highlight w:val="none"/>
                <w:lang w:val="en-US" w:eastAsia="zh-CN"/>
              </w:rPr>
              <w:t>m/s</w:t>
            </w:r>
            <w:r>
              <w:rPr>
                <w:rFonts w:hint="eastAsia"/>
                <w:color w:val="auto"/>
                <w:kern w:val="0"/>
                <w:sz w:val="24"/>
                <w:highlight w:val="none"/>
                <w:lang w:eastAsia="zh-CN"/>
              </w:rPr>
              <w:t>。</w:t>
            </w:r>
          </w:p>
          <w:p w14:paraId="4C51F438">
            <w:pPr>
              <w:adjustRightInd w:val="0"/>
              <w:snapToGrid w:val="0"/>
              <w:spacing w:line="360" w:lineRule="auto"/>
              <w:ind w:firstLine="480" w:firstLineChars="200"/>
              <w:jc w:val="left"/>
              <w:rPr>
                <w:color w:val="auto"/>
                <w:kern w:val="0"/>
                <w:sz w:val="24"/>
                <w:highlight w:val="none"/>
              </w:rPr>
            </w:pPr>
            <w:r>
              <w:rPr>
                <w:color w:val="auto"/>
                <w:kern w:val="0"/>
                <w:sz w:val="24"/>
                <w:highlight w:val="none"/>
              </w:rPr>
              <w:t>7）质量控制</w:t>
            </w:r>
          </w:p>
          <w:p w14:paraId="59E0365C">
            <w:pPr>
              <w:adjustRightInd w:val="0"/>
              <w:snapToGrid w:val="0"/>
              <w:spacing w:line="360" w:lineRule="auto"/>
              <w:ind w:firstLine="480" w:firstLineChars="200"/>
              <w:jc w:val="left"/>
              <w:rPr>
                <w:rFonts w:hint="default" w:ascii="Times New Roman" w:hAnsi="Times New Roman" w:eastAsia="宋体" w:cs="Times New Roman"/>
                <w:color w:val="auto"/>
                <w:spacing w:val="0"/>
                <w:kern w:val="2"/>
                <w:sz w:val="24"/>
                <w:szCs w:val="24"/>
                <w:highlight w:val="none"/>
                <w:lang w:val="en-US" w:eastAsia="zh-CN" w:bidi="ar-SA"/>
              </w:rPr>
            </w:pPr>
            <w:r>
              <w:rPr>
                <w:color w:val="auto"/>
                <w:kern w:val="0"/>
                <w:sz w:val="24"/>
                <w:highlight w:val="none"/>
              </w:rPr>
              <w:t>噪声测量仪器性能必须符合《声级计电声性能及测量方法》（GB/T3785-2010）规定，并在测量前后进行校准。</w:t>
            </w:r>
          </w:p>
          <w:p w14:paraId="498253ED">
            <w:pPr>
              <w:adjustRightInd w:val="0"/>
              <w:snapToGrid w:val="0"/>
              <w:spacing w:line="360" w:lineRule="auto"/>
              <w:ind w:firstLine="480" w:firstLineChars="200"/>
              <w:rPr>
                <w:color w:val="auto"/>
                <w:kern w:val="0"/>
                <w:sz w:val="24"/>
                <w:highlight w:val="none"/>
              </w:rPr>
            </w:pPr>
            <w:r>
              <w:rPr>
                <w:color w:val="auto"/>
                <w:kern w:val="0"/>
                <w:sz w:val="24"/>
                <w:highlight w:val="none"/>
              </w:rPr>
              <w:t>8）评价标准</w:t>
            </w:r>
          </w:p>
          <w:p w14:paraId="19F14F11">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拟建变电站周围参照执行</w:t>
            </w:r>
            <w:r>
              <w:rPr>
                <w:color w:val="auto"/>
                <w:sz w:val="24"/>
                <w:highlight w:val="none"/>
              </w:rPr>
              <w:t>《声环境质量标准》（GB3096-2008）</w:t>
            </w:r>
            <w:r>
              <w:rPr>
                <w:rFonts w:hint="eastAsia"/>
                <w:color w:val="auto"/>
                <w:sz w:val="24"/>
                <w:highlight w:val="none"/>
              </w:rPr>
              <w:t>2</w:t>
            </w:r>
            <w:r>
              <w:rPr>
                <w:color w:val="auto"/>
                <w:sz w:val="24"/>
                <w:highlight w:val="none"/>
              </w:rPr>
              <w:t>类标准</w:t>
            </w:r>
            <w:r>
              <w:rPr>
                <w:rFonts w:hint="eastAsia"/>
                <w:color w:val="auto"/>
                <w:sz w:val="24"/>
                <w:highlight w:val="none"/>
                <w:lang w:eastAsia="zh-CN"/>
              </w:rPr>
              <w:t>，</w:t>
            </w:r>
            <w:r>
              <w:rPr>
                <w:rFonts w:hint="default" w:ascii="Times New Roman" w:hAnsi="Times New Roman" w:eastAsia="宋体" w:cs="Times New Roman"/>
                <w:color w:val="auto"/>
                <w:spacing w:val="0"/>
                <w:w w:val="100"/>
                <w:position w:val="0"/>
                <w:sz w:val="24"/>
                <w:szCs w:val="24"/>
                <w:highlight w:val="none"/>
              </w:rPr>
              <w:t>输电线路</w:t>
            </w:r>
            <w:r>
              <w:rPr>
                <w:rFonts w:hint="eastAsia" w:ascii="Times New Roman" w:hAnsi="Times New Roman" w:eastAsia="宋体" w:cs="Times New Roman"/>
                <w:color w:val="auto"/>
                <w:spacing w:val="0"/>
                <w:w w:val="100"/>
                <w:position w:val="0"/>
                <w:sz w:val="24"/>
                <w:szCs w:val="24"/>
                <w:highlight w:val="none"/>
                <w:lang w:val="en-US" w:eastAsia="zh-CN"/>
              </w:rPr>
              <w:t>在拟建变电站附近执行</w:t>
            </w:r>
            <w:r>
              <w:rPr>
                <w:rFonts w:hint="default" w:ascii="Times New Roman" w:hAnsi="Times New Roman" w:eastAsia="宋体" w:cs="Times New Roman"/>
                <w:color w:val="auto"/>
                <w:spacing w:val="0"/>
                <w:w w:val="100"/>
                <w:position w:val="0"/>
                <w:sz w:val="24"/>
                <w:szCs w:val="24"/>
                <w:highlight w:val="none"/>
              </w:rPr>
              <w:t>《声环境质量标准》（GB3096-2008）</w:t>
            </w:r>
            <w:r>
              <w:rPr>
                <w:rFonts w:hint="eastAsia" w:ascii="Times New Roman" w:hAnsi="Times New Roman" w:eastAsia="宋体" w:cs="Times New Roman"/>
                <w:color w:val="auto"/>
                <w:spacing w:val="0"/>
                <w:w w:val="100"/>
                <w:position w:val="0"/>
                <w:sz w:val="24"/>
                <w:szCs w:val="24"/>
                <w:highlight w:val="none"/>
                <w:lang w:val="en-US" w:eastAsia="zh-CN"/>
              </w:rPr>
              <w:t>2</w:t>
            </w:r>
            <w:r>
              <w:rPr>
                <w:rFonts w:hint="default" w:ascii="Times New Roman" w:hAnsi="Times New Roman" w:eastAsia="宋体" w:cs="Times New Roman"/>
                <w:color w:val="auto"/>
                <w:spacing w:val="0"/>
                <w:w w:val="100"/>
                <w:position w:val="0"/>
                <w:sz w:val="24"/>
                <w:szCs w:val="24"/>
                <w:highlight w:val="none"/>
              </w:rPr>
              <w:t>类标准</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经过</w:t>
            </w:r>
            <w:r>
              <w:rPr>
                <w:rFonts w:hint="default" w:ascii="Times New Roman" w:hAnsi="Times New Roman" w:eastAsia="宋体" w:cs="Times New Roman"/>
                <w:color w:val="auto"/>
                <w:spacing w:val="0"/>
                <w:w w:val="100"/>
                <w:position w:val="0"/>
                <w:sz w:val="24"/>
                <w:szCs w:val="24"/>
                <w:highlight w:val="none"/>
                <w:lang w:val="en-US" w:eastAsia="zh-CN"/>
              </w:rPr>
              <w:t>农村区域</w:t>
            </w:r>
            <w:r>
              <w:rPr>
                <w:rFonts w:hint="default" w:ascii="Times New Roman" w:hAnsi="Times New Roman" w:eastAsia="宋体" w:cs="Times New Roman"/>
                <w:color w:val="auto"/>
                <w:spacing w:val="0"/>
                <w:w w:val="100"/>
                <w:position w:val="0"/>
                <w:sz w:val="24"/>
                <w:szCs w:val="24"/>
                <w:highlight w:val="none"/>
              </w:rPr>
              <w:t>执行《声环境质量标准》（GB3096-2008）</w:t>
            </w:r>
            <w:r>
              <w:rPr>
                <w:rFonts w:hint="default" w:ascii="Times New Roman" w:hAnsi="Times New Roman" w:eastAsia="宋体" w:cs="Times New Roman"/>
                <w:color w:val="auto"/>
                <w:spacing w:val="0"/>
                <w:w w:val="100"/>
                <w:position w:val="0"/>
                <w:sz w:val="24"/>
                <w:szCs w:val="24"/>
                <w:highlight w:val="none"/>
                <w:lang w:val="en-US" w:eastAsia="zh-CN"/>
              </w:rPr>
              <w:t>1</w:t>
            </w:r>
            <w:r>
              <w:rPr>
                <w:rFonts w:hint="default" w:ascii="Times New Roman" w:hAnsi="Times New Roman" w:eastAsia="宋体" w:cs="Times New Roman"/>
                <w:color w:val="auto"/>
                <w:spacing w:val="0"/>
                <w:w w:val="100"/>
                <w:position w:val="0"/>
                <w:sz w:val="24"/>
                <w:szCs w:val="24"/>
                <w:highlight w:val="none"/>
              </w:rPr>
              <w:t>类标准</w:t>
            </w:r>
            <w:r>
              <w:rPr>
                <w:rFonts w:hint="eastAsia"/>
                <w:color w:val="auto"/>
                <w:sz w:val="24"/>
                <w:highlight w:val="none"/>
                <w:lang w:val="en-US" w:eastAsia="zh-CN"/>
              </w:rPr>
              <w:t>。</w:t>
            </w:r>
          </w:p>
          <w:p w14:paraId="033C6A26">
            <w:pPr>
              <w:adjustRightInd w:val="0"/>
              <w:snapToGrid w:val="0"/>
              <w:spacing w:line="360" w:lineRule="auto"/>
              <w:ind w:firstLine="480" w:firstLineChars="200"/>
              <w:jc w:val="left"/>
              <w:rPr>
                <w:color w:val="auto"/>
                <w:kern w:val="0"/>
                <w:sz w:val="24"/>
                <w:highlight w:val="none"/>
              </w:rPr>
            </w:pPr>
            <w:r>
              <w:rPr>
                <w:color w:val="auto"/>
                <w:kern w:val="0"/>
                <w:sz w:val="24"/>
                <w:highlight w:val="none"/>
              </w:rPr>
              <w:t>9）监测结果</w:t>
            </w:r>
          </w:p>
          <w:p w14:paraId="2187D2D4">
            <w:pPr>
              <w:adjustRightInd w:val="0"/>
              <w:snapToGrid w:val="0"/>
              <w:spacing w:line="360" w:lineRule="auto"/>
              <w:ind w:firstLine="480" w:firstLineChars="200"/>
              <w:jc w:val="left"/>
              <w:rPr>
                <w:color w:val="auto"/>
                <w:kern w:val="0"/>
                <w:sz w:val="24"/>
                <w:highlight w:val="none"/>
              </w:rPr>
            </w:pPr>
            <w:r>
              <w:rPr>
                <w:color w:val="auto"/>
                <w:kern w:val="0"/>
                <w:sz w:val="24"/>
                <w:highlight w:val="none"/>
              </w:rPr>
              <w:t>声环境现状监测结果见表3-</w:t>
            </w:r>
            <w:r>
              <w:rPr>
                <w:rFonts w:hint="eastAsia"/>
                <w:color w:val="auto"/>
                <w:kern w:val="0"/>
                <w:sz w:val="24"/>
                <w:highlight w:val="none"/>
                <w:lang w:val="en-US" w:eastAsia="zh-CN"/>
              </w:rPr>
              <w:t>3</w:t>
            </w:r>
            <w:r>
              <w:rPr>
                <w:color w:val="auto"/>
                <w:kern w:val="0"/>
                <w:sz w:val="24"/>
                <w:highlight w:val="none"/>
              </w:rPr>
              <w:t>。</w:t>
            </w:r>
          </w:p>
          <w:p w14:paraId="1F1CAF13">
            <w:pPr>
              <w:adjustRightInd w:val="0"/>
              <w:snapToGrid w:val="0"/>
              <w:spacing w:line="360" w:lineRule="auto"/>
              <w:ind w:firstLine="480" w:firstLineChars="200"/>
              <w:jc w:val="left"/>
              <w:rPr>
                <w:color w:val="auto"/>
                <w:kern w:val="0"/>
                <w:sz w:val="24"/>
                <w:highlight w:val="none"/>
              </w:rPr>
            </w:pPr>
            <w:r>
              <w:rPr>
                <w:color w:val="auto"/>
                <w:kern w:val="0"/>
                <w:sz w:val="24"/>
                <w:highlight w:val="none"/>
              </w:rPr>
              <w:t>9）监测结果</w:t>
            </w:r>
          </w:p>
          <w:p w14:paraId="2A753316">
            <w:pPr>
              <w:adjustRightInd w:val="0"/>
              <w:snapToGrid w:val="0"/>
              <w:spacing w:line="360" w:lineRule="auto"/>
              <w:ind w:firstLine="480" w:firstLineChars="200"/>
              <w:jc w:val="left"/>
              <w:rPr>
                <w:color w:val="auto"/>
                <w:kern w:val="0"/>
                <w:sz w:val="24"/>
                <w:highlight w:val="none"/>
              </w:rPr>
            </w:pPr>
            <w:r>
              <w:rPr>
                <w:color w:val="auto"/>
                <w:kern w:val="0"/>
                <w:sz w:val="24"/>
                <w:highlight w:val="none"/>
              </w:rPr>
              <w:t>声环境现状监测结果见表3-</w:t>
            </w:r>
            <w:r>
              <w:rPr>
                <w:rFonts w:hint="eastAsia"/>
                <w:color w:val="auto"/>
                <w:kern w:val="0"/>
                <w:sz w:val="24"/>
                <w:highlight w:val="none"/>
                <w:lang w:val="en-US" w:eastAsia="zh-CN"/>
              </w:rPr>
              <w:t>3</w:t>
            </w:r>
            <w:r>
              <w:rPr>
                <w:color w:val="auto"/>
                <w:kern w:val="0"/>
                <w:sz w:val="24"/>
                <w:highlight w:val="none"/>
              </w:rPr>
              <w:t>。</w:t>
            </w:r>
          </w:p>
          <w:tbl>
            <w:tblPr>
              <w:tblStyle w:val="28"/>
              <w:tblpPr w:leftFromText="180" w:rightFromText="180" w:vertAnchor="text" w:horzAnchor="page" w:tblpXSpec="center" w:tblpY="468"/>
              <w:tblOverlap w:val="never"/>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916"/>
              <w:gridCol w:w="1140"/>
              <w:gridCol w:w="2046"/>
              <w:gridCol w:w="1078"/>
              <w:gridCol w:w="660"/>
              <w:gridCol w:w="645"/>
              <w:gridCol w:w="645"/>
              <w:gridCol w:w="674"/>
            </w:tblGrid>
            <w:tr w14:paraId="0EF0E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Merge w:val="restart"/>
                  <w:vAlign w:val="center"/>
                </w:tcPr>
                <w:p w14:paraId="59F4197F">
                  <w:pPr>
                    <w:adjustRightInd w:val="0"/>
                    <w:snapToGrid w:val="0"/>
                    <w:jc w:val="center"/>
                    <w:rPr>
                      <w:b/>
                      <w:bCs/>
                      <w:color w:val="auto"/>
                      <w:kern w:val="0"/>
                      <w:sz w:val="21"/>
                      <w:szCs w:val="21"/>
                      <w:highlight w:val="none"/>
                    </w:rPr>
                  </w:pPr>
                  <w:r>
                    <w:rPr>
                      <w:rFonts w:hint="eastAsia"/>
                      <w:b/>
                      <w:bCs/>
                      <w:color w:val="auto"/>
                      <w:kern w:val="0"/>
                      <w:sz w:val="21"/>
                      <w:szCs w:val="21"/>
                      <w:highlight w:val="none"/>
                    </w:rPr>
                    <w:t>序号</w:t>
                  </w:r>
                </w:p>
              </w:tc>
              <w:tc>
                <w:tcPr>
                  <w:tcW w:w="916" w:type="dxa"/>
                  <w:vMerge w:val="restart"/>
                  <w:vAlign w:val="center"/>
                </w:tcPr>
                <w:p w14:paraId="13A55552">
                  <w:pPr>
                    <w:adjustRightInd w:val="0"/>
                    <w:snapToGrid w:val="0"/>
                    <w:jc w:val="center"/>
                    <w:rPr>
                      <w:rFonts w:hint="default"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行政区域</w:t>
                  </w:r>
                </w:p>
              </w:tc>
              <w:tc>
                <w:tcPr>
                  <w:tcW w:w="3186" w:type="dxa"/>
                  <w:gridSpan w:val="2"/>
                  <w:vMerge w:val="restart"/>
                  <w:vAlign w:val="center"/>
                </w:tcPr>
                <w:p w14:paraId="7D459644">
                  <w:pPr>
                    <w:adjustRightInd w:val="0"/>
                    <w:snapToGrid w:val="0"/>
                    <w:jc w:val="center"/>
                    <w:rPr>
                      <w:b/>
                      <w:bCs/>
                      <w:color w:val="auto"/>
                      <w:kern w:val="0"/>
                      <w:sz w:val="21"/>
                      <w:szCs w:val="21"/>
                      <w:highlight w:val="none"/>
                    </w:rPr>
                  </w:pPr>
                  <w:r>
                    <w:rPr>
                      <w:rFonts w:hint="eastAsia"/>
                      <w:b/>
                      <w:bCs/>
                      <w:color w:val="auto"/>
                      <w:kern w:val="0"/>
                      <w:sz w:val="21"/>
                      <w:szCs w:val="21"/>
                      <w:highlight w:val="none"/>
                    </w:rPr>
                    <w:t>点位描述</w:t>
                  </w:r>
                </w:p>
              </w:tc>
              <w:tc>
                <w:tcPr>
                  <w:tcW w:w="1078" w:type="dxa"/>
                  <w:vMerge w:val="restart"/>
                  <w:vAlign w:val="center"/>
                </w:tcPr>
                <w:p w14:paraId="6B35E428">
                  <w:pPr>
                    <w:adjustRightInd w:val="0"/>
                    <w:snapToGrid w:val="0"/>
                    <w:jc w:val="center"/>
                    <w:rPr>
                      <w:b/>
                      <w:bCs/>
                      <w:color w:val="auto"/>
                      <w:kern w:val="0"/>
                      <w:sz w:val="21"/>
                      <w:szCs w:val="21"/>
                      <w:highlight w:val="none"/>
                    </w:rPr>
                  </w:pPr>
                  <w:r>
                    <w:rPr>
                      <w:rFonts w:hint="eastAsia"/>
                      <w:b/>
                      <w:bCs/>
                      <w:color w:val="auto"/>
                      <w:kern w:val="0"/>
                      <w:sz w:val="21"/>
                      <w:szCs w:val="21"/>
                      <w:highlight w:val="none"/>
                    </w:rPr>
                    <w:t>测量高度（m）</w:t>
                  </w:r>
                </w:p>
              </w:tc>
              <w:tc>
                <w:tcPr>
                  <w:tcW w:w="1305" w:type="dxa"/>
                  <w:gridSpan w:val="2"/>
                  <w:vAlign w:val="center"/>
                </w:tcPr>
                <w:p w14:paraId="438A9B4A">
                  <w:pPr>
                    <w:adjustRightInd w:val="0"/>
                    <w:snapToGrid w:val="0"/>
                    <w:jc w:val="center"/>
                    <w:rPr>
                      <w:rFonts w:hint="eastAsia" w:eastAsia="宋体"/>
                      <w:b/>
                      <w:bCs/>
                      <w:color w:val="auto"/>
                      <w:kern w:val="0"/>
                      <w:sz w:val="21"/>
                      <w:szCs w:val="21"/>
                      <w:highlight w:val="none"/>
                      <w:lang w:val="en-US" w:eastAsia="zh-CN"/>
                    </w:rPr>
                  </w:pPr>
                  <w:r>
                    <w:rPr>
                      <w:rFonts w:hint="eastAsia"/>
                      <w:b/>
                      <w:bCs/>
                      <w:color w:val="auto"/>
                      <w:kern w:val="0"/>
                      <w:sz w:val="21"/>
                      <w:szCs w:val="21"/>
                      <w:highlight w:val="none"/>
                      <w:lang w:val="en-US" w:eastAsia="zh-CN"/>
                    </w:rPr>
                    <w:t>监测值</w:t>
                  </w:r>
                </w:p>
              </w:tc>
              <w:tc>
                <w:tcPr>
                  <w:tcW w:w="1319" w:type="dxa"/>
                  <w:gridSpan w:val="2"/>
                  <w:vAlign w:val="center"/>
                </w:tcPr>
                <w:p w14:paraId="08EDEE64">
                  <w:pPr>
                    <w:adjustRightInd w:val="0"/>
                    <w:snapToGrid w:val="0"/>
                    <w:jc w:val="center"/>
                    <w:rPr>
                      <w:rFonts w:hint="default"/>
                      <w:b/>
                      <w:bCs/>
                      <w:color w:val="auto"/>
                      <w:kern w:val="0"/>
                      <w:sz w:val="21"/>
                      <w:szCs w:val="21"/>
                      <w:highlight w:val="none"/>
                      <w:lang w:val="en-US" w:eastAsia="zh-CN"/>
                    </w:rPr>
                  </w:pPr>
                  <w:r>
                    <w:rPr>
                      <w:rFonts w:hint="eastAsia"/>
                      <w:b/>
                      <w:bCs/>
                      <w:color w:val="auto"/>
                      <w:kern w:val="0"/>
                      <w:sz w:val="21"/>
                      <w:szCs w:val="21"/>
                      <w:highlight w:val="none"/>
                      <w:lang w:val="en-US" w:eastAsia="zh-CN"/>
                    </w:rPr>
                    <w:t>标准值</w:t>
                  </w:r>
                </w:p>
              </w:tc>
            </w:tr>
            <w:tr w14:paraId="7965E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Merge w:val="continue"/>
                  <w:vAlign w:val="center"/>
                </w:tcPr>
                <w:p w14:paraId="39CD53E0">
                  <w:pPr>
                    <w:adjustRightInd w:val="0"/>
                    <w:snapToGrid w:val="0"/>
                    <w:jc w:val="center"/>
                    <w:rPr>
                      <w:color w:val="auto"/>
                      <w:highlight w:val="none"/>
                    </w:rPr>
                  </w:pPr>
                </w:p>
              </w:tc>
              <w:tc>
                <w:tcPr>
                  <w:tcW w:w="916" w:type="dxa"/>
                  <w:vMerge w:val="continue"/>
                  <w:vAlign w:val="center"/>
                </w:tcPr>
                <w:p w14:paraId="305F8F1F">
                  <w:pPr>
                    <w:adjustRightInd w:val="0"/>
                    <w:snapToGrid w:val="0"/>
                    <w:jc w:val="center"/>
                    <w:rPr>
                      <w:color w:val="auto"/>
                      <w:highlight w:val="none"/>
                    </w:rPr>
                  </w:pPr>
                </w:p>
              </w:tc>
              <w:tc>
                <w:tcPr>
                  <w:tcW w:w="3186" w:type="dxa"/>
                  <w:gridSpan w:val="2"/>
                  <w:vMerge w:val="continue"/>
                  <w:vAlign w:val="center"/>
                </w:tcPr>
                <w:p w14:paraId="151A5A96">
                  <w:pPr>
                    <w:adjustRightInd w:val="0"/>
                    <w:snapToGrid w:val="0"/>
                    <w:jc w:val="center"/>
                    <w:rPr>
                      <w:color w:val="auto"/>
                      <w:highlight w:val="none"/>
                    </w:rPr>
                  </w:pPr>
                </w:p>
              </w:tc>
              <w:tc>
                <w:tcPr>
                  <w:tcW w:w="1078" w:type="dxa"/>
                  <w:vMerge w:val="continue"/>
                  <w:vAlign w:val="center"/>
                </w:tcPr>
                <w:p w14:paraId="4EFE782C">
                  <w:pPr>
                    <w:adjustRightInd w:val="0"/>
                    <w:snapToGrid w:val="0"/>
                    <w:jc w:val="center"/>
                    <w:rPr>
                      <w:color w:val="auto"/>
                      <w:highlight w:val="none"/>
                    </w:rPr>
                  </w:pPr>
                </w:p>
              </w:tc>
              <w:tc>
                <w:tcPr>
                  <w:tcW w:w="660" w:type="dxa"/>
                  <w:vAlign w:val="center"/>
                </w:tcPr>
                <w:p w14:paraId="0684C583">
                  <w:pPr>
                    <w:adjustRightInd w:val="0"/>
                    <w:snapToGrid w:val="0"/>
                    <w:jc w:val="center"/>
                    <w:rPr>
                      <w:color w:val="auto"/>
                      <w:highlight w:val="none"/>
                    </w:rPr>
                  </w:pPr>
                  <w:r>
                    <w:rPr>
                      <w:rFonts w:hint="eastAsia"/>
                      <w:b/>
                      <w:bCs/>
                      <w:color w:val="auto"/>
                      <w:kern w:val="0"/>
                      <w:sz w:val="21"/>
                      <w:szCs w:val="21"/>
                      <w:highlight w:val="none"/>
                    </w:rPr>
                    <w:t>昼间</w:t>
                  </w:r>
                </w:p>
              </w:tc>
              <w:tc>
                <w:tcPr>
                  <w:tcW w:w="645" w:type="dxa"/>
                  <w:vAlign w:val="center"/>
                </w:tcPr>
                <w:p w14:paraId="047FFA9B">
                  <w:pPr>
                    <w:adjustRightInd w:val="0"/>
                    <w:snapToGrid w:val="0"/>
                    <w:jc w:val="center"/>
                    <w:rPr>
                      <w:color w:val="auto"/>
                      <w:highlight w:val="none"/>
                    </w:rPr>
                  </w:pPr>
                  <w:r>
                    <w:rPr>
                      <w:rFonts w:hint="eastAsia"/>
                      <w:b/>
                      <w:bCs/>
                      <w:color w:val="auto"/>
                      <w:kern w:val="0"/>
                      <w:sz w:val="21"/>
                      <w:szCs w:val="21"/>
                      <w:highlight w:val="none"/>
                    </w:rPr>
                    <w:t>夜间</w:t>
                  </w:r>
                </w:p>
              </w:tc>
              <w:tc>
                <w:tcPr>
                  <w:tcW w:w="645" w:type="dxa"/>
                  <w:vAlign w:val="center"/>
                </w:tcPr>
                <w:p w14:paraId="3F24EF30">
                  <w:pPr>
                    <w:adjustRightInd w:val="0"/>
                    <w:snapToGrid w:val="0"/>
                    <w:jc w:val="center"/>
                    <w:rPr>
                      <w:color w:val="auto"/>
                      <w:highlight w:val="none"/>
                    </w:rPr>
                  </w:pPr>
                  <w:r>
                    <w:rPr>
                      <w:rFonts w:hint="eastAsia"/>
                      <w:b/>
                      <w:bCs/>
                      <w:color w:val="auto"/>
                      <w:kern w:val="0"/>
                      <w:sz w:val="21"/>
                      <w:szCs w:val="21"/>
                      <w:highlight w:val="none"/>
                    </w:rPr>
                    <w:t>昼间</w:t>
                  </w:r>
                </w:p>
              </w:tc>
              <w:tc>
                <w:tcPr>
                  <w:tcW w:w="674" w:type="dxa"/>
                  <w:vAlign w:val="center"/>
                </w:tcPr>
                <w:p w14:paraId="75E47069">
                  <w:pPr>
                    <w:adjustRightInd w:val="0"/>
                    <w:snapToGrid w:val="0"/>
                    <w:jc w:val="center"/>
                    <w:rPr>
                      <w:color w:val="auto"/>
                      <w:highlight w:val="none"/>
                    </w:rPr>
                  </w:pPr>
                  <w:r>
                    <w:rPr>
                      <w:rFonts w:hint="eastAsia"/>
                      <w:b/>
                      <w:bCs/>
                      <w:color w:val="auto"/>
                      <w:kern w:val="0"/>
                      <w:sz w:val="21"/>
                      <w:szCs w:val="21"/>
                      <w:highlight w:val="none"/>
                    </w:rPr>
                    <w:t>夜间</w:t>
                  </w:r>
                </w:p>
              </w:tc>
            </w:tr>
            <w:tr w14:paraId="74D8D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14:paraId="0F801433">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1</w:t>
                  </w:r>
                  <w:r>
                    <w:rPr>
                      <w:rFonts w:hint="eastAsia"/>
                      <w:color w:val="auto"/>
                      <w:kern w:val="0"/>
                      <w:sz w:val="21"/>
                      <w:szCs w:val="21"/>
                      <w:highlight w:val="none"/>
                      <w:lang w:val="en-US" w:eastAsia="zh-CN"/>
                    </w:rPr>
                    <w:t>#</w:t>
                  </w:r>
                </w:p>
              </w:tc>
              <w:tc>
                <w:tcPr>
                  <w:tcW w:w="916" w:type="dxa"/>
                  <w:vMerge w:val="restart"/>
                  <w:vAlign w:val="center"/>
                </w:tcPr>
                <w:p w14:paraId="76988B9A">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隆德县******</w:t>
                  </w:r>
                </w:p>
              </w:tc>
              <w:tc>
                <w:tcPr>
                  <w:tcW w:w="1140" w:type="dxa"/>
                  <w:vMerge w:val="restart"/>
                  <w:vAlign w:val="center"/>
                </w:tcPr>
                <w:p w14:paraId="3376D9CC">
                  <w:pPr>
                    <w:adjustRightInd w:val="0"/>
                    <w:snapToGrid w:val="0"/>
                    <w:jc w:val="center"/>
                    <w:rPr>
                      <w:rFonts w:hint="default" w:eastAsia="宋体"/>
                      <w:color w:val="auto"/>
                      <w:kern w:val="0"/>
                      <w:sz w:val="21"/>
                      <w:szCs w:val="21"/>
                      <w:highlight w:val="none"/>
                      <w:lang w:val="en-US" w:eastAsia="zh-CN"/>
                    </w:rPr>
                  </w:pPr>
                  <w:r>
                    <w:rPr>
                      <w:rFonts w:hint="default" w:eastAsia="宋体"/>
                      <w:color w:val="auto"/>
                      <w:kern w:val="0"/>
                      <w:sz w:val="21"/>
                      <w:szCs w:val="21"/>
                      <w:highlight w:val="none"/>
                      <w:lang w:val="en-US" w:eastAsia="zh-CN"/>
                    </w:rPr>
                    <w:t>新建张程110千伏变电站工程</w:t>
                  </w:r>
                </w:p>
              </w:tc>
              <w:tc>
                <w:tcPr>
                  <w:tcW w:w="2046" w:type="dxa"/>
                  <w:vAlign w:val="center"/>
                </w:tcPr>
                <w:p w14:paraId="4A469462">
                  <w:pPr>
                    <w:pStyle w:val="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color w:val="auto"/>
                      <w:kern w:val="0"/>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拟建变电站东侧</w:t>
                  </w:r>
                  <w:r>
                    <w:rPr>
                      <w:rFonts w:hint="eastAsia" w:ascii="Times New Roman" w:hAnsi="Times New Roman"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外1m处</w:t>
                  </w:r>
                </w:p>
              </w:tc>
              <w:tc>
                <w:tcPr>
                  <w:tcW w:w="1078" w:type="dxa"/>
                  <w:vAlign w:val="center"/>
                </w:tcPr>
                <w:p w14:paraId="12D2EA31">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55FE7438">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645" w:type="dxa"/>
                  <w:shd w:val="clear" w:color="auto" w:fill="auto"/>
                  <w:vAlign w:val="center"/>
                </w:tcPr>
                <w:p w14:paraId="248E0F0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31</w:t>
                  </w:r>
                </w:p>
              </w:tc>
              <w:tc>
                <w:tcPr>
                  <w:tcW w:w="645" w:type="dxa"/>
                  <w:vMerge w:val="restart"/>
                  <w:vAlign w:val="center"/>
                </w:tcPr>
                <w:p w14:paraId="128C479C">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60</w:t>
                  </w:r>
                </w:p>
              </w:tc>
              <w:tc>
                <w:tcPr>
                  <w:tcW w:w="674" w:type="dxa"/>
                  <w:vMerge w:val="restart"/>
                  <w:vAlign w:val="center"/>
                </w:tcPr>
                <w:p w14:paraId="2E3D77D3">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50</w:t>
                  </w:r>
                </w:p>
              </w:tc>
            </w:tr>
            <w:tr w14:paraId="3607E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14:paraId="70215D2E">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2</w:t>
                  </w:r>
                  <w:r>
                    <w:rPr>
                      <w:rFonts w:hint="eastAsia"/>
                      <w:color w:val="auto"/>
                      <w:kern w:val="0"/>
                      <w:sz w:val="21"/>
                      <w:szCs w:val="21"/>
                      <w:highlight w:val="none"/>
                      <w:lang w:val="en-US" w:eastAsia="zh-CN"/>
                    </w:rPr>
                    <w:t>#</w:t>
                  </w:r>
                </w:p>
              </w:tc>
              <w:tc>
                <w:tcPr>
                  <w:tcW w:w="916" w:type="dxa"/>
                  <w:vMerge w:val="continue"/>
                  <w:vAlign w:val="center"/>
                </w:tcPr>
                <w:p w14:paraId="7B4387D0">
                  <w:pPr>
                    <w:adjustRightInd w:val="0"/>
                    <w:snapToGrid w:val="0"/>
                    <w:jc w:val="center"/>
                    <w:rPr>
                      <w:rFonts w:hint="eastAsia"/>
                      <w:color w:val="auto"/>
                      <w:kern w:val="0"/>
                      <w:sz w:val="21"/>
                      <w:szCs w:val="21"/>
                      <w:highlight w:val="none"/>
                    </w:rPr>
                  </w:pPr>
                </w:p>
              </w:tc>
              <w:tc>
                <w:tcPr>
                  <w:tcW w:w="1140" w:type="dxa"/>
                  <w:vMerge w:val="continue"/>
                  <w:vAlign w:val="center"/>
                </w:tcPr>
                <w:p w14:paraId="262713FB">
                  <w:pPr>
                    <w:adjustRightInd w:val="0"/>
                    <w:snapToGrid w:val="0"/>
                    <w:jc w:val="center"/>
                    <w:rPr>
                      <w:rFonts w:hint="eastAsia"/>
                      <w:color w:val="auto"/>
                      <w:kern w:val="0"/>
                      <w:sz w:val="21"/>
                      <w:szCs w:val="21"/>
                      <w:highlight w:val="none"/>
                    </w:rPr>
                  </w:pPr>
                </w:p>
              </w:tc>
              <w:tc>
                <w:tcPr>
                  <w:tcW w:w="2046" w:type="dxa"/>
                  <w:vAlign w:val="center"/>
                </w:tcPr>
                <w:p w14:paraId="0DA55C3B">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kern w:val="0"/>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拟建变电站南侧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外1m处</w:t>
                  </w:r>
                </w:p>
              </w:tc>
              <w:tc>
                <w:tcPr>
                  <w:tcW w:w="1078" w:type="dxa"/>
                  <w:vAlign w:val="center"/>
                </w:tcPr>
                <w:p w14:paraId="02FA1AE9">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63EDC38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35</w:t>
                  </w:r>
                </w:p>
              </w:tc>
              <w:tc>
                <w:tcPr>
                  <w:tcW w:w="645" w:type="dxa"/>
                  <w:shd w:val="clear" w:color="auto" w:fill="auto"/>
                  <w:vAlign w:val="center"/>
                </w:tcPr>
                <w:p w14:paraId="6A478AA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31</w:t>
                  </w:r>
                </w:p>
              </w:tc>
              <w:tc>
                <w:tcPr>
                  <w:tcW w:w="645" w:type="dxa"/>
                  <w:vMerge w:val="continue"/>
                  <w:vAlign w:val="center"/>
                </w:tcPr>
                <w:p w14:paraId="68660B90">
                  <w:pPr>
                    <w:adjustRightInd w:val="0"/>
                    <w:snapToGrid w:val="0"/>
                    <w:jc w:val="center"/>
                    <w:rPr>
                      <w:rFonts w:hint="eastAsia" w:eastAsia="宋体"/>
                      <w:color w:val="auto"/>
                      <w:kern w:val="0"/>
                      <w:sz w:val="21"/>
                      <w:szCs w:val="21"/>
                      <w:highlight w:val="none"/>
                      <w:lang w:eastAsia="zh-CN"/>
                    </w:rPr>
                  </w:pPr>
                </w:p>
              </w:tc>
              <w:tc>
                <w:tcPr>
                  <w:tcW w:w="674" w:type="dxa"/>
                  <w:vMerge w:val="continue"/>
                  <w:vAlign w:val="center"/>
                </w:tcPr>
                <w:p w14:paraId="358F4624">
                  <w:pPr>
                    <w:adjustRightInd w:val="0"/>
                    <w:snapToGrid w:val="0"/>
                    <w:jc w:val="center"/>
                    <w:rPr>
                      <w:color w:val="auto"/>
                      <w:sz w:val="21"/>
                      <w:szCs w:val="21"/>
                      <w:highlight w:val="none"/>
                    </w:rPr>
                  </w:pPr>
                </w:p>
              </w:tc>
            </w:tr>
            <w:tr w14:paraId="47E4D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14:paraId="56490DDE">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3</w:t>
                  </w:r>
                  <w:r>
                    <w:rPr>
                      <w:rFonts w:hint="eastAsia"/>
                      <w:color w:val="auto"/>
                      <w:kern w:val="0"/>
                      <w:sz w:val="21"/>
                      <w:szCs w:val="21"/>
                      <w:highlight w:val="none"/>
                      <w:lang w:val="en-US" w:eastAsia="zh-CN"/>
                    </w:rPr>
                    <w:t>#</w:t>
                  </w:r>
                </w:p>
              </w:tc>
              <w:tc>
                <w:tcPr>
                  <w:tcW w:w="916" w:type="dxa"/>
                  <w:vMerge w:val="continue"/>
                  <w:vAlign w:val="center"/>
                </w:tcPr>
                <w:p w14:paraId="51E3A416">
                  <w:pPr>
                    <w:adjustRightInd w:val="0"/>
                    <w:snapToGrid w:val="0"/>
                    <w:jc w:val="center"/>
                    <w:rPr>
                      <w:rFonts w:hint="eastAsia"/>
                      <w:color w:val="auto"/>
                      <w:kern w:val="0"/>
                      <w:sz w:val="21"/>
                      <w:szCs w:val="21"/>
                      <w:highlight w:val="none"/>
                    </w:rPr>
                  </w:pPr>
                </w:p>
              </w:tc>
              <w:tc>
                <w:tcPr>
                  <w:tcW w:w="1140" w:type="dxa"/>
                  <w:vMerge w:val="continue"/>
                  <w:vAlign w:val="center"/>
                </w:tcPr>
                <w:p w14:paraId="6EF9EC2B">
                  <w:pPr>
                    <w:adjustRightInd w:val="0"/>
                    <w:snapToGrid w:val="0"/>
                    <w:jc w:val="center"/>
                    <w:rPr>
                      <w:rFonts w:hint="eastAsia"/>
                      <w:color w:val="auto"/>
                      <w:kern w:val="0"/>
                      <w:sz w:val="21"/>
                      <w:szCs w:val="21"/>
                      <w:highlight w:val="none"/>
                    </w:rPr>
                  </w:pPr>
                </w:p>
              </w:tc>
              <w:tc>
                <w:tcPr>
                  <w:tcW w:w="2046" w:type="dxa"/>
                  <w:vAlign w:val="center"/>
                </w:tcPr>
                <w:p w14:paraId="16034D39">
                  <w:pPr>
                    <w:pStyle w:val="45"/>
                    <w:keepNext w:val="0"/>
                    <w:keepLines w:val="0"/>
                    <w:pageBreakBefore w:val="0"/>
                    <w:kinsoku/>
                    <w:wordWrap/>
                    <w:overflowPunct/>
                    <w:topLinePunct w:val="0"/>
                    <w:autoSpaceDE/>
                    <w:autoSpaceDN/>
                    <w:bidi w:val="0"/>
                    <w:adjustRightInd/>
                    <w:snapToGrid/>
                    <w:spacing w:line="240" w:lineRule="auto"/>
                    <w:jc w:val="center"/>
                    <w:textAlignment w:val="auto"/>
                    <w:rPr>
                      <w:color w:val="auto"/>
                      <w:kern w:val="0"/>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拟建变电站西侧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外1m处</w:t>
                  </w:r>
                </w:p>
              </w:tc>
              <w:tc>
                <w:tcPr>
                  <w:tcW w:w="1078" w:type="dxa"/>
                  <w:vAlign w:val="center"/>
                </w:tcPr>
                <w:p w14:paraId="33F5B2F6">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75AC2A0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35</w:t>
                  </w:r>
                </w:p>
              </w:tc>
              <w:tc>
                <w:tcPr>
                  <w:tcW w:w="645" w:type="dxa"/>
                  <w:shd w:val="clear" w:color="auto" w:fill="auto"/>
                  <w:vAlign w:val="center"/>
                </w:tcPr>
                <w:p w14:paraId="5A626985">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645" w:type="dxa"/>
                  <w:vMerge w:val="continue"/>
                  <w:vAlign w:val="center"/>
                </w:tcPr>
                <w:p w14:paraId="4D835AA6">
                  <w:pPr>
                    <w:adjustRightInd w:val="0"/>
                    <w:snapToGrid w:val="0"/>
                    <w:jc w:val="center"/>
                    <w:rPr>
                      <w:rFonts w:hint="eastAsia"/>
                      <w:color w:val="auto"/>
                      <w:kern w:val="0"/>
                      <w:sz w:val="21"/>
                      <w:szCs w:val="21"/>
                      <w:highlight w:val="none"/>
                    </w:rPr>
                  </w:pPr>
                </w:p>
              </w:tc>
              <w:tc>
                <w:tcPr>
                  <w:tcW w:w="674" w:type="dxa"/>
                  <w:vMerge w:val="continue"/>
                  <w:vAlign w:val="center"/>
                </w:tcPr>
                <w:p w14:paraId="55C6563F">
                  <w:pPr>
                    <w:adjustRightInd w:val="0"/>
                    <w:snapToGrid w:val="0"/>
                    <w:jc w:val="center"/>
                    <w:rPr>
                      <w:rFonts w:hint="eastAsia"/>
                      <w:color w:val="auto"/>
                      <w:kern w:val="0"/>
                      <w:sz w:val="21"/>
                      <w:szCs w:val="21"/>
                      <w:highlight w:val="none"/>
                    </w:rPr>
                  </w:pPr>
                </w:p>
              </w:tc>
            </w:tr>
            <w:tr w14:paraId="67CCF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14:paraId="56E6BEF1">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4</w:t>
                  </w:r>
                  <w:r>
                    <w:rPr>
                      <w:rFonts w:hint="eastAsia"/>
                      <w:color w:val="auto"/>
                      <w:kern w:val="0"/>
                      <w:sz w:val="21"/>
                      <w:szCs w:val="21"/>
                      <w:highlight w:val="none"/>
                      <w:lang w:val="en-US" w:eastAsia="zh-CN"/>
                    </w:rPr>
                    <w:t>#</w:t>
                  </w:r>
                </w:p>
              </w:tc>
              <w:tc>
                <w:tcPr>
                  <w:tcW w:w="916" w:type="dxa"/>
                  <w:vMerge w:val="continue"/>
                  <w:vAlign w:val="center"/>
                </w:tcPr>
                <w:p w14:paraId="614582A6">
                  <w:pPr>
                    <w:adjustRightInd w:val="0"/>
                    <w:snapToGrid w:val="0"/>
                    <w:jc w:val="center"/>
                    <w:rPr>
                      <w:rFonts w:hint="eastAsia"/>
                      <w:color w:val="auto"/>
                      <w:kern w:val="0"/>
                      <w:sz w:val="21"/>
                      <w:szCs w:val="21"/>
                      <w:highlight w:val="none"/>
                    </w:rPr>
                  </w:pPr>
                </w:p>
              </w:tc>
              <w:tc>
                <w:tcPr>
                  <w:tcW w:w="1140" w:type="dxa"/>
                  <w:vMerge w:val="continue"/>
                  <w:vAlign w:val="center"/>
                </w:tcPr>
                <w:p w14:paraId="32029AA4">
                  <w:pPr>
                    <w:adjustRightInd w:val="0"/>
                    <w:snapToGrid w:val="0"/>
                    <w:jc w:val="center"/>
                    <w:rPr>
                      <w:rFonts w:hint="eastAsia"/>
                      <w:color w:val="auto"/>
                      <w:kern w:val="0"/>
                      <w:sz w:val="21"/>
                      <w:szCs w:val="21"/>
                      <w:highlight w:val="none"/>
                    </w:rPr>
                  </w:pPr>
                </w:p>
              </w:tc>
              <w:tc>
                <w:tcPr>
                  <w:tcW w:w="2046" w:type="dxa"/>
                  <w:vAlign w:val="center"/>
                </w:tcPr>
                <w:p w14:paraId="1F4CFDD0">
                  <w:pPr>
                    <w:pStyle w:val="45"/>
                    <w:keepNext w:val="0"/>
                    <w:keepLines w:val="0"/>
                    <w:pageBreakBefore w:val="0"/>
                    <w:kinsoku/>
                    <w:wordWrap/>
                    <w:overflowPunct/>
                    <w:topLinePunct w:val="0"/>
                    <w:autoSpaceDE/>
                    <w:autoSpaceDN/>
                    <w:bidi w:val="0"/>
                    <w:adjustRightInd/>
                    <w:snapToGrid/>
                    <w:spacing w:line="240" w:lineRule="auto"/>
                    <w:jc w:val="center"/>
                    <w:textAlignment w:val="auto"/>
                    <w:rPr>
                      <w:color w:val="auto"/>
                      <w:kern w:val="0"/>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拟建变电站北侧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外1m处</w:t>
                  </w:r>
                </w:p>
              </w:tc>
              <w:tc>
                <w:tcPr>
                  <w:tcW w:w="1078" w:type="dxa"/>
                  <w:vAlign w:val="center"/>
                </w:tcPr>
                <w:p w14:paraId="28AEE64C">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6538BDD3">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36</w:t>
                  </w:r>
                </w:p>
              </w:tc>
              <w:tc>
                <w:tcPr>
                  <w:tcW w:w="645" w:type="dxa"/>
                  <w:shd w:val="clear" w:color="auto" w:fill="auto"/>
                  <w:vAlign w:val="center"/>
                </w:tcPr>
                <w:p w14:paraId="1B23533B">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w:t>
                  </w:r>
                </w:p>
              </w:tc>
              <w:tc>
                <w:tcPr>
                  <w:tcW w:w="645" w:type="dxa"/>
                  <w:vMerge w:val="continue"/>
                  <w:vAlign w:val="center"/>
                </w:tcPr>
                <w:p w14:paraId="3B71B1E7">
                  <w:pPr>
                    <w:adjustRightInd w:val="0"/>
                    <w:snapToGrid w:val="0"/>
                    <w:jc w:val="center"/>
                    <w:rPr>
                      <w:rFonts w:hint="eastAsia"/>
                      <w:color w:val="auto"/>
                      <w:kern w:val="0"/>
                      <w:sz w:val="21"/>
                      <w:szCs w:val="21"/>
                      <w:highlight w:val="none"/>
                    </w:rPr>
                  </w:pPr>
                </w:p>
              </w:tc>
              <w:tc>
                <w:tcPr>
                  <w:tcW w:w="674" w:type="dxa"/>
                  <w:vMerge w:val="continue"/>
                  <w:vAlign w:val="center"/>
                </w:tcPr>
                <w:p w14:paraId="0E959BDA">
                  <w:pPr>
                    <w:adjustRightInd w:val="0"/>
                    <w:snapToGrid w:val="0"/>
                    <w:jc w:val="center"/>
                    <w:rPr>
                      <w:rFonts w:hint="eastAsia"/>
                      <w:color w:val="auto"/>
                      <w:kern w:val="0"/>
                      <w:sz w:val="21"/>
                      <w:szCs w:val="21"/>
                      <w:highlight w:val="none"/>
                    </w:rPr>
                  </w:pPr>
                </w:p>
              </w:tc>
            </w:tr>
            <w:tr w14:paraId="519E0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3E7D3E23">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5</w:t>
                  </w:r>
                  <w:r>
                    <w:rPr>
                      <w:rFonts w:hint="eastAsia"/>
                      <w:color w:val="auto"/>
                      <w:kern w:val="0"/>
                      <w:sz w:val="21"/>
                      <w:szCs w:val="21"/>
                      <w:highlight w:val="none"/>
                      <w:lang w:val="en-US" w:eastAsia="zh-CN"/>
                    </w:rPr>
                    <w:t>#</w:t>
                  </w:r>
                </w:p>
              </w:tc>
              <w:tc>
                <w:tcPr>
                  <w:tcW w:w="916" w:type="dxa"/>
                  <w:vMerge w:val="continue"/>
                  <w:vAlign w:val="center"/>
                </w:tcPr>
                <w:p w14:paraId="6652BB09">
                  <w:pPr>
                    <w:adjustRightInd w:val="0"/>
                    <w:snapToGrid w:val="0"/>
                    <w:jc w:val="center"/>
                    <w:rPr>
                      <w:rFonts w:hint="eastAsia"/>
                      <w:color w:val="auto"/>
                      <w:kern w:val="0"/>
                      <w:sz w:val="21"/>
                      <w:szCs w:val="21"/>
                      <w:highlight w:val="none"/>
                    </w:rPr>
                  </w:pPr>
                </w:p>
              </w:tc>
              <w:tc>
                <w:tcPr>
                  <w:tcW w:w="1140" w:type="dxa"/>
                  <w:vMerge w:val="continue"/>
                  <w:vAlign w:val="center"/>
                </w:tcPr>
                <w:p w14:paraId="0CEC63A9">
                  <w:pPr>
                    <w:adjustRightInd w:val="0"/>
                    <w:snapToGrid w:val="0"/>
                    <w:jc w:val="center"/>
                    <w:rPr>
                      <w:rFonts w:hint="eastAsia"/>
                      <w:color w:val="auto"/>
                      <w:kern w:val="0"/>
                      <w:sz w:val="21"/>
                      <w:szCs w:val="21"/>
                      <w:highlight w:val="none"/>
                    </w:rPr>
                  </w:pPr>
                </w:p>
              </w:tc>
              <w:tc>
                <w:tcPr>
                  <w:tcW w:w="2046" w:type="dxa"/>
                  <w:vAlign w:val="center"/>
                </w:tcPr>
                <w:p w14:paraId="75E7BC86">
                  <w:pPr>
                    <w:adjustRightInd w:val="0"/>
                    <w:snapToGrid w:val="0"/>
                    <w:jc w:val="center"/>
                    <w:rPr>
                      <w:rFonts w:hint="eastAsia" w:eastAsia="宋体"/>
                      <w:color w:val="auto"/>
                      <w:kern w:val="0"/>
                      <w:sz w:val="21"/>
                      <w:szCs w:val="21"/>
                      <w:highlight w:val="none"/>
                      <w:lang w:eastAsia="zh-CN"/>
                    </w:rPr>
                  </w:pPr>
                  <w:r>
                    <w:rPr>
                      <w:rFonts w:hint="eastAsia"/>
                      <w:color w:val="auto"/>
                      <w:sz w:val="21"/>
                      <w:szCs w:val="21"/>
                      <w:highlight w:val="none"/>
                      <w:lang w:val="en-US" w:eastAsia="zh-CN"/>
                    </w:rPr>
                    <w:t>******</w:t>
                  </w:r>
                </w:p>
              </w:tc>
              <w:tc>
                <w:tcPr>
                  <w:tcW w:w="1078" w:type="dxa"/>
                  <w:vAlign w:val="center"/>
                </w:tcPr>
                <w:p w14:paraId="53F2488C">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79E893C3">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33</w:t>
                  </w:r>
                </w:p>
              </w:tc>
              <w:tc>
                <w:tcPr>
                  <w:tcW w:w="645" w:type="dxa"/>
                  <w:shd w:val="clear" w:color="auto" w:fill="auto"/>
                  <w:vAlign w:val="center"/>
                </w:tcPr>
                <w:p w14:paraId="3E9C4919">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33</w:t>
                  </w:r>
                </w:p>
              </w:tc>
              <w:tc>
                <w:tcPr>
                  <w:tcW w:w="645" w:type="dxa"/>
                  <w:vMerge w:val="continue"/>
                  <w:vAlign w:val="center"/>
                </w:tcPr>
                <w:p w14:paraId="104348C1">
                  <w:pPr>
                    <w:adjustRightInd w:val="0"/>
                    <w:snapToGrid w:val="0"/>
                    <w:jc w:val="center"/>
                    <w:rPr>
                      <w:rFonts w:hint="eastAsia"/>
                      <w:color w:val="auto"/>
                      <w:kern w:val="0"/>
                      <w:sz w:val="21"/>
                      <w:szCs w:val="21"/>
                      <w:highlight w:val="none"/>
                    </w:rPr>
                  </w:pPr>
                </w:p>
              </w:tc>
              <w:tc>
                <w:tcPr>
                  <w:tcW w:w="674" w:type="dxa"/>
                  <w:vMerge w:val="continue"/>
                  <w:vAlign w:val="center"/>
                </w:tcPr>
                <w:p w14:paraId="662790BD">
                  <w:pPr>
                    <w:adjustRightInd w:val="0"/>
                    <w:snapToGrid w:val="0"/>
                    <w:jc w:val="center"/>
                    <w:rPr>
                      <w:rFonts w:hint="eastAsia"/>
                      <w:color w:val="auto"/>
                      <w:kern w:val="0"/>
                      <w:sz w:val="21"/>
                      <w:szCs w:val="21"/>
                      <w:highlight w:val="none"/>
                    </w:rPr>
                  </w:pPr>
                </w:p>
              </w:tc>
            </w:tr>
            <w:tr w14:paraId="49C25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vAlign w:val="center"/>
                </w:tcPr>
                <w:p w14:paraId="43981680">
                  <w:pPr>
                    <w:adjustRightInd w:val="0"/>
                    <w:snapToGrid w:val="0"/>
                    <w:jc w:val="center"/>
                    <w:rPr>
                      <w:rFonts w:hint="eastAsia" w:eastAsia="宋体"/>
                      <w:color w:val="auto"/>
                      <w:kern w:val="0"/>
                      <w:sz w:val="21"/>
                      <w:szCs w:val="21"/>
                      <w:highlight w:val="none"/>
                      <w:lang w:val="en-US" w:eastAsia="zh-CN"/>
                    </w:rPr>
                  </w:pPr>
                  <w:r>
                    <w:rPr>
                      <w:rFonts w:hint="eastAsia"/>
                      <w:color w:val="auto"/>
                      <w:kern w:val="0"/>
                      <w:sz w:val="21"/>
                      <w:szCs w:val="21"/>
                      <w:highlight w:val="none"/>
                    </w:rPr>
                    <w:t>6</w:t>
                  </w:r>
                  <w:r>
                    <w:rPr>
                      <w:rFonts w:hint="eastAsia"/>
                      <w:color w:val="auto"/>
                      <w:kern w:val="0"/>
                      <w:sz w:val="21"/>
                      <w:szCs w:val="21"/>
                      <w:highlight w:val="none"/>
                      <w:lang w:val="en-US" w:eastAsia="zh-CN"/>
                    </w:rPr>
                    <w:t>#</w:t>
                  </w:r>
                </w:p>
              </w:tc>
              <w:tc>
                <w:tcPr>
                  <w:tcW w:w="916" w:type="dxa"/>
                  <w:vMerge w:val="continue"/>
                  <w:vAlign w:val="center"/>
                </w:tcPr>
                <w:p w14:paraId="2E11F0D1">
                  <w:pPr>
                    <w:adjustRightInd w:val="0"/>
                    <w:snapToGrid w:val="0"/>
                    <w:jc w:val="center"/>
                    <w:rPr>
                      <w:rFonts w:hint="eastAsia"/>
                      <w:color w:val="auto"/>
                      <w:kern w:val="0"/>
                      <w:sz w:val="21"/>
                      <w:szCs w:val="21"/>
                      <w:highlight w:val="none"/>
                    </w:rPr>
                  </w:pPr>
                </w:p>
              </w:tc>
              <w:tc>
                <w:tcPr>
                  <w:tcW w:w="1140" w:type="dxa"/>
                  <w:vMerge w:val="continue"/>
                  <w:vAlign w:val="center"/>
                </w:tcPr>
                <w:p w14:paraId="5D6B55BA">
                  <w:pPr>
                    <w:adjustRightInd w:val="0"/>
                    <w:snapToGrid w:val="0"/>
                    <w:jc w:val="center"/>
                    <w:rPr>
                      <w:rFonts w:hint="eastAsia"/>
                      <w:color w:val="auto"/>
                      <w:kern w:val="0"/>
                      <w:sz w:val="21"/>
                      <w:szCs w:val="21"/>
                      <w:highlight w:val="none"/>
                    </w:rPr>
                  </w:pPr>
                </w:p>
              </w:tc>
              <w:tc>
                <w:tcPr>
                  <w:tcW w:w="2046" w:type="dxa"/>
                  <w:vAlign w:val="center"/>
                </w:tcPr>
                <w:p w14:paraId="6E5541E0">
                  <w:pPr>
                    <w:adjustRightInd w:val="0"/>
                    <w:snapToGrid w:val="0"/>
                    <w:jc w:val="center"/>
                    <w:rPr>
                      <w:rFonts w:hint="eastAsia" w:eastAsia="宋体"/>
                      <w:color w:val="auto"/>
                      <w:kern w:val="0"/>
                      <w:sz w:val="21"/>
                      <w:szCs w:val="21"/>
                      <w:highlight w:val="none"/>
                      <w:lang w:val="en-US" w:eastAsia="zh-CN"/>
                    </w:rPr>
                  </w:pPr>
                  <w:r>
                    <w:rPr>
                      <w:rFonts w:hint="eastAsia"/>
                      <w:color w:val="auto"/>
                      <w:sz w:val="21"/>
                      <w:szCs w:val="21"/>
                      <w:highlight w:val="none"/>
                      <w:lang w:val="en-US" w:eastAsia="zh-CN"/>
                    </w:rPr>
                    <w:t>******</w:t>
                  </w:r>
                </w:p>
              </w:tc>
              <w:tc>
                <w:tcPr>
                  <w:tcW w:w="1078" w:type="dxa"/>
                  <w:vAlign w:val="center"/>
                </w:tcPr>
                <w:p w14:paraId="6CC4D7C9">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3D7A01B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w:t>
                  </w:r>
                </w:p>
              </w:tc>
              <w:tc>
                <w:tcPr>
                  <w:tcW w:w="645" w:type="dxa"/>
                  <w:shd w:val="clear" w:color="auto" w:fill="auto"/>
                  <w:vAlign w:val="center"/>
                </w:tcPr>
                <w:p w14:paraId="668D498A">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645" w:type="dxa"/>
                  <w:vMerge w:val="continue"/>
                  <w:vAlign w:val="center"/>
                </w:tcPr>
                <w:p w14:paraId="66583232">
                  <w:pPr>
                    <w:adjustRightInd w:val="0"/>
                    <w:snapToGrid w:val="0"/>
                    <w:jc w:val="center"/>
                    <w:rPr>
                      <w:rFonts w:hint="eastAsia"/>
                      <w:color w:val="auto"/>
                      <w:kern w:val="0"/>
                      <w:sz w:val="21"/>
                      <w:szCs w:val="21"/>
                      <w:highlight w:val="none"/>
                    </w:rPr>
                  </w:pPr>
                </w:p>
              </w:tc>
              <w:tc>
                <w:tcPr>
                  <w:tcW w:w="674" w:type="dxa"/>
                  <w:vMerge w:val="continue"/>
                  <w:vAlign w:val="center"/>
                </w:tcPr>
                <w:p w14:paraId="6F162D2C">
                  <w:pPr>
                    <w:adjustRightInd w:val="0"/>
                    <w:snapToGrid w:val="0"/>
                    <w:jc w:val="center"/>
                    <w:rPr>
                      <w:rFonts w:hint="eastAsia"/>
                      <w:color w:val="auto"/>
                      <w:kern w:val="0"/>
                      <w:sz w:val="21"/>
                      <w:szCs w:val="21"/>
                      <w:highlight w:val="none"/>
                    </w:rPr>
                  </w:pPr>
                </w:p>
              </w:tc>
            </w:tr>
            <w:tr w14:paraId="29E74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7311BEBA">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rPr>
                    <w:t>7</w:t>
                  </w:r>
                  <w:r>
                    <w:rPr>
                      <w:rFonts w:hint="eastAsia"/>
                      <w:color w:val="auto"/>
                      <w:kern w:val="0"/>
                      <w:sz w:val="21"/>
                      <w:szCs w:val="21"/>
                      <w:highlight w:val="none"/>
                      <w:lang w:val="en-US" w:eastAsia="zh-CN"/>
                    </w:rPr>
                    <w:t>#</w:t>
                  </w:r>
                </w:p>
              </w:tc>
              <w:tc>
                <w:tcPr>
                  <w:tcW w:w="916" w:type="dxa"/>
                  <w:vMerge w:val="continue"/>
                  <w:vAlign w:val="center"/>
                </w:tcPr>
                <w:p w14:paraId="3B7D4217">
                  <w:pPr>
                    <w:adjustRightInd w:val="0"/>
                    <w:snapToGrid w:val="0"/>
                    <w:jc w:val="center"/>
                    <w:rPr>
                      <w:rFonts w:hint="eastAsia"/>
                      <w:color w:val="auto"/>
                      <w:kern w:val="0"/>
                      <w:sz w:val="21"/>
                      <w:szCs w:val="21"/>
                      <w:highlight w:val="none"/>
                    </w:rPr>
                  </w:pPr>
                </w:p>
              </w:tc>
              <w:tc>
                <w:tcPr>
                  <w:tcW w:w="1140" w:type="dxa"/>
                  <w:vMerge w:val="continue"/>
                  <w:vAlign w:val="center"/>
                </w:tcPr>
                <w:p w14:paraId="2F6602BC">
                  <w:pPr>
                    <w:adjustRightInd w:val="0"/>
                    <w:snapToGrid w:val="0"/>
                    <w:jc w:val="center"/>
                    <w:rPr>
                      <w:rFonts w:hint="eastAsia"/>
                      <w:color w:val="auto"/>
                      <w:kern w:val="0"/>
                      <w:sz w:val="21"/>
                      <w:szCs w:val="21"/>
                      <w:highlight w:val="none"/>
                    </w:rPr>
                  </w:pPr>
                </w:p>
              </w:tc>
              <w:tc>
                <w:tcPr>
                  <w:tcW w:w="2046" w:type="dxa"/>
                  <w:vAlign w:val="center"/>
                </w:tcPr>
                <w:p w14:paraId="589D35C8">
                  <w:pPr>
                    <w:adjustRightInd w:val="0"/>
                    <w:snapToGrid w:val="0"/>
                    <w:jc w:val="center"/>
                    <w:rPr>
                      <w:rFonts w:hint="default"/>
                      <w:color w:val="auto"/>
                      <w:kern w:val="0"/>
                      <w:sz w:val="21"/>
                      <w:szCs w:val="21"/>
                      <w:highlight w:val="none"/>
                      <w:lang w:val="en-US" w:eastAsia="zh-CN"/>
                    </w:rPr>
                  </w:pPr>
                  <w:r>
                    <w:rPr>
                      <w:rFonts w:hint="eastAsia"/>
                      <w:color w:val="auto"/>
                      <w:sz w:val="21"/>
                      <w:szCs w:val="21"/>
                      <w:highlight w:val="none"/>
                      <w:lang w:val="en-US" w:eastAsia="zh-CN"/>
                    </w:rPr>
                    <w:t>******</w:t>
                  </w:r>
                </w:p>
              </w:tc>
              <w:tc>
                <w:tcPr>
                  <w:tcW w:w="1078" w:type="dxa"/>
                  <w:vAlign w:val="center"/>
                </w:tcPr>
                <w:p w14:paraId="35DC0D2F">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660" w:type="dxa"/>
                  <w:shd w:val="clear" w:color="auto" w:fill="auto"/>
                  <w:vAlign w:val="center"/>
                </w:tcPr>
                <w:p w14:paraId="3E63928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645" w:type="dxa"/>
                  <w:shd w:val="clear" w:color="auto" w:fill="auto"/>
                  <w:vAlign w:val="center"/>
                </w:tcPr>
                <w:p w14:paraId="0D4AC05A">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29</w:t>
                  </w:r>
                </w:p>
              </w:tc>
              <w:tc>
                <w:tcPr>
                  <w:tcW w:w="645" w:type="dxa"/>
                  <w:vMerge w:val="continue"/>
                  <w:vAlign w:val="center"/>
                </w:tcPr>
                <w:p w14:paraId="37849629">
                  <w:pPr>
                    <w:adjustRightInd w:val="0"/>
                    <w:snapToGrid w:val="0"/>
                    <w:jc w:val="center"/>
                    <w:rPr>
                      <w:rFonts w:hint="eastAsia"/>
                      <w:color w:val="auto"/>
                      <w:kern w:val="0"/>
                      <w:sz w:val="21"/>
                      <w:szCs w:val="21"/>
                      <w:highlight w:val="none"/>
                    </w:rPr>
                  </w:pPr>
                </w:p>
              </w:tc>
              <w:tc>
                <w:tcPr>
                  <w:tcW w:w="674" w:type="dxa"/>
                  <w:vMerge w:val="continue"/>
                  <w:vAlign w:val="center"/>
                </w:tcPr>
                <w:p w14:paraId="469B3416">
                  <w:pPr>
                    <w:adjustRightInd w:val="0"/>
                    <w:snapToGrid w:val="0"/>
                    <w:jc w:val="center"/>
                    <w:rPr>
                      <w:rFonts w:hint="eastAsia"/>
                      <w:color w:val="auto"/>
                      <w:kern w:val="0"/>
                      <w:sz w:val="21"/>
                      <w:szCs w:val="21"/>
                      <w:highlight w:val="none"/>
                    </w:rPr>
                  </w:pPr>
                </w:p>
              </w:tc>
            </w:tr>
            <w:tr w14:paraId="605A8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6420D89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8#</w:t>
                  </w:r>
                </w:p>
              </w:tc>
              <w:tc>
                <w:tcPr>
                  <w:tcW w:w="916" w:type="dxa"/>
                  <w:vMerge w:val="continue"/>
                  <w:vAlign w:val="center"/>
                </w:tcPr>
                <w:p w14:paraId="188A234A">
                  <w:pPr>
                    <w:adjustRightInd w:val="0"/>
                    <w:snapToGrid w:val="0"/>
                    <w:jc w:val="center"/>
                    <w:rPr>
                      <w:rFonts w:hint="eastAsia"/>
                      <w:color w:val="auto"/>
                      <w:kern w:val="0"/>
                      <w:sz w:val="21"/>
                      <w:szCs w:val="21"/>
                      <w:highlight w:val="none"/>
                    </w:rPr>
                  </w:pPr>
                </w:p>
              </w:tc>
              <w:tc>
                <w:tcPr>
                  <w:tcW w:w="1140" w:type="dxa"/>
                  <w:vMerge w:val="continue"/>
                  <w:vAlign w:val="center"/>
                </w:tcPr>
                <w:p w14:paraId="1E7924F3">
                  <w:pPr>
                    <w:adjustRightInd w:val="0"/>
                    <w:snapToGrid w:val="0"/>
                    <w:jc w:val="center"/>
                    <w:rPr>
                      <w:rFonts w:hint="eastAsia"/>
                      <w:color w:val="auto"/>
                      <w:kern w:val="0"/>
                      <w:sz w:val="21"/>
                      <w:szCs w:val="21"/>
                      <w:highlight w:val="none"/>
                    </w:rPr>
                  </w:pPr>
                </w:p>
              </w:tc>
              <w:tc>
                <w:tcPr>
                  <w:tcW w:w="2046" w:type="dxa"/>
                  <w:vAlign w:val="center"/>
                </w:tcPr>
                <w:p w14:paraId="6747C47E">
                  <w:pPr>
                    <w:adjustRightInd w:val="0"/>
                    <w:snapToGrid w:val="0"/>
                    <w:jc w:val="center"/>
                    <w:rPr>
                      <w:rFonts w:hint="default"/>
                      <w:color w:val="auto"/>
                      <w:kern w:val="0"/>
                      <w:sz w:val="21"/>
                      <w:szCs w:val="21"/>
                      <w:highlight w:val="none"/>
                      <w:lang w:val="en-US" w:eastAsia="zh-CN"/>
                    </w:rPr>
                  </w:pPr>
                  <w:r>
                    <w:rPr>
                      <w:rFonts w:hint="eastAsia"/>
                      <w:color w:val="auto"/>
                      <w:sz w:val="21"/>
                      <w:szCs w:val="21"/>
                      <w:highlight w:val="none"/>
                      <w:lang w:val="en-US" w:eastAsia="zh-CN"/>
                    </w:rPr>
                    <w:t>******</w:t>
                  </w:r>
                </w:p>
              </w:tc>
              <w:tc>
                <w:tcPr>
                  <w:tcW w:w="1078" w:type="dxa"/>
                  <w:vAlign w:val="center"/>
                </w:tcPr>
                <w:p w14:paraId="0C980C55">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660" w:type="dxa"/>
                  <w:shd w:val="clear" w:color="auto" w:fill="auto"/>
                  <w:vAlign w:val="center"/>
                </w:tcPr>
                <w:p w14:paraId="3FDF320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39</w:t>
                  </w:r>
                </w:p>
              </w:tc>
              <w:tc>
                <w:tcPr>
                  <w:tcW w:w="645" w:type="dxa"/>
                  <w:shd w:val="clear" w:color="auto" w:fill="auto"/>
                  <w:vAlign w:val="center"/>
                </w:tcPr>
                <w:p w14:paraId="27C49523">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38</w:t>
                  </w:r>
                </w:p>
              </w:tc>
              <w:tc>
                <w:tcPr>
                  <w:tcW w:w="645" w:type="dxa"/>
                  <w:vMerge w:val="continue"/>
                  <w:vAlign w:val="center"/>
                </w:tcPr>
                <w:p w14:paraId="78C52340">
                  <w:pPr>
                    <w:adjustRightInd w:val="0"/>
                    <w:snapToGrid w:val="0"/>
                    <w:jc w:val="center"/>
                    <w:rPr>
                      <w:rFonts w:hint="eastAsia"/>
                      <w:color w:val="auto"/>
                      <w:kern w:val="0"/>
                      <w:sz w:val="21"/>
                      <w:szCs w:val="21"/>
                      <w:highlight w:val="none"/>
                    </w:rPr>
                  </w:pPr>
                </w:p>
              </w:tc>
              <w:tc>
                <w:tcPr>
                  <w:tcW w:w="674" w:type="dxa"/>
                  <w:vMerge w:val="continue"/>
                  <w:vAlign w:val="center"/>
                </w:tcPr>
                <w:p w14:paraId="740BDB5E">
                  <w:pPr>
                    <w:adjustRightInd w:val="0"/>
                    <w:snapToGrid w:val="0"/>
                    <w:jc w:val="center"/>
                    <w:rPr>
                      <w:rFonts w:hint="eastAsia"/>
                      <w:color w:val="auto"/>
                      <w:kern w:val="0"/>
                      <w:sz w:val="21"/>
                      <w:szCs w:val="21"/>
                      <w:highlight w:val="none"/>
                    </w:rPr>
                  </w:pPr>
                </w:p>
              </w:tc>
            </w:tr>
            <w:tr w14:paraId="53218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449BEC6A">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9#</w:t>
                  </w:r>
                </w:p>
              </w:tc>
              <w:tc>
                <w:tcPr>
                  <w:tcW w:w="916" w:type="dxa"/>
                  <w:vMerge w:val="restart"/>
                  <w:vAlign w:val="center"/>
                </w:tcPr>
                <w:p w14:paraId="13BA8ED1">
                  <w:pPr>
                    <w:adjustRightInd w:val="0"/>
                    <w:snapToGrid w:val="0"/>
                    <w:jc w:val="center"/>
                    <w:rPr>
                      <w:rFonts w:hint="eastAsia"/>
                      <w:color w:val="auto"/>
                      <w:kern w:val="0"/>
                      <w:sz w:val="21"/>
                      <w:szCs w:val="21"/>
                      <w:highlight w:val="none"/>
                    </w:rPr>
                  </w:pPr>
                  <w:r>
                    <w:rPr>
                      <w:rFonts w:hint="eastAsia"/>
                      <w:color w:val="auto"/>
                      <w:kern w:val="0"/>
                      <w:sz w:val="21"/>
                      <w:szCs w:val="21"/>
                      <w:highlight w:val="none"/>
                      <w:lang w:val="en-US" w:eastAsia="zh-CN"/>
                    </w:rPr>
                    <w:t>隆德县******</w:t>
                  </w:r>
                </w:p>
              </w:tc>
              <w:tc>
                <w:tcPr>
                  <w:tcW w:w="1140" w:type="dxa"/>
                  <w:vMerge w:val="restart"/>
                  <w:vAlign w:val="center"/>
                </w:tcPr>
                <w:p w14:paraId="3B85BA13">
                  <w:pPr>
                    <w:adjustRightInd w:val="0"/>
                    <w:snapToGrid w:val="0"/>
                    <w:jc w:val="center"/>
                    <w:rPr>
                      <w:rFonts w:hint="eastAsia"/>
                      <w:color w:val="auto"/>
                      <w:kern w:val="0"/>
                      <w:sz w:val="21"/>
                      <w:szCs w:val="21"/>
                      <w:highlight w:val="none"/>
                    </w:rPr>
                  </w:pPr>
                  <w:r>
                    <w:rPr>
                      <w:rFonts w:hint="eastAsia"/>
                      <w:color w:val="auto"/>
                      <w:kern w:val="0"/>
                      <w:sz w:val="21"/>
                      <w:szCs w:val="21"/>
                      <w:highlight w:val="none"/>
                      <w:lang w:val="en-US" w:eastAsia="zh-CN"/>
                    </w:rPr>
                    <w:t>新建渝河110千伏变电站~张程变110千伏线路工程</w:t>
                  </w:r>
                </w:p>
              </w:tc>
              <w:tc>
                <w:tcPr>
                  <w:tcW w:w="2046" w:type="dxa"/>
                  <w:vAlign w:val="center"/>
                </w:tcPr>
                <w:p w14:paraId="188B4D20">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拟建线路路径处1</w:t>
                  </w:r>
                </w:p>
              </w:tc>
              <w:tc>
                <w:tcPr>
                  <w:tcW w:w="1078" w:type="dxa"/>
                  <w:vAlign w:val="center"/>
                </w:tcPr>
                <w:p w14:paraId="67507187">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433C903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w:t>
                  </w:r>
                </w:p>
              </w:tc>
              <w:tc>
                <w:tcPr>
                  <w:tcW w:w="645" w:type="dxa"/>
                  <w:shd w:val="clear" w:color="auto" w:fill="auto"/>
                  <w:vAlign w:val="center"/>
                </w:tcPr>
                <w:p w14:paraId="05A09E9E">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36</w:t>
                  </w:r>
                </w:p>
              </w:tc>
              <w:tc>
                <w:tcPr>
                  <w:tcW w:w="645" w:type="dxa"/>
                  <w:vAlign w:val="center"/>
                </w:tcPr>
                <w:p w14:paraId="414035A6">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60</w:t>
                  </w:r>
                </w:p>
              </w:tc>
              <w:tc>
                <w:tcPr>
                  <w:tcW w:w="674" w:type="dxa"/>
                  <w:vAlign w:val="center"/>
                </w:tcPr>
                <w:p w14:paraId="4C8A792A">
                  <w:pPr>
                    <w:adjustRightInd w:val="0"/>
                    <w:snapToGrid w:val="0"/>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50</w:t>
                  </w:r>
                </w:p>
              </w:tc>
            </w:tr>
            <w:tr w14:paraId="3F156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3A86A5DF">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10#</w:t>
                  </w:r>
                </w:p>
              </w:tc>
              <w:tc>
                <w:tcPr>
                  <w:tcW w:w="916" w:type="dxa"/>
                  <w:vMerge w:val="continue"/>
                  <w:vAlign w:val="center"/>
                </w:tcPr>
                <w:p w14:paraId="468839B9">
                  <w:pPr>
                    <w:adjustRightInd w:val="0"/>
                    <w:snapToGrid w:val="0"/>
                    <w:jc w:val="center"/>
                    <w:rPr>
                      <w:rFonts w:hint="eastAsia"/>
                      <w:color w:val="auto"/>
                      <w:kern w:val="0"/>
                      <w:sz w:val="21"/>
                      <w:szCs w:val="21"/>
                      <w:highlight w:val="none"/>
                    </w:rPr>
                  </w:pPr>
                </w:p>
              </w:tc>
              <w:tc>
                <w:tcPr>
                  <w:tcW w:w="1140" w:type="dxa"/>
                  <w:vMerge w:val="continue"/>
                  <w:vAlign w:val="center"/>
                </w:tcPr>
                <w:p w14:paraId="01AA337A">
                  <w:pPr>
                    <w:adjustRightInd w:val="0"/>
                    <w:snapToGrid w:val="0"/>
                    <w:jc w:val="center"/>
                    <w:rPr>
                      <w:rFonts w:hint="eastAsia"/>
                      <w:color w:val="auto"/>
                      <w:kern w:val="0"/>
                      <w:sz w:val="21"/>
                      <w:szCs w:val="21"/>
                      <w:highlight w:val="none"/>
                    </w:rPr>
                  </w:pPr>
                </w:p>
              </w:tc>
              <w:tc>
                <w:tcPr>
                  <w:tcW w:w="2046" w:type="dxa"/>
                  <w:vAlign w:val="center"/>
                </w:tcPr>
                <w:p w14:paraId="57153AC0">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拟建线路路径处2</w:t>
                  </w:r>
                </w:p>
              </w:tc>
              <w:tc>
                <w:tcPr>
                  <w:tcW w:w="1078" w:type="dxa"/>
                  <w:vAlign w:val="center"/>
                </w:tcPr>
                <w:p w14:paraId="527368AA">
                  <w:pPr>
                    <w:adjustRightInd w:val="0"/>
                    <w:snapToGrid w:val="0"/>
                    <w:jc w:val="center"/>
                    <w:rPr>
                      <w:color w:val="auto"/>
                      <w:kern w:val="0"/>
                      <w:sz w:val="21"/>
                      <w:szCs w:val="21"/>
                      <w:highlight w:val="none"/>
                    </w:rPr>
                  </w:pPr>
                  <w:r>
                    <w:rPr>
                      <w:rFonts w:hint="eastAsia"/>
                      <w:color w:val="auto"/>
                      <w:kern w:val="0"/>
                      <w:sz w:val="21"/>
                      <w:szCs w:val="21"/>
                      <w:highlight w:val="none"/>
                    </w:rPr>
                    <w:t>1.5</w:t>
                  </w:r>
                </w:p>
              </w:tc>
              <w:tc>
                <w:tcPr>
                  <w:tcW w:w="660" w:type="dxa"/>
                  <w:shd w:val="clear" w:color="auto" w:fill="auto"/>
                  <w:vAlign w:val="center"/>
                </w:tcPr>
                <w:p w14:paraId="4E19D0B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w:t>
                  </w:r>
                </w:p>
              </w:tc>
              <w:tc>
                <w:tcPr>
                  <w:tcW w:w="645" w:type="dxa"/>
                  <w:shd w:val="clear" w:color="auto" w:fill="auto"/>
                  <w:vAlign w:val="center"/>
                </w:tcPr>
                <w:p w14:paraId="025574B9">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w:t>
                  </w:r>
                </w:p>
              </w:tc>
              <w:tc>
                <w:tcPr>
                  <w:tcW w:w="645" w:type="dxa"/>
                  <w:vMerge w:val="restart"/>
                  <w:vAlign w:val="center"/>
                </w:tcPr>
                <w:p w14:paraId="28DD3A24">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55</w:t>
                  </w:r>
                </w:p>
              </w:tc>
              <w:tc>
                <w:tcPr>
                  <w:tcW w:w="674" w:type="dxa"/>
                  <w:vMerge w:val="restart"/>
                  <w:vAlign w:val="center"/>
                </w:tcPr>
                <w:p w14:paraId="72AEE3C4">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45</w:t>
                  </w:r>
                </w:p>
              </w:tc>
            </w:tr>
            <w:tr w14:paraId="7552D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5A0CC902">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11#</w:t>
                  </w:r>
                </w:p>
              </w:tc>
              <w:tc>
                <w:tcPr>
                  <w:tcW w:w="916" w:type="dxa"/>
                  <w:vAlign w:val="center"/>
                </w:tcPr>
                <w:p w14:paraId="0F813C3A">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隆德县******</w:t>
                  </w:r>
                </w:p>
              </w:tc>
              <w:tc>
                <w:tcPr>
                  <w:tcW w:w="1140" w:type="dxa"/>
                  <w:vMerge w:val="continue"/>
                  <w:vAlign w:val="center"/>
                </w:tcPr>
                <w:p w14:paraId="41320CDA">
                  <w:pPr>
                    <w:adjustRightInd w:val="0"/>
                    <w:snapToGrid w:val="0"/>
                    <w:jc w:val="center"/>
                    <w:rPr>
                      <w:rFonts w:hint="eastAsia"/>
                      <w:color w:val="auto"/>
                      <w:kern w:val="0"/>
                      <w:sz w:val="21"/>
                      <w:szCs w:val="21"/>
                      <w:highlight w:val="none"/>
                    </w:rPr>
                  </w:pPr>
                </w:p>
              </w:tc>
              <w:tc>
                <w:tcPr>
                  <w:tcW w:w="2046" w:type="dxa"/>
                  <w:vAlign w:val="center"/>
                </w:tcPr>
                <w:p w14:paraId="1BD2212A">
                  <w:pPr>
                    <w:adjustRightInd w:val="0"/>
                    <w:snapToGri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拟建线路路径处3</w:t>
                  </w:r>
                </w:p>
              </w:tc>
              <w:tc>
                <w:tcPr>
                  <w:tcW w:w="1078" w:type="dxa"/>
                  <w:vAlign w:val="center"/>
                </w:tcPr>
                <w:p w14:paraId="7471D073">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660" w:type="dxa"/>
                  <w:shd w:val="clear" w:color="auto" w:fill="auto"/>
                  <w:vAlign w:val="center"/>
                </w:tcPr>
                <w:p w14:paraId="22C1926E">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36</w:t>
                  </w:r>
                </w:p>
              </w:tc>
              <w:tc>
                <w:tcPr>
                  <w:tcW w:w="645" w:type="dxa"/>
                  <w:shd w:val="clear" w:color="auto" w:fill="auto"/>
                  <w:vAlign w:val="center"/>
                </w:tcPr>
                <w:p w14:paraId="0BB73C3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35</w:t>
                  </w:r>
                </w:p>
              </w:tc>
              <w:tc>
                <w:tcPr>
                  <w:tcW w:w="645" w:type="dxa"/>
                  <w:vMerge w:val="continue"/>
                  <w:vAlign w:val="center"/>
                </w:tcPr>
                <w:p w14:paraId="60967AA5">
                  <w:pPr>
                    <w:adjustRightInd w:val="0"/>
                    <w:snapToGrid w:val="0"/>
                    <w:jc w:val="center"/>
                    <w:rPr>
                      <w:rFonts w:hint="eastAsia"/>
                      <w:color w:val="auto"/>
                      <w:kern w:val="0"/>
                      <w:sz w:val="21"/>
                      <w:szCs w:val="21"/>
                      <w:highlight w:val="none"/>
                    </w:rPr>
                  </w:pPr>
                </w:p>
              </w:tc>
              <w:tc>
                <w:tcPr>
                  <w:tcW w:w="674" w:type="dxa"/>
                  <w:vMerge w:val="continue"/>
                  <w:vAlign w:val="center"/>
                </w:tcPr>
                <w:p w14:paraId="62F5BA50">
                  <w:pPr>
                    <w:adjustRightInd w:val="0"/>
                    <w:snapToGrid w:val="0"/>
                    <w:jc w:val="center"/>
                    <w:rPr>
                      <w:rFonts w:hint="eastAsia"/>
                      <w:color w:val="auto"/>
                      <w:kern w:val="0"/>
                      <w:sz w:val="21"/>
                      <w:szCs w:val="21"/>
                      <w:highlight w:val="none"/>
                    </w:rPr>
                  </w:pPr>
                </w:p>
              </w:tc>
            </w:tr>
            <w:tr w14:paraId="6BCDB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shd w:val="clear" w:color="auto" w:fill="auto"/>
                  <w:vAlign w:val="center"/>
                </w:tcPr>
                <w:p w14:paraId="06543DB7">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12#</w:t>
                  </w:r>
                </w:p>
              </w:tc>
              <w:tc>
                <w:tcPr>
                  <w:tcW w:w="916" w:type="dxa"/>
                  <w:vAlign w:val="center"/>
                </w:tcPr>
                <w:p w14:paraId="66FFBEDE">
                  <w:pPr>
                    <w:adjustRightInd w:val="0"/>
                    <w:snapToGrid w:val="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隆德县******</w:t>
                  </w:r>
                </w:p>
              </w:tc>
              <w:tc>
                <w:tcPr>
                  <w:tcW w:w="1140" w:type="dxa"/>
                  <w:vMerge w:val="continue"/>
                  <w:vAlign w:val="center"/>
                </w:tcPr>
                <w:p w14:paraId="06F0E339">
                  <w:pPr>
                    <w:adjustRightInd w:val="0"/>
                    <w:snapToGrid w:val="0"/>
                    <w:jc w:val="center"/>
                    <w:rPr>
                      <w:rFonts w:hint="eastAsia"/>
                      <w:color w:val="auto"/>
                      <w:kern w:val="0"/>
                      <w:sz w:val="21"/>
                      <w:szCs w:val="21"/>
                      <w:highlight w:val="none"/>
                    </w:rPr>
                  </w:pPr>
                </w:p>
              </w:tc>
              <w:tc>
                <w:tcPr>
                  <w:tcW w:w="2046" w:type="dxa"/>
                  <w:vAlign w:val="center"/>
                </w:tcPr>
                <w:p w14:paraId="509A1379">
                  <w:pPr>
                    <w:adjustRightInd w:val="0"/>
                    <w:snapToGrid w:val="0"/>
                    <w:jc w:val="center"/>
                    <w:rPr>
                      <w:rFonts w:hint="default"/>
                      <w:color w:val="auto"/>
                      <w:kern w:val="0"/>
                      <w:sz w:val="21"/>
                      <w:szCs w:val="21"/>
                      <w:highlight w:val="none"/>
                      <w:lang w:val="en-US" w:eastAsia="zh-CN"/>
                    </w:rPr>
                  </w:pPr>
                  <w:r>
                    <w:rPr>
                      <w:rFonts w:hint="default"/>
                      <w:color w:val="auto"/>
                      <w:kern w:val="0"/>
                      <w:sz w:val="21"/>
                      <w:szCs w:val="21"/>
                      <w:highlight w:val="none"/>
                      <w:lang w:val="en-US" w:eastAsia="zh-CN"/>
                    </w:rPr>
                    <w:t>******</w:t>
                  </w:r>
                </w:p>
              </w:tc>
              <w:tc>
                <w:tcPr>
                  <w:tcW w:w="1078" w:type="dxa"/>
                  <w:vAlign w:val="center"/>
                </w:tcPr>
                <w:p w14:paraId="572C5392">
                  <w:pPr>
                    <w:adjustRightInd w:val="0"/>
                    <w:snapToGrid w:val="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660" w:type="dxa"/>
                  <w:shd w:val="clear" w:color="auto" w:fill="auto"/>
                  <w:vAlign w:val="center"/>
                </w:tcPr>
                <w:p w14:paraId="7FB8572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w:t>
                  </w:r>
                </w:p>
              </w:tc>
              <w:tc>
                <w:tcPr>
                  <w:tcW w:w="645" w:type="dxa"/>
                  <w:shd w:val="clear" w:color="auto" w:fill="auto"/>
                  <w:vAlign w:val="center"/>
                </w:tcPr>
                <w:p w14:paraId="6258ABA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31</w:t>
                  </w:r>
                </w:p>
              </w:tc>
              <w:tc>
                <w:tcPr>
                  <w:tcW w:w="645" w:type="dxa"/>
                  <w:vMerge w:val="continue"/>
                  <w:vAlign w:val="center"/>
                </w:tcPr>
                <w:p w14:paraId="644ECC8A">
                  <w:pPr>
                    <w:adjustRightInd w:val="0"/>
                    <w:snapToGrid w:val="0"/>
                    <w:jc w:val="center"/>
                    <w:rPr>
                      <w:rFonts w:hint="default" w:eastAsia="宋体"/>
                      <w:color w:val="auto"/>
                      <w:kern w:val="0"/>
                      <w:sz w:val="21"/>
                      <w:szCs w:val="21"/>
                      <w:highlight w:val="none"/>
                      <w:lang w:val="en-US" w:eastAsia="zh-CN"/>
                    </w:rPr>
                  </w:pPr>
                </w:p>
              </w:tc>
              <w:tc>
                <w:tcPr>
                  <w:tcW w:w="674" w:type="dxa"/>
                  <w:vMerge w:val="continue"/>
                  <w:vAlign w:val="center"/>
                </w:tcPr>
                <w:p w14:paraId="2B66F811">
                  <w:pPr>
                    <w:adjustRightInd w:val="0"/>
                    <w:snapToGrid w:val="0"/>
                    <w:jc w:val="center"/>
                    <w:rPr>
                      <w:rFonts w:hint="default" w:eastAsia="宋体"/>
                      <w:color w:val="auto"/>
                      <w:kern w:val="0"/>
                      <w:sz w:val="21"/>
                      <w:szCs w:val="21"/>
                      <w:highlight w:val="none"/>
                      <w:lang w:val="en-US" w:eastAsia="zh-CN"/>
                    </w:rPr>
                  </w:pPr>
                </w:p>
              </w:tc>
            </w:tr>
          </w:tbl>
          <w:p w14:paraId="6D359BE5">
            <w:pPr>
              <w:adjustRightInd w:val="0"/>
              <w:snapToGrid w:val="0"/>
              <w:spacing w:line="360" w:lineRule="auto"/>
              <w:ind w:firstLine="482" w:firstLineChars="200"/>
              <w:jc w:val="right"/>
              <w:rPr>
                <w:rFonts w:hint="eastAsia" w:ascii="Times New Roman" w:hAnsi="Times New Roman" w:eastAsia="宋体" w:cs="Times New Roman"/>
                <w:b/>
                <w:bCs/>
                <w:color w:val="auto"/>
                <w:kern w:val="0"/>
                <w:sz w:val="24"/>
                <w:highlight w:val="none"/>
                <w:lang w:eastAsia="zh-CN"/>
              </w:rPr>
            </w:pPr>
            <w:r>
              <w:rPr>
                <w:rFonts w:hint="default" w:ascii="Times New Roman" w:hAnsi="Times New Roman" w:eastAsia="黑体" w:cs="Times New Roman"/>
                <w:b/>
                <w:bCs/>
                <w:color w:val="auto"/>
                <w:kern w:val="0"/>
                <w:sz w:val="24"/>
                <w:highlight w:val="none"/>
              </w:rPr>
              <w:t>表3-</w:t>
            </w:r>
            <w:r>
              <w:rPr>
                <w:rFonts w:hint="default" w:ascii="Times New Roman" w:hAnsi="Times New Roman" w:eastAsia="黑体" w:cs="Times New Roman"/>
                <w:b/>
                <w:bCs/>
                <w:color w:val="auto"/>
                <w:kern w:val="0"/>
                <w:sz w:val="24"/>
                <w:highlight w:val="none"/>
                <w:lang w:val="en-US" w:eastAsia="zh-CN"/>
              </w:rPr>
              <w:t>3</w:t>
            </w:r>
            <w:r>
              <w:rPr>
                <w:rFonts w:hint="default" w:ascii="Times New Roman" w:hAnsi="Times New Roman" w:eastAsia="黑体" w:cs="Times New Roman"/>
                <w:b/>
                <w:bCs/>
                <w:color w:val="auto"/>
                <w:kern w:val="0"/>
                <w:sz w:val="24"/>
                <w:highlight w:val="none"/>
              </w:rPr>
              <w:t xml:space="preserve">  声环境现状监测结果统计表</w:t>
            </w:r>
            <w:r>
              <w:rPr>
                <w:rFonts w:hint="eastAsia" w:ascii="Times New Roman" w:hAnsi="Times New Roman" w:eastAsia="黑体" w:cs="Times New Roman"/>
                <w:b/>
                <w:bCs/>
                <w:color w:val="auto"/>
                <w:kern w:val="0"/>
                <w:sz w:val="24"/>
                <w:highlight w:val="none"/>
                <w:lang w:val="en-US" w:eastAsia="zh-CN"/>
              </w:rPr>
              <w:t xml:space="preserve">          </w:t>
            </w:r>
            <w:r>
              <w:rPr>
                <w:rFonts w:hint="eastAsia" w:ascii="Times New Roman" w:hAnsi="Times New Roman" w:eastAsia="黑体" w:cs="Times New Roman"/>
                <w:b w:val="0"/>
                <w:bCs w:val="0"/>
                <w:color w:val="auto"/>
                <w:kern w:val="0"/>
                <w:sz w:val="24"/>
                <w:highlight w:val="none"/>
                <w:lang w:val="en-US" w:eastAsia="zh-CN"/>
              </w:rPr>
              <w:t>单位：</w:t>
            </w:r>
            <w:r>
              <w:rPr>
                <w:rFonts w:hint="eastAsia"/>
                <w:b w:val="0"/>
                <w:bCs w:val="0"/>
                <w:color w:val="auto"/>
                <w:kern w:val="0"/>
                <w:sz w:val="21"/>
                <w:szCs w:val="21"/>
                <w:highlight w:val="none"/>
              </w:rPr>
              <w:t>dB</w:t>
            </w:r>
            <w:r>
              <w:rPr>
                <w:rFonts w:hint="eastAsia"/>
                <w:b w:val="0"/>
                <w:bCs w:val="0"/>
                <w:color w:val="auto"/>
                <w:kern w:val="0"/>
                <w:sz w:val="21"/>
                <w:szCs w:val="21"/>
                <w:highlight w:val="none"/>
                <w:lang w:val="en-US" w:eastAsia="zh-CN"/>
              </w:rPr>
              <w:t>(</w:t>
            </w:r>
            <w:r>
              <w:rPr>
                <w:rFonts w:hint="eastAsia"/>
                <w:b w:val="0"/>
                <w:bCs w:val="0"/>
                <w:color w:val="auto"/>
                <w:kern w:val="0"/>
                <w:sz w:val="21"/>
                <w:szCs w:val="21"/>
                <w:highlight w:val="none"/>
              </w:rPr>
              <w:t>A</w:t>
            </w:r>
            <w:r>
              <w:rPr>
                <w:rFonts w:hint="eastAsia"/>
                <w:b w:val="0"/>
                <w:bCs w:val="0"/>
                <w:color w:val="auto"/>
                <w:kern w:val="0"/>
                <w:sz w:val="21"/>
                <w:szCs w:val="21"/>
                <w:highlight w:val="none"/>
                <w:lang w:val="en-US" w:eastAsia="zh-CN"/>
              </w:rPr>
              <w:t>)</w:t>
            </w:r>
          </w:p>
          <w:p w14:paraId="50CC43F2">
            <w:pPr>
              <w:adjustRightInd w:val="0"/>
              <w:snapToGrid w:val="0"/>
              <w:spacing w:line="360" w:lineRule="auto"/>
              <w:ind w:firstLine="480" w:firstLineChars="200"/>
              <w:jc w:val="left"/>
              <w:rPr>
                <w:color w:val="auto"/>
                <w:kern w:val="0"/>
                <w:sz w:val="24"/>
                <w:highlight w:val="none"/>
              </w:rPr>
            </w:pPr>
            <w:r>
              <w:rPr>
                <w:color w:val="auto"/>
                <w:kern w:val="0"/>
                <w:sz w:val="24"/>
                <w:highlight w:val="none"/>
              </w:rPr>
              <w:t>10）监测结果分析</w:t>
            </w:r>
          </w:p>
          <w:p w14:paraId="49150FD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拟建</w:t>
            </w:r>
            <w:r>
              <w:rPr>
                <w:rFonts w:hint="eastAsia" w:ascii="Times New Roman" w:hAnsi="Times New Roman" w:cs="Times New Roman"/>
                <w:color w:val="auto"/>
                <w:sz w:val="24"/>
                <w:szCs w:val="24"/>
                <w:highlight w:val="none"/>
                <w:lang w:val="en-US" w:eastAsia="zh-CN"/>
              </w:rPr>
              <w:t>张程</w:t>
            </w:r>
            <w:r>
              <w:rPr>
                <w:rFonts w:hint="default" w:ascii="Times New Roman" w:hAnsi="Times New Roman" w:cs="Times New Roman"/>
                <w:color w:val="auto"/>
                <w:sz w:val="24"/>
                <w:szCs w:val="24"/>
                <w:highlight w:val="none"/>
              </w:rPr>
              <w:t>变电站</w:t>
            </w:r>
            <w:r>
              <w:rPr>
                <w:rFonts w:hint="eastAsia" w:ascii="Times New Roman" w:hAnsi="Times New Roman" w:cs="Times New Roman"/>
                <w:color w:val="auto"/>
                <w:sz w:val="24"/>
                <w:szCs w:val="24"/>
                <w:highlight w:val="none"/>
                <w:lang w:val="en-US" w:eastAsia="zh-CN"/>
              </w:rPr>
              <w:t>站界</w:t>
            </w:r>
            <w:r>
              <w:rPr>
                <w:rFonts w:hint="default" w:ascii="Times New Roman" w:hAnsi="Times New Roman" w:cs="Times New Roman"/>
                <w:color w:val="auto"/>
                <w:sz w:val="24"/>
                <w:szCs w:val="24"/>
                <w:highlight w:val="none"/>
              </w:rPr>
              <w:t>处的噪声</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rPr>
              <w:t>值</w:t>
            </w:r>
            <w:r>
              <w:rPr>
                <w:rFonts w:hint="default" w:ascii="Times New Roman" w:hAnsi="Times New Roman" w:cs="Times New Roman"/>
                <w:color w:val="auto"/>
                <w:sz w:val="24"/>
                <w:szCs w:val="24"/>
                <w:highlight w:val="none"/>
                <w:lang w:val="en-US" w:eastAsia="zh-CN"/>
              </w:rPr>
              <w:t>昼间</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其环境敏感目标处的</w:t>
            </w:r>
            <w:r>
              <w:rPr>
                <w:rFonts w:hint="default" w:ascii="Times New Roman" w:hAnsi="Times New Roman" w:cs="Times New Roman"/>
                <w:color w:val="auto"/>
                <w:sz w:val="24"/>
                <w:szCs w:val="24"/>
                <w:highlight w:val="none"/>
              </w:rPr>
              <w:t>噪声</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rPr>
              <w:t>值</w:t>
            </w:r>
            <w:r>
              <w:rPr>
                <w:rFonts w:hint="default" w:ascii="Times New Roman" w:hAnsi="Times New Roman" w:cs="Times New Roman"/>
                <w:color w:val="auto"/>
                <w:sz w:val="24"/>
                <w:szCs w:val="24"/>
                <w:highlight w:val="none"/>
                <w:lang w:val="en-US" w:eastAsia="zh-CN"/>
              </w:rPr>
              <w:t>昼间</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29</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val="en-US" w:eastAsia="zh-CN"/>
              </w:rPr>
              <w:t>。以上监测值均</w:t>
            </w:r>
            <w:r>
              <w:rPr>
                <w:rFonts w:hint="default" w:ascii="Times New Roman" w:hAnsi="Times New Roman" w:cs="Times New Roman"/>
                <w:color w:val="auto"/>
                <w:sz w:val="24"/>
                <w:szCs w:val="24"/>
                <w:highlight w:val="none"/>
              </w:rPr>
              <w:t>低于《声环境质量标准》（GB3096-2008）</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类标准，即：昼间6</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dB(A)、夜间5</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dB(A)。</w:t>
            </w:r>
          </w:p>
          <w:p w14:paraId="0E106CB3">
            <w:pPr>
              <w:spacing w:line="360" w:lineRule="auto"/>
              <w:ind w:firstLine="470" w:firstLineChars="196"/>
              <w:jc w:val="left"/>
              <w:rPr>
                <w:color w:val="auto"/>
                <w:highlight w:val="none"/>
              </w:rPr>
            </w:pPr>
            <w:r>
              <w:rPr>
                <w:rFonts w:hint="default" w:ascii="Times New Roman" w:hAnsi="Times New Roman" w:cs="Times New Roman"/>
                <w:color w:val="auto"/>
                <w:sz w:val="24"/>
                <w:szCs w:val="24"/>
                <w:highlight w:val="none"/>
              </w:rPr>
              <w:t>拟建线路</w:t>
            </w:r>
            <w:r>
              <w:rPr>
                <w:rFonts w:hint="eastAsia" w:ascii="Times New Roman" w:hAnsi="Times New Roman" w:cs="Times New Roman"/>
                <w:color w:val="auto"/>
                <w:sz w:val="24"/>
                <w:szCs w:val="24"/>
                <w:highlight w:val="none"/>
                <w:lang w:val="en-US" w:eastAsia="zh-CN"/>
              </w:rPr>
              <w:t>路径</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的噪声监测</w:t>
            </w:r>
            <w:r>
              <w:rPr>
                <w:rFonts w:hint="default" w:ascii="Times New Roman" w:hAnsi="Times New Roman" w:cs="Times New Roman"/>
                <w:color w:val="auto"/>
                <w:sz w:val="24"/>
                <w:szCs w:val="24"/>
                <w:highlight w:val="none"/>
                <w:lang w:val="en-US" w:eastAsia="zh-CN"/>
              </w:rPr>
              <w:t>值昼间</w:t>
            </w:r>
            <w:r>
              <w:rPr>
                <w:rFonts w:hint="eastAsia" w:cs="Times New Roman"/>
                <w:color w:val="auto"/>
                <w:sz w:val="24"/>
                <w:szCs w:val="24"/>
                <w:highlight w:val="none"/>
                <w:lang w:val="en-US" w:eastAsia="zh-CN"/>
              </w:rPr>
              <w:t>40</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低于</w:t>
            </w:r>
            <w:r>
              <w:rPr>
                <w:rFonts w:hint="default" w:ascii="Times New Roman" w:hAnsi="Times New Roman" w:cs="Times New Roman"/>
                <w:color w:val="auto"/>
                <w:sz w:val="24"/>
                <w:szCs w:val="24"/>
                <w:highlight w:val="none"/>
              </w:rPr>
              <w:t>《声环境质量标准》（GB3096-2008）</w:t>
            </w:r>
            <w:r>
              <w:rPr>
                <w:rFonts w:hint="eastAsia" w:cs="Times New Roman"/>
                <w:color w:val="auto"/>
                <w:sz w:val="24"/>
                <w:szCs w:val="24"/>
                <w:highlight w:val="none"/>
                <w:lang w:val="en-US" w:eastAsia="zh-CN"/>
              </w:rPr>
              <w:t>2类</w:t>
            </w:r>
            <w:r>
              <w:rPr>
                <w:rFonts w:hint="default" w:ascii="Times New Roman" w:hAnsi="Times New Roman" w:cs="Times New Roman"/>
                <w:color w:val="auto"/>
                <w:sz w:val="24"/>
                <w:szCs w:val="24"/>
                <w:highlight w:val="none"/>
                <w:lang w:val="en-US" w:eastAsia="zh-CN"/>
              </w:rPr>
              <w:t>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即：昼间</w:t>
            </w:r>
            <w:r>
              <w:rPr>
                <w:rFonts w:hint="eastAsia"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dB(A)、夜间</w:t>
            </w:r>
            <w:r>
              <w:rPr>
                <w:rFonts w:hint="eastAsia"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dB(A)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其余</w:t>
            </w:r>
            <w:r>
              <w:rPr>
                <w:rFonts w:hint="default" w:ascii="Times New Roman" w:hAnsi="Times New Roman" w:cs="Times New Roman"/>
                <w:color w:val="auto"/>
                <w:sz w:val="24"/>
                <w:szCs w:val="24"/>
                <w:highlight w:val="none"/>
              </w:rPr>
              <w:t>拟建线路</w:t>
            </w:r>
            <w:r>
              <w:rPr>
                <w:rFonts w:hint="eastAsia" w:ascii="Times New Roman" w:hAnsi="Times New Roman" w:cs="Times New Roman"/>
                <w:color w:val="auto"/>
                <w:sz w:val="24"/>
                <w:szCs w:val="24"/>
                <w:highlight w:val="none"/>
                <w:lang w:val="en-US" w:eastAsia="zh-CN"/>
              </w:rPr>
              <w:t>路径上</w:t>
            </w:r>
            <w:r>
              <w:rPr>
                <w:rFonts w:hint="default" w:ascii="Times New Roman" w:hAnsi="Times New Roman" w:cs="Times New Roman"/>
                <w:color w:val="auto"/>
                <w:sz w:val="24"/>
                <w:szCs w:val="24"/>
                <w:highlight w:val="none"/>
              </w:rPr>
              <w:t>的噪声监测</w:t>
            </w:r>
            <w:r>
              <w:rPr>
                <w:rFonts w:hint="default" w:ascii="Times New Roman" w:hAnsi="Times New Roman" w:cs="Times New Roman"/>
                <w:color w:val="auto"/>
                <w:sz w:val="24"/>
                <w:szCs w:val="24"/>
                <w:highlight w:val="none"/>
                <w:lang w:val="en-US" w:eastAsia="zh-CN"/>
              </w:rPr>
              <w:t>值昼间</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sz w:val="24"/>
                <w:szCs w:val="24"/>
                <w:highlight w:val="none"/>
                <w:lang w:val="en-US" w:eastAsia="zh-CN"/>
              </w:rPr>
              <w:t>其环境敏感目标处的</w:t>
            </w:r>
            <w:r>
              <w:rPr>
                <w:rFonts w:hint="default" w:ascii="Times New Roman" w:hAnsi="Times New Roman" w:cs="Times New Roman"/>
                <w:color w:val="auto"/>
                <w:sz w:val="24"/>
                <w:szCs w:val="24"/>
                <w:highlight w:val="none"/>
              </w:rPr>
              <w:t>噪声</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rPr>
              <w:t>值</w:t>
            </w:r>
            <w:r>
              <w:rPr>
                <w:rFonts w:hint="default" w:ascii="Times New Roman" w:hAnsi="Times New Roman" w:cs="Times New Roman"/>
                <w:color w:val="auto"/>
                <w:sz w:val="24"/>
                <w:szCs w:val="24"/>
                <w:highlight w:val="none"/>
                <w:lang w:val="en-US" w:eastAsia="zh-CN"/>
              </w:rPr>
              <w:t>昼间</w:t>
            </w:r>
            <w:r>
              <w:rPr>
                <w:rFonts w:hint="eastAsia" w:ascii="Times New Roman" w:hAnsi="Times New Roman" w:cs="Times New Roman"/>
                <w:color w:val="auto"/>
                <w:sz w:val="24"/>
                <w:szCs w:val="24"/>
                <w:highlight w:val="none"/>
                <w:lang w:val="en-US" w:eastAsia="zh-CN"/>
              </w:rPr>
              <w:t>3</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eastAsia" w:ascii="Times New Roman" w:hAnsi="Times New Roman" w:cs="Times New Roman"/>
                <w:color w:val="auto"/>
                <w:sz w:val="24"/>
                <w:szCs w:val="24"/>
                <w:highlight w:val="none"/>
                <w:lang w:val="en-US" w:eastAsia="zh-CN"/>
              </w:rPr>
              <w:t>31</w:t>
            </w:r>
            <w:r>
              <w:rPr>
                <w:rFonts w:hint="default" w:ascii="Times New Roman" w:hAnsi="Times New Roman" w:cs="Times New Roman"/>
                <w:color w:val="auto"/>
                <w:sz w:val="24"/>
                <w:szCs w:val="24"/>
                <w:highlight w:val="none"/>
              </w:rPr>
              <w:t>dB(A)</w:t>
            </w:r>
            <w:r>
              <w:rPr>
                <w:rFonts w:hint="eastAsia" w:ascii="Times New Roman" w:hAnsi="Times New Roman" w:cs="Times New Roman"/>
                <w:color w:val="auto"/>
                <w:sz w:val="24"/>
                <w:szCs w:val="24"/>
                <w:highlight w:val="none"/>
                <w:lang w:val="en-US" w:eastAsia="zh-CN"/>
              </w:rPr>
              <w:t>，以上监测值均</w:t>
            </w:r>
            <w:r>
              <w:rPr>
                <w:rFonts w:hint="default" w:ascii="Times New Roman" w:hAnsi="Times New Roman" w:cs="Times New Roman"/>
                <w:color w:val="auto"/>
                <w:sz w:val="24"/>
                <w:szCs w:val="24"/>
                <w:highlight w:val="none"/>
              </w:rPr>
              <w:t>低于《声环境质量标准》（GB3096-2008）</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类标准，即：昼间</w:t>
            </w:r>
            <w:r>
              <w:rPr>
                <w:rFonts w:hint="eastAsia" w:ascii="Times New Roman" w:hAnsi="Times New Roman" w:cs="Times New Roman"/>
                <w:color w:val="auto"/>
                <w:sz w:val="24"/>
                <w:szCs w:val="24"/>
                <w:highlight w:val="none"/>
                <w:lang w:val="en-US" w:eastAsia="zh-CN"/>
              </w:rPr>
              <w:t>55</w:t>
            </w:r>
            <w:r>
              <w:rPr>
                <w:rFonts w:hint="default" w:ascii="Times New Roman" w:hAnsi="Times New Roman" w:cs="Times New Roman"/>
                <w:color w:val="auto"/>
                <w:sz w:val="24"/>
                <w:szCs w:val="24"/>
                <w:highlight w:val="none"/>
              </w:rPr>
              <w:t>dB(A)、夜间</w:t>
            </w:r>
            <w:r>
              <w:rPr>
                <w:rFonts w:hint="eastAsia" w:ascii="Times New Roman" w:hAnsi="Times New Roman" w:cs="Times New Roman"/>
                <w:color w:val="auto"/>
                <w:sz w:val="24"/>
                <w:szCs w:val="24"/>
                <w:highlight w:val="none"/>
                <w:lang w:val="en-US" w:eastAsia="zh-CN"/>
              </w:rPr>
              <w:t>45</w:t>
            </w:r>
            <w:r>
              <w:rPr>
                <w:rFonts w:hint="default" w:ascii="Times New Roman" w:hAnsi="Times New Roman" w:cs="Times New Roman"/>
                <w:color w:val="auto"/>
                <w:sz w:val="24"/>
                <w:szCs w:val="24"/>
                <w:highlight w:val="none"/>
              </w:rPr>
              <w:t>dB(A)。</w:t>
            </w:r>
          </w:p>
          <w:p w14:paraId="576BBFA0">
            <w:pPr>
              <w:adjustRightInd w:val="0"/>
              <w:snapToGrid w:val="0"/>
              <w:spacing w:line="360" w:lineRule="auto"/>
              <w:ind w:firstLine="482" w:firstLineChars="200"/>
              <w:jc w:val="left"/>
              <w:rPr>
                <w:color w:val="auto"/>
                <w:kern w:val="0"/>
                <w:sz w:val="24"/>
                <w:highlight w:val="none"/>
              </w:rPr>
            </w:pPr>
            <w:r>
              <w:rPr>
                <w:b/>
                <w:bCs/>
                <w:color w:val="auto"/>
                <w:kern w:val="0"/>
                <w:sz w:val="24"/>
                <w:highlight w:val="none"/>
              </w:rPr>
              <w:t>（3）地表水环境现状</w:t>
            </w:r>
          </w:p>
          <w:p w14:paraId="076BACFE">
            <w:pPr>
              <w:autoSpaceDE w:val="0"/>
              <w:autoSpaceDN w:val="0"/>
              <w:spacing w:line="360" w:lineRule="auto"/>
              <w:ind w:firstLine="480" w:firstLineChars="200"/>
              <w:rPr>
                <w:color w:val="auto"/>
                <w:kern w:val="0"/>
                <w:sz w:val="24"/>
                <w:szCs w:val="24"/>
                <w:highlight w:val="none"/>
              </w:rPr>
            </w:pPr>
            <w:r>
              <w:rPr>
                <w:color w:val="auto"/>
                <w:kern w:val="0"/>
                <w:sz w:val="24"/>
                <w:szCs w:val="24"/>
                <w:highlight w:val="none"/>
              </w:rPr>
              <w:t>据现场调查，本项目输电线路</w:t>
            </w:r>
            <w:r>
              <w:rPr>
                <w:rFonts w:hint="eastAsia" w:eastAsia="宋体" w:cs="Times New Roman"/>
                <w:color w:val="auto"/>
                <w:spacing w:val="0"/>
                <w:w w:val="100"/>
                <w:position w:val="0"/>
                <w:sz w:val="24"/>
                <w:szCs w:val="24"/>
                <w:highlight w:val="none"/>
                <w:lang w:val="en-US" w:eastAsia="zh-CN"/>
              </w:rPr>
              <w:t>一档跨越筛子河及其他冲沟等</w:t>
            </w:r>
            <w:r>
              <w:rPr>
                <w:color w:val="auto"/>
                <w:kern w:val="0"/>
                <w:sz w:val="24"/>
                <w:szCs w:val="24"/>
                <w:highlight w:val="none"/>
              </w:rPr>
              <w:t>。</w:t>
            </w:r>
            <w:r>
              <w:rPr>
                <w:rFonts w:hint="eastAsia"/>
                <w:color w:val="auto"/>
                <w:kern w:val="0"/>
                <w:sz w:val="24"/>
                <w:szCs w:val="24"/>
                <w:highlight w:val="none"/>
                <w:lang w:val="en-US" w:eastAsia="zh-CN"/>
              </w:rPr>
              <w:t>筛子河为渝河右岸支流，是渝河主要支流之一。</w:t>
            </w:r>
            <w:r>
              <w:rPr>
                <w:rFonts w:hint="eastAsia"/>
                <w:bCs/>
                <w:color w:val="auto"/>
                <w:sz w:val="24"/>
                <w:highlight w:val="none"/>
              </w:rPr>
              <w:t>根据《202</w:t>
            </w:r>
            <w:r>
              <w:rPr>
                <w:rFonts w:hint="eastAsia"/>
                <w:bCs/>
                <w:color w:val="auto"/>
                <w:sz w:val="24"/>
                <w:highlight w:val="none"/>
                <w:lang w:val="en-US" w:eastAsia="zh-CN"/>
              </w:rPr>
              <w:t>4</w:t>
            </w:r>
            <w:r>
              <w:rPr>
                <w:rFonts w:hint="eastAsia"/>
                <w:bCs/>
                <w:color w:val="auto"/>
                <w:sz w:val="24"/>
                <w:highlight w:val="none"/>
              </w:rPr>
              <w:t>年宁夏生态环境质量状况》</w:t>
            </w:r>
            <w:r>
              <w:rPr>
                <w:rFonts w:hint="eastAsia"/>
                <w:bCs/>
                <w:color w:val="auto"/>
                <w:sz w:val="24"/>
                <w:highlight w:val="none"/>
                <w:lang w:val="en-US" w:eastAsia="zh-CN"/>
              </w:rPr>
              <w:t>中渝河-联财断面水质监测数据和结论，渝河-联财断面2024年各项水质监测因子均满足《地表水环境质量标准》（GB3838-2002）</w:t>
            </w:r>
            <w:r>
              <w:rPr>
                <w:rFonts w:hint="eastAsia" w:ascii="宋体" w:hAnsi="宋体" w:eastAsia="宋体" w:cs="宋体"/>
                <w:bCs/>
                <w:color w:val="auto"/>
                <w:sz w:val="24"/>
                <w:highlight w:val="none"/>
                <w:lang w:val="en-US" w:eastAsia="zh-CN"/>
              </w:rPr>
              <w:t>Ⅲ</w:t>
            </w:r>
            <w:r>
              <w:rPr>
                <w:rFonts w:hint="eastAsia"/>
                <w:bCs/>
                <w:color w:val="auto"/>
                <w:sz w:val="24"/>
                <w:highlight w:val="none"/>
                <w:lang w:val="en-US" w:eastAsia="zh-CN"/>
              </w:rPr>
              <w:t>类标准要求。</w:t>
            </w:r>
          </w:p>
          <w:p w14:paraId="233DA857">
            <w:pPr>
              <w:pStyle w:val="18"/>
              <w:numPr>
                <w:ilvl w:val="0"/>
                <w:numId w:val="7"/>
              </w:numPr>
              <w:adjustRightInd w:val="0"/>
              <w:spacing w:line="360" w:lineRule="auto"/>
              <w:ind w:firstLine="482" w:firstLineChars="200"/>
              <w:rPr>
                <w:b/>
                <w:bCs/>
                <w:color w:val="auto"/>
                <w:kern w:val="0"/>
                <w:sz w:val="24"/>
                <w:szCs w:val="24"/>
                <w:highlight w:val="none"/>
              </w:rPr>
            </w:pPr>
            <w:r>
              <w:rPr>
                <w:rFonts w:hint="eastAsia"/>
                <w:b/>
                <w:bCs/>
                <w:color w:val="auto"/>
                <w:kern w:val="0"/>
                <w:sz w:val="24"/>
                <w:szCs w:val="24"/>
                <w:highlight w:val="none"/>
              </w:rPr>
              <w:t>环境空气质量</w:t>
            </w:r>
          </w:p>
          <w:p w14:paraId="205688F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w:t>
            </w:r>
            <w:r>
              <w:rPr>
                <w:rFonts w:hint="default" w:ascii="Times New Roman" w:hAnsi="Times New Roman" w:cs="Times New Roman"/>
                <w:color w:val="auto"/>
                <w:kern w:val="0"/>
                <w:sz w:val="24"/>
                <w:highlight w:val="none"/>
                <w:lang w:eastAsia="zh-CN"/>
              </w:rPr>
              <w:t>位于</w:t>
            </w:r>
            <w:r>
              <w:rPr>
                <w:rFonts w:hint="eastAsia" w:ascii="Times New Roman" w:hAnsi="Times New Roman" w:eastAsia="宋体" w:cs="Times New Roman"/>
                <w:color w:val="auto"/>
                <w:sz w:val="24"/>
                <w:highlight w:val="none"/>
                <w:lang w:val="en-US" w:eastAsia="zh-CN"/>
              </w:rPr>
              <w:t>固原市隆德县</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sz w:val="24"/>
                <w:highlight w:val="none"/>
              </w:rPr>
              <w:t>根据宁夏回族自治区生态环境厅印发的《202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年宁夏生态环境质量状况》中</w:t>
            </w:r>
            <w:r>
              <w:rPr>
                <w:rFonts w:hint="eastAsia" w:ascii="宋体" w:hAnsi="宋体"/>
                <w:color w:val="auto"/>
                <w:sz w:val="24"/>
                <w:szCs w:val="24"/>
                <w:highlight w:val="none"/>
                <w:lang w:val="en-US" w:eastAsia="zh-CN"/>
              </w:rPr>
              <w:t>隆德县</w:t>
            </w:r>
            <w:r>
              <w:rPr>
                <w:rFonts w:hint="default" w:ascii="Times New Roman" w:hAnsi="Times New Roman" w:cs="Times New Roman"/>
                <w:color w:val="auto"/>
                <w:sz w:val="24"/>
                <w:highlight w:val="none"/>
              </w:rPr>
              <w:t>环境空气质量</w:t>
            </w:r>
            <w:r>
              <w:rPr>
                <w:rFonts w:hint="eastAsia" w:ascii="Times New Roman" w:hAnsi="Times New Roman" w:cs="Times New Roman"/>
                <w:color w:val="auto"/>
                <w:sz w:val="24"/>
                <w:highlight w:val="none"/>
                <w:lang w:val="en-US" w:eastAsia="zh-CN"/>
              </w:rPr>
              <w:t>监测</w:t>
            </w:r>
            <w:r>
              <w:rPr>
                <w:rFonts w:hint="default" w:ascii="Times New Roman" w:hAnsi="Times New Roman" w:cs="Times New Roman"/>
                <w:color w:val="auto"/>
                <w:sz w:val="24"/>
                <w:highlight w:val="none"/>
              </w:rPr>
              <w:t>数据</w:t>
            </w:r>
            <w:r>
              <w:rPr>
                <w:rFonts w:hint="eastAsia" w:ascii="Times New Roman" w:hAnsi="Times New Roman" w:cs="Times New Roman"/>
                <w:color w:val="auto"/>
                <w:sz w:val="24"/>
                <w:highlight w:val="none"/>
                <w:lang w:val="en-US" w:eastAsia="zh-CN"/>
              </w:rPr>
              <w:t>和结论</w:t>
            </w:r>
            <w:r>
              <w:rPr>
                <w:rFonts w:hint="default" w:ascii="Times New Roman" w:hAnsi="Times New Roman" w:cs="Times New Roman"/>
                <w:color w:val="auto"/>
                <w:sz w:val="24"/>
                <w:highlight w:val="none"/>
              </w:rPr>
              <w:t>进行项目所在区域达标的判定</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具体监测结果见表</w:t>
            </w:r>
            <w:r>
              <w:rPr>
                <w:rFonts w:hint="eastAsia" w:ascii="Times New Roman" w:hAnsi="Times New Roman" w:cs="Times New Roman"/>
                <w:color w:val="auto"/>
                <w:kern w:val="0"/>
                <w:sz w:val="24"/>
                <w:highlight w:val="none"/>
                <w:lang w:val="en-US" w:eastAsia="zh-CN"/>
              </w:rPr>
              <w:t>3-</w:t>
            </w:r>
            <w:r>
              <w:rPr>
                <w:rFonts w:hint="eastAsia" w:cs="Times New Roman"/>
                <w:color w:val="auto"/>
                <w:kern w:val="0"/>
                <w:sz w:val="24"/>
                <w:highlight w:val="none"/>
                <w:lang w:val="en-US" w:eastAsia="zh-CN"/>
              </w:rPr>
              <w:t>4</w:t>
            </w:r>
            <w:r>
              <w:rPr>
                <w:rFonts w:hint="default" w:ascii="Times New Roman" w:hAnsi="Times New Roman" w:cs="Times New Roman"/>
                <w:color w:val="auto"/>
                <w:kern w:val="0"/>
                <w:sz w:val="24"/>
                <w:highlight w:val="none"/>
              </w:rPr>
              <w:t>。</w:t>
            </w:r>
          </w:p>
          <w:p w14:paraId="69C40349">
            <w:pPr>
              <w:spacing w:line="360" w:lineRule="auto"/>
              <w:jc w:val="right"/>
              <w:rPr>
                <w:rFonts w:hint="default" w:ascii="Times New Roman" w:hAnsi="Times New Roman" w:eastAsia="黑体" w:cs="Times New Roman"/>
                <w:b/>
                <w:color w:val="auto"/>
                <w:kern w:val="0"/>
                <w:sz w:val="24"/>
                <w:highlight w:val="none"/>
                <w:lang w:val="en-US" w:eastAsia="zh-CN"/>
              </w:rPr>
            </w:pPr>
            <w:r>
              <w:rPr>
                <w:rFonts w:hint="eastAsia" w:ascii="Times New Roman" w:hAnsi="Times New Roman" w:eastAsia="黑体" w:cs="Times New Roman"/>
                <w:b/>
                <w:color w:val="auto"/>
                <w:kern w:val="0"/>
                <w:sz w:val="24"/>
                <w:highlight w:val="none"/>
                <w:lang w:val="en-US" w:eastAsia="zh-CN"/>
              </w:rPr>
              <w:t xml:space="preserve">             </w:t>
            </w:r>
            <w:r>
              <w:rPr>
                <w:rFonts w:hint="default" w:ascii="Times New Roman" w:hAnsi="Times New Roman" w:eastAsia="黑体" w:cs="Times New Roman"/>
                <w:b/>
                <w:color w:val="auto"/>
                <w:kern w:val="0"/>
                <w:sz w:val="24"/>
                <w:highlight w:val="none"/>
                <w:lang w:val="en-US" w:eastAsia="zh-CN"/>
              </w:rPr>
              <w:t>表3-</w:t>
            </w:r>
            <w:r>
              <w:rPr>
                <w:rFonts w:hint="eastAsia" w:eastAsia="黑体" w:cs="Times New Roman"/>
                <w:b/>
                <w:color w:val="auto"/>
                <w:kern w:val="0"/>
                <w:sz w:val="24"/>
                <w:highlight w:val="none"/>
                <w:lang w:val="en-US" w:eastAsia="zh-CN"/>
              </w:rPr>
              <w:t>4</w:t>
            </w:r>
            <w:r>
              <w:rPr>
                <w:rFonts w:hint="default" w:ascii="Times New Roman" w:hAnsi="Times New Roman" w:eastAsia="黑体" w:cs="Times New Roman"/>
                <w:b/>
                <w:color w:val="auto"/>
                <w:kern w:val="0"/>
                <w:sz w:val="24"/>
                <w:highlight w:val="none"/>
                <w:lang w:val="en-US" w:eastAsia="zh-CN"/>
              </w:rPr>
              <w:t xml:space="preserve">  </w:t>
            </w:r>
            <w:r>
              <w:rPr>
                <w:rFonts w:hint="eastAsia" w:ascii="Times New Roman" w:hAnsi="Times New Roman" w:eastAsia="黑体" w:cs="Times New Roman"/>
                <w:b/>
                <w:color w:val="auto"/>
                <w:kern w:val="0"/>
                <w:sz w:val="24"/>
                <w:highlight w:val="none"/>
                <w:lang w:val="en-US" w:eastAsia="zh-CN"/>
              </w:rPr>
              <w:t>隆德县</w:t>
            </w:r>
            <w:r>
              <w:rPr>
                <w:rFonts w:hint="default" w:ascii="Times New Roman" w:hAnsi="Times New Roman" w:eastAsia="黑体" w:cs="Times New Roman"/>
                <w:b/>
                <w:color w:val="auto"/>
                <w:kern w:val="0"/>
                <w:sz w:val="24"/>
                <w:highlight w:val="none"/>
                <w:lang w:val="en-US" w:eastAsia="zh-CN"/>
              </w:rPr>
              <w:t>202</w:t>
            </w:r>
            <w:r>
              <w:rPr>
                <w:rFonts w:hint="eastAsia" w:ascii="Times New Roman" w:hAnsi="Times New Roman" w:eastAsia="黑体" w:cs="Times New Roman"/>
                <w:b/>
                <w:color w:val="auto"/>
                <w:kern w:val="0"/>
                <w:sz w:val="24"/>
                <w:highlight w:val="none"/>
                <w:lang w:val="en-US" w:eastAsia="zh-CN"/>
              </w:rPr>
              <w:t>4</w:t>
            </w:r>
            <w:r>
              <w:rPr>
                <w:rFonts w:hint="default" w:ascii="Times New Roman" w:hAnsi="Times New Roman" w:eastAsia="黑体" w:cs="Times New Roman"/>
                <w:b/>
                <w:color w:val="auto"/>
                <w:kern w:val="0"/>
                <w:sz w:val="24"/>
                <w:highlight w:val="none"/>
                <w:lang w:val="en-US" w:eastAsia="zh-CN"/>
              </w:rPr>
              <w:t>年</w:t>
            </w:r>
            <w:r>
              <w:rPr>
                <w:rFonts w:hint="eastAsia" w:ascii="Times New Roman" w:hAnsi="Times New Roman" w:eastAsia="黑体" w:cs="Times New Roman"/>
                <w:b/>
                <w:color w:val="auto"/>
                <w:kern w:val="0"/>
                <w:sz w:val="24"/>
                <w:highlight w:val="none"/>
                <w:lang w:val="en-US" w:eastAsia="zh-CN"/>
              </w:rPr>
              <w:t>基本污染物监测结果</w:t>
            </w:r>
            <w:r>
              <w:rPr>
                <w:rFonts w:hint="default" w:ascii="Times New Roman" w:hAnsi="Times New Roman" w:eastAsia="黑体" w:cs="Times New Roman"/>
                <w:b/>
                <w:color w:val="auto"/>
                <w:kern w:val="0"/>
                <w:sz w:val="24"/>
                <w:highlight w:val="none"/>
                <w:lang w:val="en-US" w:eastAsia="zh-CN"/>
              </w:rPr>
              <w:t xml:space="preserve">表     </w:t>
            </w:r>
            <w:r>
              <w:rPr>
                <w:rFonts w:hint="default" w:ascii="Times New Roman" w:hAnsi="Times New Roman" w:eastAsia="黑体" w:cs="Times New Roman"/>
                <w:b w:val="0"/>
                <w:bCs/>
                <w:color w:val="auto"/>
                <w:kern w:val="0"/>
                <w:sz w:val="24"/>
                <w:highlight w:val="none"/>
                <w:lang w:val="en-US" w:eastAsia="zh-CN"/>
              </w:rPr>
              <w:t>单位：μg/m</w:t>
            </w:r>
            <w:r>
              <w:rPr>
                <w:rFonts w:hint="default" w:ascii="Times New Roman" w:hAnsi="Times New Roman" w:eastAsia="黑体" w:cs="Times New Roman"/>
                <w:b w:val="0"/>
                <w:bCs/>
                <w:color w:val="auto"/>
                <w:kern w:val="0"/>
                <w:sz w:val="24"/>
                <w:highlight w:val="none"/>
                <w:vertAlign w:val="superscript"/>
                <w:lang w:val="en-US" w:eastAsia="zh-CN"/>
              </w:rPr>
              <w:t>3</w:t>
            </w:r>
          </w:p>
          <w:tbl>
            <w:tblPr>
              <w:tblStyle w:val="28"/>
              <w:tblW w:w="84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2648"/>
              <w:gridCol w:w="1158"/>
              <w:gridCol w:w="1073"/>
              <w:gridCol w:w="1128"/>
              <w:gridCol w:w="1158"/>
            </w:tblGrid>
            <w:tr w14:paraId="58CC9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7C83B67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2648" w:type="dxa"/>
                  <w:tcBorders>
                    <w:tl2br w:val="nil"/>
                    <w:tr2bl w:val="nil"/>
                  </w:tcBorders>
                  <w:noWrap w:val="0"/>
                  <w:vAlign w:val="center"/>
                </w:tcPr>
                <w:p w14:paraId="2CAE51A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年评价指标</w:t>
                  </w:r>
                </w:p>
              </w:tc>
              <w:tc>
                <w:tcPr>
                  <w:tcW w:w="1158" w:type="dxa"/>
                  <w:tcBorders>
                    <w:tl2br w:val="nil"/>
                    <w:tr2bl w:val="nil"/>
                  </w:tcBorders>
                  <w:noWrap w:val="0"/>
                  <w:vAlign w:val="center"/>
                </w:tcPr>
                <w:p w14:paraId="2D5978B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现状浓度</w:t>
                  </w:r>
                </w:p>
              </w:tc>
              <w:tc>
                <w:tcPr>
                  <w:tcW w:w="1073" w:type="dxa"/>
                  <w:tcBorders>
                    <w:tl2br w:val="nil"/>
                    <w:tr2bl w:val="nil"/>
                  </w:tcBorders>
                  <w:noWrap w:val="0"/>
                  <w:vAlign w:val="center"/>
                </w:tcPr>
                <w:p w14:paraId="1853E423">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标准值</w:t>
                  </w:r>
                </w:p>
              </w:tc>
              <w:tc>
                <w:tcPr>
                  <w:tcW w:w="1128" w:type="dxa"/>
                  <w:tcBorders>
                    <w:tl2br w:val="nil"/>
                    <w:tr2bl w:val="nil"/>
                  </w:tcBorders>
                  <w:noWrap w:val="0"/>
                  <w:vAlign w:val="center"/>
                </w:tcPr>
                <w:p w14:paraId="6BF106A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占标率%</w:t>
                  </w:r>
                </w:p>
              </w:tc>
              <w:tc>
                <w:tcPr>
                  <w:tcW w:w="1158" w:type="dxa"/>
                  <w:tcBorders>
                    <w:tl2br w:val="nil"/>
                    <w:tr2bl w:val="nil"/>
                  </w:tcBorders>
                  <w:noWrap w:val="0"/>
                  <w:vAlign w:val="center"/>
                </w:tcPr>
                <w:p w14:paraId="4CDF0CE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达标情况</w:t>
                  </w:r>
                </w:p>
              </w:tc>
            </w:tr>
            <w:tr w14:paraId="542A1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5B480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PM</w:t>
                  </w:r>
                  <w:r>
                    <w:rPr>
                      <w:rFonts w:hint="default" w:ascii="Times New Roman" w:hAnsi="Times New Roman" w:cs="Times New Roman"/>
                      <w:color w:val="auto"/>
                      <w:szCs w:val="20"/>
                      <w:highlight w:val="none"/>
                      <w:vertAlign w:val="subscript"/>
                    </w:rPr>
                    <w:t>10</w:t>
                  </w:r>
                </w:p>
              </w:tc>
              <w:tc>
                <w:tcPr>
                  <w:tcW w:w="2648" w:type="dxa"/>
                  <w:tcBorders>
                    <w:tl2br w:val="nil"/>
                    <w:tr2bl w:val="nil"/>
                  </w:tcBorders>
                  <w:noWrap w:val="0"/>
                  <w:vAlign w:val="center"/>
                </w:tcPr>
                <w:p w14:paraId="7B3C28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年平均质量浓度</w:t>
                  </w:r>
                </w:p>
              </w:tc>
              <w:tc>
                <w:tcPr>
                  <w:tcW w:w="1158" w:type="dxa"/>
                  <w:tcBorders>
                    <w:tl2br w:val="nil"/>
                    <w:tr2bl w:val="nil"/>
                  </w:tcBorders>
                  <w:noWrap w:val="0"/>
                  <w:vAlign w:val="center"/>
                </w:tcPr>
                <w:p w14:paraId="28987A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w:t>
                  </w:r>
                </w:p>
              </w:tc>
              <w:tc>
                <w:tcPr>
                  <w:tcW w:w="1073" w:type="dxa"/>
                  <w:tcBorders>
                    <w:tl2br w:val="nil"/>
                    <w:tr2bl w:val="nil"/>
                  </w:tcBorders>
                  <w:noWrap w:val="0"/>
                  <w:vAlign w:val="center"/>
                </w:tcPr>
                <w:p w14:paraId="5A2AD5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w:t>
                  </w:r>
                </w:p>
              </w:tc>
              <w:tc>
                <w:tcPr>
                  <w:tcW w:w="1128" w:type="dxa"/>
                  <w:tcBorders>
                    <w:tl2br w:val="nil"/>
                    <w:tr2bl w:val="nil"/>
                  </w:tcBorders>
                  <w:noWrap w:val="0"/>
                  <w:vAlign w:val="center"/>
                </w:tcPr>
                <w:p w14:paraId="7E2F384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54.29</w:t>
                  </w:r>
                </w:p>
              </w:tc>
              <w:tc>
                <w:tcPr>
                  <w:tcW w:w="1158" w:type="dxa"/>
                  <w:tcBorders>
                    <w:tl2br w:val="nil"/>
                    <w:tr2bl w:val="nil"/>
                  </w:tcBorders>
                  <w:noWrap w:val="0"/>
                  <w:vAlign w:val="center"/>
                </w:tcPr>
                <w:p w14:paraId="71F889F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Cs w:val="20"/>
                      <w:highlight w:val="none"/>
                      <w:lang w:val="en-US" w:eastAsia="zh-CN"/>
                    </w:rPr>
                    <w:t>达</w:t>
                  </w:r>
                  <w:r>
                    <w:rPr>
                      <w:rFonts w:hint="default" w:ascii="Times New Roman" w:hAnsi="Times New Roman" w:cs="Times New Roman"/>
                      <w:color w:val="auto"/>
                      <w:szCs w:val="20"/>
                      <w:highlight w:val="none"/>
                    </w:rPr>
                    <w:t>标</w:t>
                  </w:r>
                </w:p>
              </w:tc>
            </w:tr>
            <w:tr w14:paraId="17941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2E100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PM</w:t>
                  </w:r>
                  <w:r>
                    <w:rPr>
                      <w:rFonts w:hint="default" w:ascii="Times New Roman" w:hAnsi="Times New Roman" w:cs="Times New Roman"/>
                      <w:color w:val="auto"/>
                      <w:szCs w:val="20"/>
                      <w:highlight w:val="none"/>
                      <w:vertAlign w:val="subscript"/>
                    </w:rPr>
                    <w:t>2.5</w:t>
                  </w:r>
                </w:p>
              </w:tc>
              <w:tc>
                <w:tcPr>
                  <w:tcW w:w="2648" w:type="dxa"/>
                  <w:tcBorders>
                    <w:tl2br w:val="nil"/>
                    <w:tr2bl w:val="nil"/>
                  </w:tcBorders>
                  <w:noWrap w:val="0"/>
                  <w:vAlign w:val="center"/>
                </w:tcPr>
                <w:p w14:paraId="5F69B5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年平均质量浓度</w:t>
                  </w:r>
                </w:p>
              </w:tc>
              <w:tc>
                <w:tcPr>
                  <w:tcW w:w="1158" w:type="dxa"/>
                  <w:tcBorders>
                    <w:tl2br w:val="nil"/>
                    <w:tr2bl w:val="nil"/>
                  </w:tcBorders>
                  <w:noWrap w:val="0"/>
                  <w:vAlign w:val="center"/>
                </w:tcPr>
                <w:p w14:paraId="0D733FE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1073" w:type="dxa"/>
                  <w:tcBorders>
                    <w:tl2br w:val="nil"/>
                    <w:tr2bl w:val="nil"/>
                  </w:tcBorders>
                  <w:noWrap w:val="0"/>
                  <w:vAlign w:val="center"/>
                </w:tcPr>
                <w:p w14:paraId="37DD9B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1128" w:type="dxa"/>
                  <w:tcBorders>
                    <w:tl2br w:val="nil"/>
                    <w:tr2bl w:val="nil"/>
                  </w:tcBorders>
                  <w:noWrap w:val="0"/>
                  <w:vAlign w:val="center"/>
                </w:tcPr>
                <w:p w14:paraId="06C7F5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37.14</w:t>
                  </w:r>
                </w:p>
              </w:tc>
              <w:tc>
                <w:tcPr>
                  <w:tcW w:w="1158" w:type="dxa"/>
                  <w:tcBorders>
                    <w:tl2br w:val="nil"/>
                    <w:tr2bl w:val="nil"/>
                  </w:tcBorders>
                  <w:noWrap w:val="0"/>
                  <w:vAlign w:val="center"/>
                </w:tcPr>
                <w:p w14:paraId="5FECA62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达标</w:t>
                  </w:r>
                </w:p>
              </w:tc>
            </w:tr>
            <w:tr w14:paraId="4970D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324C21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SO</w:t>
                  </w:r>
                  <w:r>
                    <w:rPr>
                      <w:rFonts w:hint="default" w:ascii="Times New Roman" w:hAnsi="Times New Roman" w:cs="Times New Roman"/>
                      <w:color w:val="auto"/>
                      <w:szCs w:val="20"/>
                      <w:highlight w:val="none"/>
                      <w:vertAlign w:val="subscript"/>
                    </w:rPr>
                    <w:t>2</w:t>
                  </w:r>
                </w:p>
              </w:tc>
              <w:tc>
                <w:tcPr>
                  <w:tcW w:w="2648" w:type="dxa"/>
                  <w:tcBorders>
                    <w:tl2br w:val="nil"/>
                    <w:tr2bl w:val="nil"/>
                  </w:tcBorders>
                  <w:noWrap w:val="0"/>
                  <w:vAlign w:val="center"/>
                </w:tcPr>
                <w:p w14:paraId="2F1046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highlight w:val="none"/>
                    </w:rPr>
                  </w:pPr>
                  <w:r>
                    <w:rPr>
                      <w:rFonts w:hint="default" w:ascii="Times New Roman" w:hAnsi="Times New Roman" w:cs="Times New Roman"/>
                      <w:color w:val="auto"/>
                      <w:szCs w:val="20"/>
                      <w:highlight w:val="none"/>
                    </w:rPr>
                    <w:t>年平均质量浓度</w:t>
                  </w:r>
                </w:p>
              </w:tc>
              <w:tc>
                <w:tcPr>
                  <w:tcW w:w="1158" w:type="dxa"/>
                  <w:tcBorders>
                    <w:tl2br w:val="nil"/>
                    <w:tr2bl w:val="nil"/>
                  </w:tcBorders>
                  <w:noWrap w:val="0"/>
                  <w:vAlign w:val="center"/>
                </w:tcPr>
                <w:p w14:paraId="251A51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w:t>
                  </w:r>
                </w:p>
              </w:tc>
              <w:tc>
                <w:tcPr>
                  <w:tcW w:w="1073" w:type="dxa"/>
                  <w:tcBorders>
                    <w:tl2br w:val="nil"/>
                    <w:tr2bl w:val="nil"/>
                  </w:tcBorders>
                  <w:noWrap w:val="0"/>
                  <w:vAlign w:val="center"/>
                </w:tcPr>
                <w:p w14:paraId="5B513E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60</w:t>
                  </w:r>
                </w:p>
              </w:tc>
              <w:tc>
                <w:tcPr>
                  <w:tcW w:w="1128" w:type="dxa"/>
                  <w:tcBorders>
                    <w:tl2br w:val="nil"/>
                    <w:tr2bl w:val="nil"/>
                  </w:tcBorders>
                  <w:noWrap w:val="0"/>
                  <w:vAlign w:val="center"/>
                </w:tcPr>
                <w:p w14:paraId="107B51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8.33</w:t>
                  </w:r>
                </w:p>
              </w:tc>
              <w:tc>
                <w:tcPr>
                  <w:tcW w:w="1158" w:type="dxa"/>
                  <w:tcBorders>
                    <w:tl2br w:val="nil"/>
                    <w:tr2bl w:val="nil"/>
                  </w:tcBorders>
                  <w:noWrap w:val="0"/>
                  <w:vAlign w:val="center"/>
                </w:tcPr>
                <w:p w14:paraId="1EC4FE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达标</w:t>
                  </w:r>
                </w:p>
              </w:tc>
            </w:tr>
            <w:tr w14:paraId="22211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2E5B8F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NO</w:t>
                  </w:r>
                  <w:r>
                    <w:rPr>
                      <w:rFonts w:hint="default" w:ascii="Times New Roman" w:hAnsi="Times New Roman" w:cs="Times New Roman"/>
                      <w:color w:val="auto"/>
                      <w:szCs w:val="20"/>
                      <w:highlight w:val="none"/>
                      <w:vertAlign w:val="subscript"/>
                    </w:rPr>
                    <w:t>2</w:t>
                  </w:r>
                </w:p>
              </w:tc>
              <w:tc>
                <w:tcPr>
                  <w:tcW w:w="2648" w:type="dxa"/>
                  <w:tcBorders>
                    <w:tl2br w:val="nil"/>
                    <w:tr2bl w:val="nil"/>
                  </w:tcBorders>
                  <w:noWrap w:val="0"/>
                  <w:vAlign w:val="center"/>
                </w:tcPr>
                <w:p w14:paraId="3A1C04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年平均质量浓度</w:t>
                  </w:r>
                </w:p>
              </w:tc>
              <w:tc>
                <w:tcPr>
                  <w:tcW w:w="1158" w:type="dxa"/>
                  <w:tcBorders>
                    <w:tl2br w:val="nil"/>
                    <w:tr2bl w:val="nil"/>
                  </w:tcBorders>
                  <w:noWrap w:val="0"/>
                  <w:vAlign w:val="center"/>
                </w:tcPr>
                <w:p w14:paraId="5F03EF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w:t>
                  </w:r>
                </w:p>
              </w:tc>
              <w:tc>
                <w:tcPr>
                  <w:tcW w:w="1073" w:type="dxa"/>
                  <w:tcBorders>
                    <w:tl2br w:val="nil"/>
                    <w:tr2bl w:val="nil"/>
                  </w:tcBorders>
                  <w:noWrap w:val="0"/>
                  <w:vAlign w:val="center"/>
                </w:tcPr>
                <w:p w14:paraId="0EB0194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40</w:t>
                  </w:r>
                </w:p>
              </w:tc>
              <w:tc>
                <w:tcPr>
                  <w:tcW w:w="1128" w:type="dxa"/>
                  <w:tcBorders>
                    <w:tl2br w:val="nil"/>
                    <w:tr2bl w:val="nil"/>
                  </w:tcBorders>
                  <w:noWrap w:val="0"/>
                  <w:vAlign w:val="center"/>
                </w:tcPr>
                <w:p w14:paraId="5748FE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20.00</w:t>
                  </w:r>
                </w:p>
              </w:tc>
              <w:tc>
                <w:tcPr>
                  <w:tcW w:w="1158" w:type="dxa"/>
                  <w:tcBorders>
                    <w:tl2br w:val="nil"/>
                    <w:tr2bl w:val="nil"/>
                  </w:tcBorders>
                  <w:noWrap w:val="0"/>
                  <w:vAlign w:val="center"/>
                </w:tcPr>
                <w:p w14:paraId="6FA924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达标</w:t>
                  </w:r>
                </w:p>
              </w:tc>
            </w:tr>
            <w:tr w14:paraId="21F85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47BDFB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CO（mg/m</w:t>
                  </w:r>
                  <w:r>
                    <w:rPr>
                      <w:rFonts w:hint="default" w:ascii="Times New Roman" w:hAnsi="Times New Roman" w:cs="Times New Roman"/>
                      <w:color w:val="auto"/>
                      <w:szCs w:val="20"/>
                      <w:highlight w:val="none"/>
                      <w:vertAlign w:val="superscript"/>
                    </w:rPr>
                    <w:t>3</w:t>
                  </w:r>
                  <w:r>
                    <w:rPr>
                      <w:rFonts w:hint="default" w:ascii="Times New Roman" w:hAnsi="Times New Roman" w:cs="Times New Roman"/>
                      <w:color w:val="auto"/>
                      <w:szCs w:val="20"/>
                      <w:highlight w:val="none"/>
                    </w:rPr>
                    <w:t>）</w:t>
                  </w:r>
                </w:p>
              </w:tc>
              <w:tc>
                <w:tcPr>
                  <w:tcW w:w="2648" w:type="dxa"/>
                  <w:tcBorders>
                    <w:tl2br w:val="nil"/>
                    <w:tr2bl w:val="nil"/>
                  </w:tcBorders>
                  <w:noWrap w:val="0"/>
                  <w:vAlign w:val="center"/>
                </w:tcPr>
                <w:p w14:paraId="0B2570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24h平均第95百分位数</w:t>
                  </w:r>
                </w:p>
              </w:tc>
              <w:tc>
                <w:tcPr>
                  <w:tcW w:w="1158" w:type="dxa"/>
                  <w:tcBorders>
                    <w:tl2br w:val="nil"/>
                    <w:tr2bl w:val="nil"/>
                  </w:tcBorders>
                  <w:noWrap w:val="0"/>
                  <w:vAlign w:val="center"/>
                </w:tcPr>
                <w:p w14:paraId="476EC8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w:t>
                  </w:r>
                </w:p>
              </w:tc>
              <w:tc>
                <w:tcPr>
                  <w:tcW w:w="1073" w:type="dxa"/>
                  <w:tcBorders>
                    <w:tl2br w:val="nil"/>
                    <w:tr2bl w:val="nil"/>
                  </w:tcBorders>
                  <w:noWrap w:val="0"/>
                  <w:vAlign w:val="center"/>
                </w:tcPr>
                <w:p w14:paraId="5987E91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w:t>
                  </w:r>
                </w:p>
              </w:tc>
              <w:tc>
                <w:tcPr>
                  <w:tcW w:w="1128" w:type="dxa"/>
                  <w:tcBorders>
                    <w:tl2br w:val="nil"/>
                    <w:tr2bl w:val="nil"/>
                  </w:tcBorders>
                  <w:noWrap w:val="0"/>
                  <w:vAlign w:val="center"/>
                </w:tcPr>
                <w:p w14:paraId="00C71D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15.00</w:t>
                  </w:r>
                </w:p>
              </w:tc>
              <w:tc>
                <w:tcPr>
                  <w:tcW w:w="1158" w:type="dxa"/>
                  <w:tcBorders>
                    <w:tl2br w:val="nil"/>
                    <w:tr2bl w:val="nil"/>
                  </w:tcBorders>
                  <w:noWrap w:val="0"/>
                  <w:vAlign w:val="center"/>
                </w:tcPr>
                <w:p w14:paraId="05D2F0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达标</w:t>
                  </w:r>
                </w:p>
              </w:tc>
            </w:tr>
            <w:tr w14:paraId="2DB66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dxa"/>
                  <w:tcBorders>
                    <w:tl2br w:val="nil"/>
                    <w:tr2bl w:val="nil"/>
                  </w:tcBorders>
                  <w:noWrap w:val="0"/>
                  <w:vAlign w:val="center"/>
                </w:tcPr>
                <w:p w14:paraId="08799B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O</w:t>
                  </w:r>
                  <w:r>
                    <w:rPr>
                      <w:rFonts w:hint="default" w:ascii="Times New Roman" w:hAnsi="Times New Roman" w:cs="Times New Roman"/>
                      <w:color w:val="auto"/>
                      <w:szCs w:val="20"/>
                      <w:highlight w:val="none"/>
                      <w:vertAlign w:val="subscript"/>
                    </w:rPr>
                    <w:t>3</w:t>
                  </w:r>
                </w:p>
              </w:tc>
              <w:tc>
                <w:tcPr>
                  <w:tcW w:w="2648" w:type="dxa"/>
                  <w:tcBorders>
                    <w:tl2br w:val="nil"/>
                    <w:tr2bl w:val="nil"/>
                  </w:tcBorders>
                  <w:noWrap w:val="0"/>
                  <w:vAlign w:val="center"/>
                </w:tcPr>
                <w:p w14:paraId="6E0281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日最大8h平均值第90百分位数</w:t>
                  </w:r>
                </w:p>
              </w:tc>
              <w:tc>
                <w:tcPr>
                  <w:tcW w:w="1158" w:type="dxa"/>
                  <w:tcBorders>
                    <w:tl2br w:val="nil"/>
                    <w:tr2bl w:val="nil"/>
                  </w:tcBorders>
                  <w:noWrap w:val="0"/>
                  <w:vAlign w:val="center"/>
                </w:tcPr>
                <w:p w14:paraId="69DD75D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118</w:t>
                  </w:r>
                </w:p>
              </w:tc>
              <w:tc>
                <w:tcPr>
                  <w:tcW w:w="1073" w:type="dxa"/>
                  <w:tcBorders>
                    <w:tl2br w:val="nil"/>
                    <w:tr2bl w:val="nil"/>
                  </w:tcBorders>
                  <w:noWrap w:val="0"/>
                  <w:vAlign w:val="center"/>
                </w:tcPr>
                <w:p w14:paraId="5F5EB8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160</w:t>
                  </w:r>
                </w:p>
              </w:tc>
              <w:tc>
                <w:tcPr>
                  <w:tcW w:w="1128" w:type="dxa"/>
                  <w:tcBorders>
                    <w:tl2br w:val="nil"/>
                    <w:tr2bl w:val="nil"/>
                  </w:tcBorders>
                  <w:noWrap w:val="0"/>
                  <w:vAlign w:val="center"/>
                </w:tcPr>
                <w:p w14:paraId="1FE21E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73.75</w:t>
                  </w:r>
                </w:p>
              </w:tc>
              <w:tc>
                <w:tcPr>
                  <w:tcW w:w="1158" w:type="dxa"/>
                  <w:tcBorders>
                    <w:tl2br w:val="nil"/>
                    <w:tr2bl w:val="nil"/>
                  </w:tcBorders>
                  <w:noWrap w:val="0"/>
                  <w:vAlign w:val="center"/>
                </w:tcPr>
                <w:p w14:paraId="6A3743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Cs w:val="20"/>
                      <w:highlight w:val="none"/>
                    </w:rPr>
                    <w:t>达标</w:t>
                  </w:r>
                </w:p>
              </w:tc>
            </w:tr>
          </w:tbl>
          <w:p w14:paraId="3EF78A65">
            <w:pPr>
              <w:keepNext w:val="0"/>
              <w:keepLines w:val="0"/>
              <w:pageBreakBefore w:val="0"/>
              <w:widowControl w:val="0"/>
              <w:kinsoku/>
              <w:wordWrap/>
              <w:overflowPunct/>
              <w:topLinePunct w:val="0"/>
              <w:autoSpaceDE/>
              <w:autoSpaceDN/>
              <w:bidi w:val="0"/>
              <w:adjustRightInd w:val="0"/>
              <w:snapToGrid w:val="0"/>
              <w:spacing w:after="157" w:afterLines="50" w:line="240" w:lineRule="auto"/>
              <w:jc w:val="left"/>
              <w:textAlignment w:val="auto"/>
              <w:rPr>
                <w:rFonts w:hint="default" w:ascii="Times New Roman" w:hAnsi="Times New Roman" w:cs="Times New Roman"/>
                <w:color w:val="auto"/>
                <w:sz w:val="24"/>
                <w:highlight w:val="none"/>
              </w:rPr>
            </w:pPr>
            <w:r>
              <w:rPr>
                <w:b/>
                <w:bCs/>
                <w:color w:val="auto"/>
                <w:szCs w:val="21"/>
                <w:highlight w:val="none"/>
              </w:rPr>
              <w:t>注</w:t>
            </w:r>
            <w:r>
              <w:rPr>
                <w:rFonts w:hint="eastAsia"/>
                <w:b/>
                <w:bCs/>
                <w:color w:val="auto"/>
                <w:szCs w:val="21"/>
                <w:highlight w:val="none"/>
              </w:rPr>
              <w:t>：</w:t>
            </w:r>
            <w:r>
              <w:rPr>
                <w:color w:val="auto"/>
                <w:szCs w:val="21"/>
                <w:highlight w:val="none"/>
              </w:rPr>
              <w:t>现状浓度中 PM</w:t>
            </w:r>
            <w:r>
              <w:rPr>
                <w:color w:val="auto"/>
                <w:szCs w:val="21"/>
                <w:highlight w:val="none"/>
                <w:vertAlign w:val="subscript"/>
              </w:rPr>
              <w:t>10</w:t>
            </w:r>
            <w:r>
              <w:rPr>
                <w:color w:val="auto"/>
                <w:szCs w:val="21"/>
                <w:highlight w:val="none"/>
              </w:rPr>
              <w:t>、PM</w:t>
            </w:r>
            <w:r>
              <w:rPr>
                <w:rFonts w:hint="eastAsia"/>
                <w:color w:val="auto"/>
                <w:szCs w:val="21"/>
                <w:highlight w:val="none"/>
                <w:vertAlign w:val="subscript"/>
              </w:rPr>
              <w:t>2.5</w:t>
            </w:r>
            <w:r>
              <w:rPr>
                <w:color w:val="auto"/>
                <w:szCs w:val="21"/>
                <w:highlight w:val="none"/>
              </w:rPr>
              <w:t>为</w:t>
            </w:r>
            <w:r>
              <w:rPr>
                <w:rFonts w:hint="eastAsia"/>
                <w:color w:val="auto"/>
                <w:szCs w:val="21"/>
                <w:highlight w:val="none"/>
                <w:lang w:val="en-US" w:eastAsia="zh-CN"/>
              </w:rPr>
              <w:t>未扣</w:t>
            </w:r>
            <w:r>
              <w:rPr>
                <w:color w:val="auto"/>
                <w:szCs w:val="21"/>
                <w:highlight w:val="none"/>
              </w:rPr>
              <w:t>除沙尘天气后的数值。</w:t>
            </w:r>
          </w:p>
          <w:p w14:paraId="55E01F7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color w:val="auto"/>
                <w:highlight w:val="none"/>
              </w:rPr>
            </w:pPr>
            <w:r>
              <w:rPr>
                <w:rFonts w:hint="default" w:ascii="Times New Roman" w:hAnsi="Times New Roman" w:cs="Times New Roman"/>
                <w:color w:val="auto"/>
                <w:sz w:val="24"/>
                <w:highlight w:val="none"/>
              </w:rPr>
              <w:t>根据上表的统计结果可知：</w:t>
            </w:r>
            <w:r>
              <w:rPr>
                <w:rFonts w:hint="eastAsia" w:ascii="Times New Roman" w:hAnsi="Times New Roman" w:cs="Times New Roman"/>
                <w:color w:val="auto"/>
                <w:sz w:val="24"/>
                <w:highlight w:val="none"/>
                <w:lang w:val="en-US" w:eastAsia="zh-CN"/>
              </w:rPr>
              <w:t>隆德县</w:t>
            </w: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6项基本污染物</w:t>
            </w:r>
            <w:r>
              <w:rPr>
                <w:rFonts w:hint="default" w:ascii="Times New Roman" w:hAnsi="Times New Roman" w:cs="Times New Roman"/>
                <w:color w:val="auto"/>
                <w:sz w:val="24"/>
                <w:highlight w:val="none"/>
              </w:rPr>
              <w:t>监测</w:t>
            </w:r>
            <w:r>
              <w:rPr>
                <w:rFonts w:hint="eastAsia" w:ascii="Times New Roman" w:hAnsi="Times New Roman" w:cs="Times New Roman"/>
                <w:color w:val="auto"/>
                <w:sz w:val="24"/>
                <w:highlight w:val="none"/>
                <w:lang w:val="en-US" w:eastAsia="zh-CN"/>
              </w:rPr>
              <w:t>结果</w:t>
            </w:r>
            <w:r>
              <w:rPr>
                <w:rFonts w:hint="default" w:ascii="Times New Roman" w:hAnsi="Times New Roman" w:cs="Times New Roman"/>
                <w:color w:val="auto"/>
                <w:sz w:val="24"/>
                <w:highlight w:val="none"/>
              </w:rPr>
              <w:t>均满足《环境空气质量标准》（GB3095-20</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）中二级标准限值要求</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因此判定本</w:t>
            </w:r>
            <w:r>
              <w:rPr>
                <w:rFonts w:hint="default" w:ascii="Times New Roman" w:hAnsi="Times New Roman" w:cs="Times New Roman"/>
                <w:color w:val="auto"/>
                <w:sz w:val="24"/>
                <w:highlight w:val="none"/>
              </w:rPr>
              <w:t>项目所在区域</w:t>
            </w:r>
            <w:r>
              <w:rPr>
                <w:rFonts w:hint="eastAsia" w:ascii="Times New Roman" w:hAnsi="Times New Roman" w:cs="Times New Roman"/>
                <w:color w:val="auto"/>
                <w:sz w:val="24"/>
                <w:highlight w:val="none"/>
                <w:lang w:val="en-US" w:eastAsia="zh-CN"/>
              </w:rPr>
              <w:t>2024年环境空气质量评价为达标区。</w:t>
            </w:r>
          </w:p>
        </w:tc>
      </w:tr>
      <w:tr w14:paraId="46A4E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06" w:type="dxa"/>
            <w:vAlign w:val="center"/>
          </w:tcPr>
          <w:p w14:paraId="791B5A36">
            <w:pPr>
              <w:adjustRightInd w:val="0"/>
              <w:snapToGrid w:val="0"/>
              <w:jc w:val="center"/>
              <w:rPr>
                <w:color w:val="auto"/>
                <w:kern w:val="0"/>
                <w:szCs w:val="21"/>
                <w:highlight w:val="none"/>
              </w:rPr>
            </w:pPr>
            <w:r>
              <w:rPr>
                <w:color w:val="auto"/>
                <w:sz w:val="24"/>
                <w:highlight w:val="none"/>
              </w:rPr>
              <w:t>与项目有关的原有环境污染和生态破坏问题</w:t>
            </w:r>
          </w:p>
        </w:tc>
        <w:tc>
          <w:tcPr>
            <w:tcW w:w="8767" w:type="dxa"/>
            <w:vAlign w:val="center"/>
          </w:tcPr>
          <w:p w14:paraId="005C585A">
            <w:pPr>
              <w:autoSpaceDE w:val="0"/>
              <w:autoSpaceDN w:val="0"/>
              <w:spacing w:line="360" w:lineRule="auto"/>
              <w:ind w:firstLine="482" w:firstLineChars="200"/>
              <w:rPr>
                <w:b/>
                <w:bCs/>
                <w:color w:val="auto"/>
                <w:sz w:val="24"/>
                <w:highlight w:val="none"/>
              </w:rPr>
            </w:pPr>
            <w:r>
              <w:rPr>
                <w:rFonts w:hint="eastAsia"/>
                <w:b/>
                <w:bCs/>
                <w:color w:val="auto"/>
                <w:sz w:val="24"/>
                <w:highlight w:val="none"/>
                <w:lang w:val="en-US" w:eastAsia="zh-CN"/>
              </w:rPr>
              <w:t>1、</w:t>
            </w:r>
            <w:r>
              <w:rPr>
                <w:b/>
                <w:bCs/>
                <w:color w:val="auto"/>
                <w:sz w:val="24"/>
                <w:highlight w:val="none"/>
              </w:rPr>
              <w:t>前期项目概况</w:t>
            </w:r>
          </w:p>
          <w:p w14:paraId="7F306FF0">
            <w:pPr>
              <w:adjustRightInd w:val="0"/>
              <w:snapToGrid w:val="0"/>
              <w:spacing w:line="360" w:lineRule="auto"/>
              <w:ind w:firstLine="480" w:firstLineChars="200"/>
              <w:rPr>
                <w:rFonts w:hint="default" w:ascii="Times New Roman" w:hAnsi="Times New Roman" w:cs="Times New Roman"/>
                <w:color w:val="auto"/>
                <w:sz w:val="24"/>
                <w:szCs w:val="24"/>
                <w:highlight w:val="none"/>
                <w:lang w:val="en-US" w:eastAsia="zh-CN"/>
              </w:rPr>
            </w:pPr>
            <w:bookmarkStart w:id="36" w:name="_Toc8059"/>
            <w:r>
              <w:rPr>
                <w:rFonts w:hint="default" w:ascii="Times New Roman" w:hAnsi="Times New Roman" w:cs="Times New Roman"/>
                <w:color w:val="auto"/>
                <w:sz w:val="24"/>
                <w:highlight w:val="none"/>
                <w:lang w:val="en-US" w:eastAsia="zh-CN"/>
              </w:rPr>
              <w:t>渝河（神林）110kV输变电工程包括渝河（神林）110kV变电站工程、将台~隆德π入渝河（神林）110kV送电线路工程两部分。</w:t>
            </w:r>
            <w:r>
              <w:rPr>
                <w:rFonts w:hint="eastAsia" w:cs="Times New Roman"/>
                <w:color w:val="auto"/>
                <w:sz w:val="24"/>
                <w:highlight w:val="none"/>
                <w:lang w:val="en-US" w:eastAsia="zh-CN"/>
              </w:rPr>
              <w:t>该项目</w:t>
            </w:r>
            <w:r>
              <w:rPr>
                <w:rFonts w:hint="default" w:ascii="Times New Roman" w:hAnsi="Times New Roman" w:eastAsia="宋体" w:cs="Times New Roman"/>
                <w:color w:val="auto"/>
                <w:sz w:val="24"/>
                <w:szCs w:val="24"/>
                <w:highlight w:val="none"/>
                <w:lang w:val="en-US" w:eastAsia="zh-CN"/>
              </w:rPr>
              <w:t>变电站前期已建主变压器1×50MVA，110kV出线间隔2回</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本期需</w:t>
            </w:r>
            <w:r>
              <w:rPr>
                <w:rFonts w:hint="default" w:ascii="Times New Roman" w:hAnsi="Times New Roman" w:cs="Times New Roman"/>
                <w:color w:val="auto"/>
                <w:sz w:val="24"/>
                <w:szCs w:val="24"/>
                <w:highlight w:val="none"/>
                <w:lang w:val="en-US" w:eastAsia="zh-CN"/>
              </w:rPr>
              <w:t>利旧</w:t>
            </w:r>
            <w:r>
              <w:rPr>
                <w:rFonts w:hint="default" w:ascii="Times New Roman" w:hAnsi="Times New Roman" w:eastAsia="宋体" w:cs="Times New Roman"/>
                <w:color w:val="auto"/>
                <w:kern w:val="0"/>
                <w:sz w:val="24"/>
                <w:highlight w:val="none"/>
              </w:rPr>
              <w:t>变电站</w:t>
            </w:r>
            <w:r>
              <w:rPr>
                <w:rFonts w:hint="default" w:ascii="Times New Roman" w:hAnsi="Times New Roman" w:eastAsia="宋体" w:cs="Times New Roman"/>
                <w:color w:val="auto"/>
                <w:kern w:val="0"/>
                <w:sz w:val="24"/>
                <w:highlight w:val="none"/>
                <w:lang w:val="en-US" w:eastAsia="zh-CN"/>
              </w:rPr>
              <w:t>北侧</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0</w:t>
            </w:r>
            <w:r>
              <w:rPr>
                <w:rFonts w:hint="eastAsia" w:cs="Times New Roman"/>
                <w:color w:val="auto"/>
                <w:sz w:val="24"/>
                <w:highlight w:val="none"/>
                <w:lang w:val="en-US" w:eastAsia="zh-CN"/>
              </w:rPr>
              <w:t>kV</w:t>
            </w:r>
            <w:r>
              <w:rPr>
                <w:rFonts w:hint="default" w:ascii="Times New Roman" w:hAnsi="Times New Roman" w:eastAsia="宋体" w:cs="Times New Roman"/>
                <w:color w:val="auto"/>
                <w:kern w:val="0"/>
                <w:sz w:val="24"/>
                <w:highlight w:val="none"/>
              </w:rPr>
              <w:t>出线侧</w:t>
            </w:r>
            <w:r>
              <w:rPr>
                <w:rFonts w:hint="default" w:ascii="Times New Roman" w:hAnsi="Times New Roman" w:cs="Times New Roman"/>
                <w:color w:val="auto"/>
                <w:kern w:val="0"/>
                <w:sz w:val="24"/>
                <w:highlight w:val="none"/>
                <w:lang w:val="en-US" w:eastAsia="zh-CN"/>
              </w:rPr>
              <w:t>原将渝线（2Y）现有</w:t>
            </w:r>
            <w:r>
              <w:rPr>
                <w:rFonts w:hint="default" w:ascii="Times New Roman" w:hAnsi="Times New Roman" w:eastAsia="宋体" w:cs="Times New Roman"/>
                <w:color w:val="auto"/>
                <w:kern w:val="0"/>
                <w:sz w:val="24"/>
                <w:highlight w:val="none"/>
              </w:rPr>
              <w:t>间隔</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该项目</w:t>
            </w:r>
            <w:r>
              <w:rPr>
                <w:rFonts w:hint="default" w:ascii="Times New Roman" w:hAnsi="Times New Roman" w:cs="Times New Roman"/>
                <w:color w:val="auto"/>
                <w:sz w:val="24"/>
                <w:szCs w:val="24"/>
                <w:highlight w:val="none"/>
                <w:lang w:val="en-US" w:eastAsia="zh-CN"/>
              </w:rPr>
              <w:t>输电线路</w:t>
            </w:r>
            <w:r>
              <w:rPr>
                <w:rFonts w:hint="eastAsia" w:ascii="Times New Roman" w:hAnsi="Times New Roman" w:cs="Times New Roman"/>
                <w:color w:val="auto"/>
                <w:sz w:val="24"/>
                <w:szCs w:val="24"/>
                <w:highlight w:val="none"/>
                <w:lang w:val="en-US" w:eastAsia="zh-CN"/>
              </w:rPr>
              <w:t>前期已建线路</w:t>
            </w:r>
            <w:r>
              <w:rPr>
                <w:rFonts w:hint="default" w:ascii="Times New Roman" w:hAnsi="Times New Roman" w:cs="Times New Roman"/>
                <w:color w:val="auto"/>
                <w:sz w:val="24"/>
                <w:szCs w:val="24"/>
                <w:highlight w:val="none"/>
                <w:lang w:val="en-US" w:eastAsia="zh-CN"/>
              </w:rPr>
              <w:t>（2×8.5+0.9）km，本期需利旧</w:t>
            </w:r>
            <w:r>
              <w:rPr>
                <w:rFonts w:hint="eastAsia" w:ascii="Times New Roman" w:hAnsi="Times New Roman" w:cs="Times New Roman"/>
                <w:color w:val="auto"/>
                <w:sz w:val="24"/>
                <w:szCs w:val="24"/>
                <w:highlight w:val="none"/>
                <w:lang w:val="en-US" w:eastAsia="zh-CN"/>
              </w:rPr>
              <w:t>原</w:t>
            </w:r>
            <w:r>
              <w:rPr>
                <w:rFonts w:hint="default" w:ascii="Times New Roman" w:hAnsi="Times New Roman" w:cs="Times New Roman"/>
                <w:color w:val="auto"/>
                <w:sz w:val="24"/>
                <w:szCs w:val="24"/>
                <w:highlight w:val="none"/>
                <w:lang w:val="en-US" w:eastAsia="zh-CN"/>
              </w:rPr>
              <w:t>将渝线1.6km。</w:t>
            </w:r>
          </w:p>
          <w:p w14:paraId="71B6247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lang w:val="en-US" w:eastAsia="zh-CN"/>
              </w:rPr>
              <w:t>宁夏固原隆德渝河110千伏变电站3号主变扩建工程</w:t>
            </w:r>
            <w:r>
              <w:rPr>
                <w:rFonts w:hint="eastAsia" w:cs="Times New Roman"/>
                <w:color w:val="auto"/>
                <w:sz w:val="24"/>
                <w:szCs w:val="24"/>
                <w:highlight w:val="none"/>
                <w:lang w:val="en-US" w:eastAsia="zh-CN"/>
              </w:rPr>
              <w:t>本次扩建主变压器</w:t>
            </w:r>
            <w:r>
              <w:rPr>
                <w:rFonts w:hint="default" w:ascii="Times New Roman" w:hAnsi="Times New Roman" w:eastAsia="宋体" w:cs="Times New Roman"/>
                <w:color w:val="auto"/>
                <w:sz w:val="24"/>
                <w:szCs w:val="24"/>
                <w:highlight w:val="none"/>
                <w:lang w:val="en-US" w:eastAsia="zh-CN"/>
              </w:rPr>
              <w:t>1×50MVA</w:t>
            </w:r>
            <w:r>
              <w:rPr>
                <w:rFonts w:hint="eastAsia" w:ascii="Times New Roman" w:hAnsi="Times New Roman" w:eastAsia="宋体" w:cs="Times New Roman"/>
                <w:color w:val="auto"/>
                <w:sz w:val="24"/>
                <w:szCs w:val="24"/>
                <w:highlight w:val="none"/>
                <w:lang w:val="en-US" w:eastAsia="zh-CN"/>
              </w:rPr>
              <w:t>。</w:t>
            </w:r>
          </w:p>
          <w:bookmarkEnd w:id="36"/>
          <w:p w14:paraId="52DC5D3D">
            <w:pPr>
              <w:spacing w:line="360" w:lineRule="auto"/>
              <w:ind w:firstLine="482" w:firstLineChars="200"/>
              <w:outlineLvl w:val="0"/>
              <w:rPr>
                <w:b/>
                <w:bCs/>
                <w:color w:val="auto"/>
                <w:sz w:val="24"/>
                <w:highlight w:val="none"/>
              </w:rPr>
            </w:pPr>
            <w:bookmarkStart w:id="37" w:name="_Toc2058"/>
            <w:bookmarkStart w:id="38" w:name="_Toc18037"/>
            <w:r>
              <w:rPr>
                <w:rFonts w:hint="eastAsia"/>
                <w:b/>
                <w:bCs/>
                <w:color w:val="auto"/>
                <w:sz w:val="24"/>
                <w:highlight w:val="none"/>
                <w:lang w:val="en-US" w:eastAsia="zh-CN"/>
              </w:rPr>
              <w:t>2、</w:t>
            </w:r>
            <w:r>
              <w:rPr>
                <w:b/>
                <w:bCs/>
                <w:color w:val="auto"/>
                <w:sz w:val="24"/>
                <w:highlight w:val="none"/>
              </w:rPr>
              <w:t>前期</w:t>
            </w:r>
            <w:r>
              <w:rPr>
                <w:rFonts w:hint="eastAsia"/>
                <w:b/>
                <w:bCs/>
                <w:color w:val="auto"/>
                <w:sz w:val="24"/>
                <w:highlight w:val="none"/>
              </w:rPr>
              <w:t>项目</w:t>
            </w:r>
            <w:r>
              <w:rPr>
                <w:b/>
                <w:bCs/>
                <w:color w:val="auto"/>
                <w:sz w:val="24"/>
                <w:highlight w:val="none"/>
              </w:rPr>
              <w:t>环保手续履行情况</w:t>
            </w:r>
            <w:bookmarkEnd w:id="37"/>
            <w:bookmarkEnd w:id="38"/>
          </w:p>
          <w:p w14:paraId="6AF1D1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default" w:ascii="Times New Roman" w:hAnsi="Times New Roman" w:cs="Times New Roman"/>
                <w:color w:val="auto"/>
                <w:sz w:val="24"/>
                <w:highlight w:val="none"/>
                <w:lang w:val="en-US" w:eastAsia="zh-CN"/>
              </w:rPr>
              <w:t>渝河（神林）110kV输变电工程</w:t>
            </w:r>
            <w:r>
              <w:rPr>
                <w:rFonts w:hint="eastAsia"/>
                <w:color w:val="auto"/>
                <w:sz w:val="24"/>
                <w:highlight w:val="none"/>
              </w:rPr>
              <w:t>于</w:t>
            </w:r>
            <w:r>
              <w:rPr>
                <w:rFonts w:hint="default"/>
                <w:color w:val="auto"/>
                <w:sz w:val="24"/>
                <w:szCs w:val="24"/>
                <w:highlight w:val="none"/>
                <w:lang w:val="en-US" w:eastAsia="zh-CN"/>
              </w:rPr>
              <w:t>201</w:t>
            </w:r>
            <w:r>
              <w:rPr>
                <w:rFonts w:hint="eastAsia"/>
                <w:color w:val="auto"/>
                <w:sz w:val="24"/>
                <w:szCs w:val="24"/>
                <w:highlight w:val="none"/>
                <w:lang w:val="en-US" w:eastAsia="zh-CN"/>
              </w:rPr>
              <w:t>4</w:t>
            </w:r>
            <w:r>
              <w:rPr>
                <w:rFonts w:hint="default"/>
                <w:color w:val="auto"/>
                <w:sz w:val="24"/>
                <w:szCs w:val="24"/>
                <w:highlight w:val="none"/>
                <w:lang w:val="en-US" w:eastAsia="zh-CN"/>
              </w:rPr>
              <w:t>年</w:t>
            </w:r>
            <w:r>
              <w:rPr>
                <w:rFonts w:hint="eastAsia"/>
                <w:color w:val="auto"/>
                <w:sz w:val="24"/>
                <w:szCs w:val="24"/>
                <w:highlight w:val="none"/>
                <w:lang w:val="en-US" w:eastAsia="zh-CN"/>
              </w:rPr>
              <w:t>3</w:t>
            </w:r>
            <w:r>
              <w:rPr>
                <w:rFonts w:hint="default"/>
                <w:color w:val="auto"/>
                <w:sz w:val="24"/>
                <w:szCs w:val="24"/>
                <w:highlight w:val="none"/>
                <w:lang w:val="en-US" w:eastAsia="zh-CN"/>
              </w:rPr>
              <w:t>月</w:t>
            </w:r>
            <w:r>
              <w:rPr>
                <w:rFonts w:hint="eastAsia"/>
                <w:color w:val="auto"/>
                <w:sz w:val="24"/>
                <w:szCs w:val="24"/>
                <w:highlight w:val="none"/>
                <w:lang w:val="en-US" w:eastAsia="zh-CN"/>
              </w:rPr>
              <w:t>21</w:t>
            </w:r>
            <w:r>
              <w:rPr>
                <w:rFonts w:hint="default"/>
                <w:color w:val="auto"/>
                <w:sz w:val="24"/>
                <w:szCs w:val="24"/>
                <w:highlight w:val="none"/>
                <w:lang w:val="en-US" w:eastAsia="zh-CN"/>
              </w:rPr>
              <w:t>日</w:t>
            </w:r>
            <w:r>
              <w:rPr>
                <w:rFonts w:hint="eastAsia"/>
                <w:color w:val="auto"/>
                <w:sz w:val="24"/>
                <w:szCs w:val="24"/>
                <w:highlight w:val="none"/>
                <w:lang w:val="en-US" w:eastAsia="zh-CN"/>
              </w:rPr>
              <w:t>完成了环境影响评价工作（</w:t>
            </w:r>
            <w:r>
              <w:rPr>
                <w:rFonts w:hint="default"/>
                <w:color w:val="auto"/>
                <w:sz w:val="24"/>
                <w:szCs w:val="24"/>
                <w:highlight w:val="none"/>
                <w:lang w:val="en-US" w:eastAsia="zh-CN"/>
              </w:rPr>
              <w:t>宁核环〔201</w:t>
            </w:r>
            <w:r>
              <w:rPr>
                <w:rFonts w:hint="eastAsia"/>
                <w:color w:val="auto"/>
                <w:sz w:val="24"/>
                <w:szCs w:val="24"/>
                <w:highlight w:val="none"/>
                <w:lang w:val="en-US" w:eastAsia="zh-CN"/>
              </w:rPr>
              <w:t>4</w:t>
            </w:r>
            <w:r>
              <w:rPr>
                <w:rFonts w:hint="default"/>
                <w:color w:val="auto"/>
                <w:sz w:val="24"/>
                <w:szCs w:val="24"/>
                <w:highlight w:val="none"/>
                <w:lang w:val="en-US" w:eastAsia="zh-CN"/>
              </w:rPr>
              <w:t>〕</w:t>
            </w:r>
            <w:r>
              <w:rPr>
                <w:rFonts w:hint="eastAsia"/>
                <w:color w:val="auto"/>
                <w:sz w:val="24"/>
                <w:szCs w:val="24"/>
                <w:highlight w:val="none"/>
                <w:lang w:val="en-US" w:eastAsia="zh-CN"/>
              </w:rPr>
              <w:t>9</w:t>
            </w:r>
            <w:r>
              <w:rPr>
                <w:rFonts w:hint="default"/>
                <w:color w:val="auto"/>
                <w:sz w:val="24"/>
                <w:szCs w:val="24"/>
                <w:highlight w:val="none"/>
                <w:lang w:val="en-US" w:eastAsia="zh-CN"/>
              </w:rPr>
              <w:t>号</w:t>
            </w:r>
            <w:r>
              <w:rPr>
                <w:rFonts w:hint="eastAsia"/>
                <w:color w:val="auto"/>
                <w:sz w:val="24"/>
                <w:szCs w:val="24"/>
                <w:highlight w:val="none"/>
                <w:lang w:val="en-US" w:eastAsia="zh-CN"/>
              </w:rPr>
              <w:t>）；2016年8月8日</w:t>
            </w:r>
            <w:r>
              <w:rPr>
                <w:rFonts w:hint="default"/>
                <w:color w:val="auto"/>
                <w:sz w:val="24"/>
                <w:szCs w:val="24"/>
                <w:highlight w:val="none"/>
                <w:lang w:val="en-US" w:eastAsia="zh-CN"/>
              </w:rPr>
              <w:t>，该</w:t>
            </w:r>
            <w:r>
              <w:rPr>
                <w:rFonts w:hint="eastAsia"/>
                <w:color w:val="auto"/>
                <w:sz w:val="24"/>
                <w:szCs w:val="24"/>
                <w:highlight w:val="none"/>
                <w:lang w:val="en-US" w:eastAsia="zh-CN"/>
              </w:rPr>
              <w:t>工程</w:t>
            </w:r>
            <w:r>
              <w:rPr>
                <w:rFonts w:hint="default"/>
                <w:color w:val="auto"/>
                <w:sz w:val="24"/>
                <w:szCs w:val="24"/>
                <w:highlight w:val="none"/>
                <w:lang w:val="en-US" w:eastAsia="zh-CN"/>
              </w:rPr>
              <w:t>完成了竣工环境保护验收工作</w:t>
            </w:r>
            <w:r>
              <w:rPr>
                <w:rFonts w:hint="eastAsia"/>
                <w:color w:val="auto"/>
                <w:sz w:val="24"/>
                <w:szCs w:val="24"/>
                <w:highlight w:val="none"/>
                <w:lang w:val="en-US" w:eastAsia="zh-CN"/>
              </w:rPr>
              <w:t>（</w:t>
            </w:r>
            <w:r>
              <w:rPr>
                <w:rFonts w:hint="default"/>
                <w:color w:val="auto"/>
                <w:sz w:val="24"/>
                <w:szCs w:val="24"/>
                <w:highlight w:val="none"/>
                <w:lang w:val="en-US" w:eastAsia="zh-CN"/>
              </w:rPr>
              <w:t>宁核</w:t>
            </w:r>
            <w:r>
              <w:rPr>
                <w:rFonts w:hint="eastAsia"/>
                <w:color w:val="auto"/>
                <w:sz w:val="24"/>
                <w:szCs w:val="24"/>
                <w:highlight w:val="none"/>
                <w:lang w:val="en-US" w:eastAsia="zh-CN"/>
              </w:rPr>
              <w:t>验</w:t>
            </w:r>
            <w:r>
              <w:rPr>
                <w:rFonts w:hint="default"/>
                <w:color w:val="auto"/>
                <w:sz w:val="24"/>
                <w:szCs w:val="24"/>
                <w:highlight w:val="none"/>
                <w:lang w:val="en-US" w:eastAsia="zh-CN"/>
              </w:rPr>
              <w:t>〔201</w:t>
            </w:r>
            <w:r>
              <w:rPr>
                <w:rFonts w:hint="eastAsia"/>
                <w:color w:val="auto"/>
                <w:sz w:val="24"/>
                <w:szCs w:val="24"/>
                <w:highlight w:val="none"/>
                <w:lang w:val="en-US" w:eastAsia="zh-CN"/>
              </w:rPr>
              <w:t>6</w:t>
            </w:r>
            <w:r>
              <w:rPr>
                <w:rFonts w:hint="default"/>
                <w:color w:val="auto"/>
                <w:sz w:val="24"/>
                <w:szCs w:val="24"/>
                <w:highlight w:val="none"/>
                <w:lang w:val="en-US" w:eastAsia="zh-CN"/>
              </w:rPr>
              <w:t>〕</w:t>
            </w:r>
            <w:r>
              <w:rPr>
                <w:rFonts w:hint="eastAsia"/>
                <w:color w:val="auto"/>
                <w:sz w:val="24"/>
                <w:szCs w:val="24"/>
                <w:highlight w:val="none"/>
                <w:lang w:val="en-US" w:eastAsia="zh-CN"/>
              </w:rPr>
              <w:t>15</w:t>
            </w:r>
            <w:r>
              <w:rPr>
                <w:rFonts w:hint="default"/>
                <w:color w:val="auto"/>
                <w:sz w:val="24"/>
                <w:szCs w:val="24"/>
                <w:highlight w:val="none"/>
                <w:lang w:val="en-US" w:eastAsia="zh-CN"/>
              </w:rPr>
              <w:t>号</w:t>
            </w:r>
            <w:r>
              <w:rPr>
                <w:rFonts w:hint="eastAsia"/>
                <w:color w:val="auto"/>
                <w:sz w:val="24"/>
                <w:szCs w:val="24"/>
                <w:highlight w:val="none"/>
                <w:lang w:val="en-US" w:eastAsia="zh-CN"/>
              </w:rPr>
              <w:t>）</w:t>
            </w:r>
            <w:r>
              <w:rPr>
                <w:rFonts w:hint="default"/>
                <w:color w:val="auto"/>
                <w:sz w:val="24"/>
                <w:szCs w:val="24"/>
                <w:highlight w:val="none"/>
                <w:lang w:val="en-US" w:eastAsia="zh-CN"/>
              </w:rPr>
              <w:t>。</w:t>
            </w:r>
            <w:r>
              <w:rPr>
                <w:rFonts w:hint="eastAsia"/>
                <w:color w:val="auto"/>
                <w:sz w:val="24"/>
                <w:highlight w:val="none"/>
              </w:rPr>
              <w:t xml:space="preserve"> </w:t>
            </w:r>
          </w:p>
          <w:p w14:paraId="5BFDFB1C">
            <w:pPr>
              <w:pStyle w:val="8"/>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highlight w:val="none"/>
                <w:lang w:val="en-US"/>
              </w:rPr>
            </w:pPr>
            <w:r>
              <w:rPr>
                <w:rFonts w:hint="default" w:ascii="Times New Roman" w:hAnsi="Times New Roman" w:cs="Times New Roman"/>
                <w:color w:val="auto"/>
                <w:sz w:val="24"/>
                <w:szCs w:val="24"/>
                <w:highlight w:val="none"/>
                <w:lang w:val="en-US" w:eastAsia="zh-CN"/>
              </w:rPr>
              <w:t>宁夏固原隆德渝河110千伏变电站3号主变扩建工程于20</w:t>
            </w:r>
            <w:r>
              <w:rPr>
                <w:rFonts w:hint="eastAsia" w:ascii="Times New Roman" w:hAnsi="Times New Roman" w:cs="Times New Roman"/>
                <w:color w:val="auto"/>
                <w:sz w:val="24"/>
                <w:szCs w:val="24"/>
                <w:highlight w:val="none"/>
                <w:lang w:val="en-US" w:eastAsia="zh-CN"/>
              </w:rPr>
              <w:t>25</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月2</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日完成了环境影响评价</w:t>
            </w:r>
            <w:r>
              <w:rPr>
                <w:rFonts w:hint="eastAsia" w:ascii="Times New Roman" w:hAnsi="Times New Roman" w:cs="Times New Roman"/>
                <w:color w:val="auto"/>
                <w:sz w:val="24"/>
                <w:szCs w:val="24"/>
                <w:highlight w:val="none"/>
                <w:lang w:val="en-US" w:eastAsia="zh-CN"/>
              </w:rPr>
              <w:t>工作</w:t>
            </w:r>
            <w:r>
              <w:rPr>
                <w:rFonts w:hint="default" w:ascii="Times New Roman" w:hAnsi="Times New Roman" w:cs="Times New Roman"/>
                <w:color w:val="auto"/>
                <w:sz w:val="24"/>
                <w:szCs w:val="24"/>
                <w:highlight w:val="none"/>
                <w:lang w:val="en-US" w:eastAsia="zh-CN"/>
              </w:rPr>
              <w:t>（固环评审〔2025〕27号）</w:t>
            </w:r>
            <w:r>
              <w:rPr>
                <w:rFonts w:hint="eastAsia" w:ascii="Times New Roman" w:hAnsi="Times New Roman" w:cs="Times New Roman"/>
                <w:color w:val="auto"/>
                <w:sz w:val="24"/>
                <w:szCs w:val="24"/>
                <w:highlight w:val="none"/>
                <w:lang w:val="en-US" w:eastAsia="zh-CN"/>
              </w:rPr>
              <w:t>，目前该</w:t>
            </w:r>
            <w:r>
              <w:rPr>
                <w:rFonts w:hint="eastAsia" w:cs="Times New Roman"/>
                <w:color w:val="auto"/>
                <w:sz w:val="24"/>
                <w:szCs w:val="24"/>
                <w:highlight w:val="none"/>
                <w:lang w:val="en-US" w:eastAsia="zh-CN"/>
              </w:rPr>
              <w:t>工程暂未竣工</w:t>
            </w:r>
            <w:r>
              <w:rPr>
                <w:rFonts w:hint="eastAsia" w:ascii="Times New Roman" w:hAnsi="Times New Roman" w:cs="Times New Roman"/>
                <w:color w:val="auto"/>
                <w:sz w:val="24"/>
                <w:szCs w:val="24"/>
                <w:highlight w:val="none"/>
                <w:lang w:val="en-US" w:eastAsia="zh-CN"/>
              </w:rPr>
              <w:t>。</w:t>
            </w:r>
          </w:p>
          <w:p w14:paraId="71A38858">
            <w:pPr>
              <w:spacing w:line="360" w:lineRule="auto"/>
              <w:ind w:left="480"/>
              <w:rPr>
                <w:b/>
                <w:bCs/>
                <w:color w:val="auto"/>
                <w:sz w:val="24"/>
                <w:highlight w:val="none"/>
              </w:rPr>
            </w:pPr>
            <w:r>
              <w:rPr>
                <w:rFonts w:hint="eastAsia"/>
                <w:b/>
                <w:bCs/>
                <w:color w:val="auto"/>
                <w:sz w:val="24"/>
                <w:highlight w:val="none"/>
                <w:lang w:val="en-US" w:eastAsia="zh-CN"/>
              </w:rPr>
              <w:t>3、</w:t>
            </w:r>
            <w:r>
              <w:rPr>
                <w:b/>
                <w:bCs/>
                <w:color w:val="auto"/>
                <w:sz w:val="24"/>
                <w:highlight w:val="none"/>
              </w:rPr>
              <w:t>与本项目有关的原有环境污染和生态破坏问题</w:t>
            </w:r>
          </w:p>
          <w:p w14:paraId="29B29B65">
            <w:pPr>
              <w:spacing w:line="360" w:lineRule="auto"/>
              <w:ind w:left="480"/>
              <w:rPr>
                <w:color w:val="auto"/>
                <w:sz w:val="24"/>
                <w:highlight w:val="none"/>
              </w:rPr>
            </w:pPr>
            <w:r>
              <w:rPr>
                <w:rFonts w:hint="eastAsia"/>
                <w:color w:val="auto"/>
                <w:sz w:val="24"/>
                <w:highlight w:val="none"/>
                <w:lang w:val="en-US" w:eastAsia="zh-CN"/>
              </w:rPr>
              <w:t>（1）</w:t>
            </w:r>
            <w:r>
              <w:rPr>
                <w:color w:val="auto"/>
                <w:sz w:val="24"/>
                <w:highlight w:val="none"/>
              </w:rPr>
              <w:t>电磁环境、声环境</w:t>
            </w:r>
          </w:p>
          <w:p w14:paraId="58140C76">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根据前期</w:t>
            </w:r>
            <w:r>
              <w:rPr>
                <w:rFonts w:hint="eastAsia"/>
                <w:color w:val="auto"/>
                <w:sz w:val="24"/>
                <w:highlight w:val="none"/>
                <w:lang w:val="en-US" w:eastAsia="zh-CN"/>
              </w:rPr>
              <w:t>项目环境影响报告表、</w:t>
            </w:r>
            <w:r>
              <w:rPr>
                <w:rFonts w:hint="eastAsia" w:ascii="Times New Roman" w:hAnsi="Times New Roman" w:eastAsia="宋体" w:cs="Times New Roman"/>
                <w:color w:val="auto"/>
                <w:sz w:val="24"/>
                <w:szCs w:val="24"/>
                <w:highlight w:val="none"/>
                <w:lang w:val="en-US" w:eastAsia="zh-CN"/>
              </w:rPr>
              <w:t>竣工</w:t>
            </w:r>
            <w:r>
              <w:rPr>
                <w:rFonts w:hint="eastAsia" w:cs="Times New Roman"/>
                <w:color w:val="auto"/>
                <w:sz w:val="24"/>
                <w:szCs w:val="24"/>
                <w:highlight w:val="none"/>
                <w:lang w:val="en-US" w:eastAsia="zh-CN"/>
              </w:rPr>
              <w:t>环境保护</w:t>
            </w:r>
            <w:r>
              <w:rPr>
                <w:rFonts w:hint="eastAsia" w:ascii="Times New Roman" w:hAnsi="Times New Roman" w:eastAsia="宋体" w:cs="Times New Roman"/>
                <w:color w:val="auto"/>
                <w:sz w:val="24"/>
                <w:szCs w:val="24"/>
                <w:highlight w:val="none"/>
                <w:lang w:val="en-US" w:eastAsia="zh-CN"/>
              </w:rPr>
              <w:t>验收</w:t>
            </w:r>
            <w:r>
              <w:rPr>
                <w:rFonts w:hint="eastAsia" w:cs="Times New Roman"/>
                <w:color w:val="auto"/>
                <w:sz w:val="24"/>
                <w:szCs w:val="24"/>
                <w:highlight w:val="none"/>
                <w:lang w:val="en-US" w:eastAsia="zh-CN"/>
              </w:rPr>
              <w:t>调查表</w:t>
            </w:r>
            <w:r>
              <w:rPr>
                <w:rFonts w:hint="eastAsia" w:ascii="Times New Roman" w:hAnsi="Times New Roman" w:eastAsia="宋体" w:cs="Times New Roman"/>
                <w:color w:val="auto"/>
                <w:sz w:val="24"/>
                <w:szCs w:val="24"/>
                <w:highlight w:val="none"/>
                <w:lang w:val="en-US" w:eastAsia="zh-CN"/>
              </w:rPr>
              <w:t>及其验收意见</w:t>
            </w:r>
            <w:r>
              <w:rPr>
                <w:rFonts w:hint="eastAsia"/>
                <w:color w:val="auto"/>
                <w:sz w:val="24"/>
                <w:highlight w:val="none"/>
              </w:rPr>
              <w:t>可知，变电站</w:t>
            </w:r>
            <w:r>
              <w:rPr>
                <w:rFonts w:hint="eastAsia"/>
                <w:color w:val="auto"/>
                <w:sz w:val="24"/>
                <w:highlight w:val="none"/>
                <w:lang w:eastAsia="zh-CN"/>
              </w:rPr>
              <w:t>、</w:t>
            </w:r>
            <w:r>
              <w:rPr>
                <w:rFonts w:hint="eastAsia"/>
                <w:color w:val="auto"/>
                <w:sz w:val="24"/>
                <w:highlight w:val="none"/>
                <w:lang w:val="en-US" w:eastAsia="zh-CN"/>
              </w:rPr>
              <w:t>送电线路及环境保护目标的</w:t>
            </w:r>
            <w:r>
              <w:rPr>
                <w:color w:val="auto"/>
                <w:sz w:val="24"/>
                <w:highlight w:val="none"/>
              </w:rPr>
              <w:t>工频电场</w:t>
            </w:r>
            <w:r>
              <w:rPr>
                <w:rFonts w:hint="eastAsia"/>
                <w:color w:val="auto"/>
                <w:sz w:val="24"/>
                <w:highlight w:val="none"/>
                <w:lang w:val="en-US" w:eastAsia="zh-CN"/>
              </w:rPr>
              <w:t>强度</w:t>
            </w:r>
            <w:r>
              <w:rPr>
                <w:color w:val="auto"/>
                <w:sz w:val="24"/>
                <w:highlight w:val="none"/>
              </w:rPr>
              <w:t>、工频磁</w:t>
            </w:r>
            <w:r>
              <w:rPr>
                <w:rFonts w:hint="eastAsia"/>
                <w:color w:val="auto"/>
                <w:sz w:val="24"/>
                <w:highlight w:val="none"/>
                <w:lang w:val="en-US" w:eastAsia="zh-CN"/>
              </w:rPr>
              <w:t>感应强度监测值</w:t>
            </w:r>
            <w:r>
              <w:rPr>
                <w:color w:val="auto"/>
                <w:sz w:val="24"/>
                <w:highlight w:val="none"/>
              </w:rPr>
              <w:t>均</w:t>
            </w:r>
            <w:r>
              <w:rPr>
                <w:rFonts w:hint="eastAsia"/>
                <w:color w:val="auto"/>
                <w:sz w:val="24"/>
                <w:highlight w:val="none"/>
                <w:lang w:val="en-US" w:eastAsia="zh-CN"/>
              </w:rPr>
              <w:t>满足《电磁环境控制限值》（GB8702-2014）中</w:t>
            </w:r>
            <w:r>
              <w:rPr>
                <w:color w:val="auto"/>
                <w:sz w:val="24"/>
                <w:highlight w:val="none"/>
              </w:rPr>
              <w:t>规定的</w:t>
            </w:r>
            <w:r>
              <w:rPr>
                <w:rFonts w:hint="eastAsia"/>
                <w:color w:val="auto"/>
                <w:sz w:val="24"/>
                <w:highlight w:val="none"/>
                <w:lang w:val="en-US" w:eastAsia="zh-CN"/>
              </w:rPr>
              <w:t>相应</w:t>
            </w:r>
            <w:r>
              <w:rPr>
                <w:color w:val="auto"/>
                <w:sz w:val="24"/>
                <w:highlight w:val="none"/>
              </w:rPr>
              <w:t>标准限值</w:t>
            </w:r>
            <w:r>
              <w:rPr>
                <w:rFonts w:hint="eastAsia"/>
                <w:color w:val="auto"/>
                <w:sz w:val="24"/>
                <w:highlight w:val="none"/>
              </w:rPr>
              <w:t>；</w:t>
            </w:r>
            <w:r>
              <w:rPr>
                <w:color w:val="auto"/>
                <w:sz w:val="24"/>
                <w:highlight w:val="none"/>
              </w:rPr>
              <w:t>变电站厂界噪声</w:t>
            </w:r>
            <w:r>
              <w:rPr>
                <w:rFonts w:hint="eastAsia"/>
                <w:color w:val="auto"/>
                <w:sz w:val="24"/>
                <w:highlight w:val="none"/>
                <w:lang w:val="en-US" w:eastAsia="zh-CN"/>
              </w:rPr>
              <w:t>监测值均满足</w:t>
            </w:r>
            <w:r>
              <w:rPr>
                <w:color w:val="auto"/>
                <w:sz w:val="24"/>
                <w:highlight w:val="none"/>
              </w:rPr>
              <w:t>《工业企业厂界环境噪声排放标准》（GB12348-2008）</w:t>
            </w:r>
            <w:r>
              <w:rPr>
                <w:rFonts w:hint="eastAsia"/>
                <w:color w:val="auto"/>
                <w:sz w:val="24"/>
                <w:highlight w:val="none"/>
              </w:rPr>
              <w:t>2</w:t>
            </w:r>
            <w:r>
              <w:rPr>
                <w:color w:val="auto"/>
                <w:sz w:val="24"/>
                <w:highlight w:val="none"/>
              </w:rPr>
              <w:t>类标准。</w:t>
            </w:r>
          </w:p>
          <w:p w14:paraId="142EE0F6">
            <w:pPr>
              <w:spacing w:line="360" w:lineRule="auto"/>
              <w:ind w:left="480"/>
              <w:rPr>
                <w:color w:val="auto"/>
                <w:sz w:val="24"/>
                <w:highlight w:val="none"/>
              </w:rPr>
            </w:pPr>
            <w:r>
              <w:rPr>
                <w:rFonts w:hint="eastAsia"/>
                <w:color w:val="auto"/>
                <w:sz w:val="24"/>
                <w:highlight w:val="none"/>
                <w:lang w:val="en-US" w:eastAsia="zh-CN"/>
              </w:rPr>
              <w:t>（2）</w:t>
            </w:r>
            <w:r>
              <w:rPr>
                <w:color w:val="auto"/>
                <w:sz w:val="24"/>
                <w:highlight w:val="none"/>
              </w:rPr>
              <w:t>水环境</w:t>
            </w:r>
          </w:p>
          <w:p w14:paraId="65790BE4">
            <w:pPr>
              <w:spacing w:line="360" w:lineRule="auto"/>
              <w:ind w:firstLine="480" w:firstLineChars="200"/>
              <w:rPr>
                <w:color w:val="auto"/>
                <w:sz w:val="24"/>
                <w:highlight w:val="none"/>
              </w:rPr>
            </w:pPr>
            <w:r>
              <w:rPr>
                <w:rFonts w:hint="eastAsia"/>
                <w:color w:val="auto"/>
                <w:sz w:val="24"/>
                <w:highlight w:val="none"/>
                <w:lang w:val="en-US" w:eastAsia="zh-CN"/>
              </w:rPr>
              <w:t>经调查，渝河11</w:t>
            </w:r>
            <w:r>
              <w:rPr>
                <w:color w:val="auto"/>
                <w:sz w:val="24"/>
                <w:highlight w:val="none"/>
              </w:rPr>
              <w:t>0kV变电站</w:t>
            </w:r>
            <w:r>
              <w:rPr>
                <w:rFonts w:hint="eastAsia"/>
                <w:color w:val="auto"/>
                <w:sz w:val="24"/>
                <w:highlight w:val="none"/>
                <w:lang w:val="en-US" w:eastAsia="zh-CN"/>
              </w:rPr>
              <w:t>为无人值班有门卫值守变电站，站内设有1座旱厕，</w:t>
            </w:r>
            <w:r>
              <w:rPr>
                <w:rFonts w:hint="default" w:ascii="Times New Roman" w:hAnsi="Times New Roman" w:eastAsia="宋体" w:cs="Times New Roman"/>
                <w:color w:val="auto"/>
                <w:sz w:val="24"/>
                <w:szCs w:val="24"/>
                <w:highlight w:val="none"/>
                <w:lang w:val="en-US" w:eastAsia="zh-CN"/>
              </w:rPr>
              <w:t>检修人员和门卫</w:t>
            </w:r>
            <w:r>
              <w:rPr>
                <w:rFonts w:hint="eastAsia"/>
                <w:color w:val="auto"/>
                <w:sz w:val="24"/>
                <w:highlight w:val="none"/>
                <w:lang w:val="en-US" w:eastAsia="zh-CN"/>
              </w:rPr>
              <w:t>产生的少量</w:t>
            </w:r>
            <w:r>
              <w:rPr>
                <w:rFonts w:hint="default" w:ascii="Times New Roman" w:hAnsi="Times New Roman" w:eastAsia="宋体" w:cs="Times New Roman"/>
                <w:color w:val="auto"/>
                <w:sz w:val="24"/>
                <w:szCs w:val="24"/>
                <w:highlight w:val="none"/>
                <w:lang w:val="en-US" w:eastAsia="zh-CN"/>
              </w:rPr>
              <w:t>生活污水经</w:t>
            </w:r>
            <w:r>
              <w:rPr>
                <w:rFonts w:hint="eastAsia" w:cs="Times New Roman"/>
                <w:color w:val="auto"/>
                <w:sz w:val="24"/>
                <w:szCs w:val="24"/>
                <w:highlight w:val="none"/>
                <w:lang w:val="en-US" w:eastAsia="zh-CN"/>
              </w:rPr>
              <w:t>旱厕</w:t>
            </w:r>
            <w:r>
              <w:rPr>
                <w:rFonts w:hint="default" w:ascii="Times New Roman" w:hAnsi="Times New Roman" w:eastAsia="宋体" w:cs="Times New Roman"/>
                <w:color w:val="auto"/>
                <w:sz w:val="24"/>
                <w:szCs w:val="24"/>
                <w:highlight w:val="none"/>
                <w:lang w:val="en-US" w:eastAsia="zh-CN"/>
              </w:rPr>
              <w:t>处理</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旱厕</w:t>
            </w:r>
            <w:r>
              <w:rPr>
                <w:rFonts w:hint="default" w:ascii="Times New Roman" w:hAnsi="Times New Roman" w:eastAsia="宋体" w:cs="Times New Roman"/>
                <w:color w:val="auto"/>
                <w:sz w:val="24"/>
                <w:szCs w:val="24"/>
                <w:highlight w:val="none"/>
                <w:lang w:val="en-US" w:eastAsia="zh-CN"/>
              </w:rPr>
              <w:t>定期进行清掏，不外排，对水环境无影响。</w:t>
            </w:r>
          </w:p>
          <w:p w14:paraId="79D64B15">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（3）固体废物</w:t>
            </w:r>
          </w:p>
          <w:p w14:paraId="35FE87D0">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olor w:val="auto"/>
                <w:sz w:val="24"/>
                <w:highlight w:val="none"/>
                <w:lang w:val="en-US" w:eastAsia="zh-CN"/>
              </w:rPr>
              <w:t>经调查，渝河11</w:t>
            </w:r>
            <w:r>
              <w:rPr>
                <w:color w:val="auto"/>
                <w:sz w:val="24"/>
                <w:highlight w:val="none"/>
              </w:rPr>
              <w:t>0kV变电站</w:t>
            </w:r>
            <w:r>
              <w:rPr>
                <w:rFonts w:hint="eastAsia"/>
                <w:color w:val="auto"/>
                <w:sz w:val="24"/>
                <w:highlight w:val="none"/>
                <w:lang w:val="en-US" w:eastAsia="zh-CN"/>
              </w:rPr>
              <w:t>为无人值班有门卫值守变电站，站内设有生活垃圾桶，</w:t>
            </w:r>
            <w:r>
              <w:rPr>
                <w:rFonts w:hint="default" w:ascii="Times New Roman" w:hAnsi="Times New Roman" w:eastAsia="宋体" w:cs="Times New Roman"/>
                <w:color w:val="auto"/>
                <w:sz w:val="24"/>
                <w:szCs w:val="24"/>
                <w:highlight w:val="none"/>
                <w:lang w:val="en-US" w:eastAsia="zh-CN"/>
              </w:rPr>
              <w:t>检修人员和门卫产生的</w:t>
            </w:r>
            <w:r>
              <w:rPr>
                <w:rFonts w:hint="eastAsia" w:cs="Times New Roman"/>
                <w:color w:val="auto"/>
                <w:sz w:val="24"/>
                <w:szCs w:val="24"/>
                <w:highlight w:val="none"/>
                <w:lang w:val="en-US" w:eastAsia="zh-CN"/>
              </w:rPr>
              <w:t>少量</w:t>
            </w:r>
            <w:r>
              <w:rPr>
                <w:rFonts w:hint="default" w:ascii="Times New Roman" w:hAnsi="Times New Roman" w:eastAsia="宋体" w:cs="Times New Roman"/>
                <w:color w:val="auto"/>
                <w:sz w:val="24"/>
                <w:szCs w:val="24"/>
                <w:highlight w:val="none"/>
                <w:lang w:val="en-US" w:eastAsia="zh-CN"/>
              </w:rPr>
              <w:t>生活垃圾</w:t>
            </w:r>
            <w:r>
              <w:rPr>
                <w:rFonts w:hint="eastAsia" w:cs="Times New Roman"/>
                <w:color w:val="auto"/>
                <w:sz w:val="24"/>
                <w:szCs w:val="24"/>
                <w:highlight w:val="none"/>
                <w:lang w:val="en-US" w:eastAsia="zh-CN"/>
              </w:rPr>
              <w:t>分类</w:t>
            </w:r>
            <w:r>
              <w:rPr>
                <w:rFonts w:hint="default" w:ascii="Times New Roman" w:hAnsi="Times New Roman" w:eastAsia="宋体" w:cs="Times New Roman"/>
                <w:color w:val="auto"/>
                <w:sz w:val="24"/>
                <w:szCs w:val="24"/>
                <w:highlight w:val="none"/>
                <w:lang w:val="en-US" w:eastAsia="zh-CN"/>
              </w:rPr>
              <w:t>集中收集，定期运到</w:t>
            </w:r>
            <w:r>
              <w:rPr>
                <w:rFonts w:hint="eastAsia" w:ascii="Times New Roman" w:hAnsi="Times New Roman" w:eastAsia="宋体" w:cs="Times New Roman"/>
                <w:color w:val="auto"/>
                <w:sz w:val="24"/>
                <w:szCs w:val="24"/>
                <w:highlight w:val="none"/>
                <w:lang w:val="en-US" w:eastAsia="zh-CN"/>
              </w:rPr>
              <w:t>附近</w:t>
            </w:r>
            <w:r>
              <w:rPr>
                <w:rFonts w:hint="default" w:ascii="Times New Roman" w:hAnsi="Times New Roman" w:eastAsia="宋体" w:cs="Times New Roman"/>
                <w:color w:val="auto"/>
                <w:sz w:val="24"/>
                <w:szCs w:val="24"/>
                <w:highlight w:val="none"/>
                <w:lang w:val="en-US" w:eastAsia="zh-CN"/>
              </w:rPr>
              <w:t>垃圾收集点，由当地环卫部门统一清运处理，</w:t>
            </w:r>
            <w:r>
              <w:rPr>
                <w:rFonts w:hint="eastAsia" w:cs="Times New Roman"/>
                <w:color w:val="auto"/>
                <w:sz w:val="24"/>
                <w:szCs w:val="24"/>
                <w:highlight w:val="none"/>
                <w:lang w:val="en-US" w:eastAsia="zh-CN"/>
              </w:rPr>
              <w:t>未</w:t>
            </w:r>
            <w:r>
              <w:rPr>
                <w:rFonts w:hint="default" w:ascii="Times New Roman" w:hAnsi="Times New Roman" w:eastAsia="宋体" w:cs="Times New Roman"/>
                <w:color w:val="auto"/>
                <w:sz w:val="24"/>
                <w:szCs w:val="24"/>
                <w:highlight w:val="none"/>
                <w:lang w:val="en-US" w:eastAsia="zh-CN"/>
              </w:rPr>
              <w:t>污染环境。变电站产生的报废免维护蓄电池由有资质的第三方单位置换后直接回收，</w:t>
            </w:r>
            <w:r>
              <w:rPr>
                <w:rFonts w:hint="eastAsia" w:cs="Times New Roman"/>
                <w:color w:val="auto"/>
                <w:sz w:val="24"/>
                <w:szCs w:val="24"/>
                <w:highlight w:val="none"/>
                <w:lang w:val="en-US" w:eastAsia="zh-CN"/>
              </w:rPr>
              <w:t>未</w:t>
            </w:r>
            <w:r>
              <w:rPr>
                <w:rFonts w:hint="default" w:ascii="Times New Roman" w:hAnsi="Times New Roman" w:eastAsia="宋体" w:cs="Times New Roman"/>
                <w:color w:val="auto"/>
                <w:sz w:val="24"/>
                <w:szCs w:val="24"/>
                <w:highlight w:val="none"/>
                <w:lang w:val="en-US" w:eastAsia="zh-CN"/>
              </w:rPr>
              <w:t>在站内贮存。</w:t>
            </w:r>
          </w:p>
          <w:p w14:paraId="42276F7A">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变电站自运行以来无环境风险事故发生，未产生废变压器油。渝河变电站变压器设备最大绝缘油质量约为22t（密度约为0.895t/m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），折算体积约为24.6m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，已建事故油池有效容积20m</w:t>
            </w:r>
            <w:r>
              <w:rPr>
                <w:rFonts w:hint="eastAsia"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，满足《220kV~750kV变电站设计技术规程》 （DL/T5218-2012）10.2.6条“事故油池容积宜按最大一台设备油量的60%确定” 的要求。根据最新《火力发电厂与变电站设计防火标准》（GB50299-2019）6.7.8要求，事故油池容积应按其接入的油量最大的一台设备确定，应设置能容纳相应电气设备全部油重的贮油设施。因此，</w:t>
            </w:r>
            <w:r>
              <w:rPr>
                <w:rFonts w:hint="eastAsia" w:cs="Times New Roman"/>
                <w:color w:val="auto"/>
                <w:kern w:val="0"/>
                <w:sz w:val="24"/>
                <w:szCs w:val="24"/>
                <w:highlight w:val="none"/>
                <w:lang w:val="en-US" w:eastAsia="zh-CN"/>
              </w:rPr>
              <w:t>前期</w:t>
            </w:r>
            <w:r>
              <w:rPr>
                <w:rFonts w:hint="default" w:ascii="Times New Roman" w:hAnsi="Times New Roman" w:eastAsia="宋体" w:cs="Times New Roman"/>
                <w:color w:val="auto"/>
                <w:kern w:val="0"/>
                <w:sz w:val="24"/>
                <w:szCs w:val="24"/>
                <w:highlight w:val="none"/>
                <w:lang w:val="en-US" w:eastAsia="zh-CN"/>
              </w:rPr>
              <w:t>扩建工程对原有事故油池容积不足问题，拟新建1座5m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事故油池与原有20m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事故油池连通，形成总容积为25m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的事故油池，满足现行规范中总事故集油池容量应按其接入的最大一台设备确定的要求。</w:t>
            </w:r>
          </w:p>
          <w:p w14:paraId="6FCA1174">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（4）生态</w:t>
            </w:r>
          </w:p>
          <w:p w14:paraId="0869F9C7">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渝河11</w:t>
            </w:r>
            <w:r>
              <w:rPr>
                <w:color w:val="auto"/>
                <w:sz w:val="24"/>
                <w:highlight w:val="none"/>
              </w:rPr>
              <w:t>0kV</w:t>
            </w:r>
            <w:r>
              <w:rPr>
                <w:rFonts w:hint="eastAsia"/>
                <w:color w:val="auto"/>
                <w:sz w:val="24"/>
                <w:highlight w:val="none"/>
                <w:lang w:val="en-US" w:eastAsia="zh-CN"/>
              </w:rPr>
              <w:t>变电站内采取硬化、铺设方砖等措施，变电站周围及线路塔基周围均已平整恢复，施工临时占地已恢复了原有土地功能。</w:t>
            </w:r>
          </w:p>
          <w:tbl>
            <w:tblPr>
              <w:tblStyle w:val="29"/>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0"/>
              <w:gridCol w:w="4180"/>
            </w:tblGrid>
            <w:tr w14:paraId="79E7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761226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145C7F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r>
            <w:tr w14:paraId="723D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3143824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262234E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color w:val="auto"/>
                      <w:spacing w:val="0"/>
                      <w:w w:val="100"/>
                      <w:kern w:val="0"/>
                      <w:position w:val="0"/>
                      <w:sz w:val="24"/>
                      <w:szCs w:val="24"/>
                      <w:highlight w:val="none"/>
                      <w:lang w:val="en-US" w:eastAsia="zh-CN"/>
                    </w:rPr>
                    <w:t>******</w:t>
                  </w:r>
                </w:p>
              </w:tc>
            </w:tr>
            <w:tr w14:paraId="7479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61DC90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6CAA8B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r>
            <w:tr w14:paraId="77D0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0CCA67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276D86C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color w:val="auto"/>
                      <w:spacing w:val="0"/>
                      <w:w w:val="100"/>
                      <w:kern w:val="0"/>
                      <w:position w:val="0"/>
                      <w:sz w:val="24"/>
                      <w:szCs w:val="24"/>
                      <w:highlight w:val="none"/>
                      <w:lang w:val="en-US" w:eastAsia="zh-CN"/>
                    </w:rPr>
                    <w:t>******</w:t>
                  </w:r>
                </w:p>
              </w:tc>
            </w:tr>
            <w:tr w14:paraId="4639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1535EE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41CF8B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r>
            <w:tr w14:paraId="31A7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66A8FB5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04E07F4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r>
            <w:tr w14:paraId="7E7A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69C29E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770644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color w:val="auto"/>
                      <w:spacing w:val="0"/>
                      <w:w w:val="100"/>
                      <w:kern w:val="0"/>
                      <w:position w:val="0"/>
                      <w:sz w:val="24"/>
                      <w:szCs w:val="24"/>
                      <w:highlight w:val="none"/>
                      <w:lang w:val="en-US" w:eastAsia="zh-CN"/>
                    </w:rPr>
                    <w:t>******</w:t>
                  </w:r>
                </w:p>
              </w:tc>
            </w:tr>
            <w:tr w14:paraId="0959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04B27E2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01159CA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r>
            <w:tr w14:paraId="0E3A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22F377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508094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eastAsia" w:cs="Times New Roman"/>
                      <w:color w:val="auto"/>
                      <w:spacing w:val="0"/>
                      <w:w w:val="100"/>
                      <w:kern w:val="0"/>
                      <w:position w:val="0"/>
                      <w:sz w:val="24"/>
                      <w:szCs w:val="24"/>
                      <w:highlight w:val="none"/>
                      <w:lang w:val="en-US" w:eastAsia="zh-CN"/>
                    </w:rPr>
                    <w:t>******</w:t>
                  </w:r>
                </w:p>
              </w:tc>
            </w:tr>
            <w:tr w14:paraId="4945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3042741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7BF7B78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pacing w:val="0"/>
                      <w:w w:val="100"/>
                      <w:kern w:val="0"/>
                      <w:position w:val="0"/>
                      <w:sz w:val="24"/>
                      <w:szCs w:val="24"/>
                      <w:highlight w:val="none"/>
                      <w:lang w:val="en-US" w:eastAsia="zh-CN"/>
                    </w:rPr>
                    <w:t>******</w:t>
                  </w:r>
                </w:p>
              </w:tc>
            </w:tr>
            <w:tr w14:paraId="235B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443DDC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3618E3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color w:val="auto"/>
                      <w:spacing w:val="0"/>
                      <w:w w:val="100"/>
                      <w:kern w:val="0"/>
                      <w:position w:val="0"/>
                      <w:sz w:val="24"/>
                      <w:szCs w:val="24"/>
                      <w:highlight w:val="none"/>
                      <w:lang w:val="en-US" w:eastAsia="zh-CN"/>
                    </w:rPr>
                    <w:t>******</w:t>
                  </w:r>
                </w:p>
              </w:tc>
            </w:tr>
            <w:tr w14:paraId="6077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noWrap w:val="0"/>
                  <w:vAlign w:val="top"/>
                </w:tcPr>
                <w:p w14:paraId="7BEBB39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color w:val="auto"/>
                      <w:spacing w:val="0"/>
                      <w:w w:val="100"/>
                      <w:kern w:val="0"/>
                      <w:position w:val="0"/>
                      <w:sz w:val="24"/>
                      <w:szCs w:val="24"/>
                      <w:highlight w:val="none"/>
                      <w:lang w:val="en-US" w:eastAsia="zh-CN"/>
                    </w:rPr>
                    <w:t>******</w:t>
                  </w:r>
                </w:p>
              </w:tc>
              <w:tc>
                <w:tcPr>
                  <w:tcW w:w="4180" w:type="dxa"/>
                  <w:noWrap w:val="0"/>
                  <w:vAlign w:val="top"/>
                </w:tcPr>
                <w:p w14:paraId="4C47EB68">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color w:val="auto"/>
                      <w:spacing w:val="0"/>
                      <w:w w:val="100"/>
                      <w:kern w:val="0"/>
                      <w:position w:val="0"/>
                      <w:sz w:val="24"/>
                      <w:szCs w:val="24"/>
                      <w:highlight w:val="none"/>
                      <w:lang w:val="en-US" w:eastAsia="zh-CN"/>
                    </w:rPr>
                    <w:t>******</w:t>
                  </w:r>
                </w:p>
              </w:tc>
            </w:tr>
          </w:tbl>
          <w:p w14:paraId="482B097E">
            <w:pPr>
              <w:pStyle w:val="8"/>
              <w:spacing w:after="0" w:line="360" w:lineRule="auto"/>
              <w:ind w:left="0" w:leftChars="0" w:firstLine="0" w:firstLineChars="0"/>
              <w:jc w:val="center"/>
              <w:rPr>
                <w:color w:val="auto"/>
                <w:sz w:val="24"/>
                <w:highlight w:val="none"/>
              </w:rPr>
            </w:pPr>
            <w:r>
              <w:rPr>
                <w:rFonts w:hint="eastAsia" w:ascii="Times New Roman" w:hAnsi="Times New Roman" w:eastAsia="黑体" w:cs="Times New Roman"/>
                <w:b/>
                <w:color w:val="auto"/>
                <w:kern w:val="0"/>
                <w:sz w:val="24"/>
                <w:highlight w:val="none"/>
                <w:lang w:val="en-US" w:eastAsia="zh-CN"/>
              </w:rPr>
              <w:t>图3-</w:t>
            </w:r>
            <w:r>
              <w:rPr>
                <w:rFonts w:hint="eastAsia" w:eastAsia="黑体" w:cs="Times New Roman"/>
                <w:b/>
                <w:color w:val="auto"/>
                <w:kern w:val="0"/>
                <w:sz w:val="24"/>
                <w:highlight w:val="none"/>
                <w:lang w:val="en-US" w:eastAsia="zh-CN"/>
              </w:rPr>
              <w:t>4</w:t>
            </w:r>
            <w:r>
              <w:rPr>
                <w:rFonts w:hint="eastAsia" w:ascii="Times New Roman" w:hAnsi="Times New Roman" w:eastAsia="黑体" w:cs="Times New Roman"/>
                <w:b/>
                <w:color w:val="auto"/>
                <w:kern w:val="0"/>
                <w:sz w:val="24"/>
                <w:highlight w:val="none"/>
                <w:lang w:val="en-US" w:eastAsia="zh-CN"/>
              </w:rPr>
              <w:t xml:space="preserve">  渝河（神林）110kV输变电工程</w:t>
            </w:r>
            <w:r>
              <w:rPr>
                <w:rFonts w:hint="eastAsia" w:eastAsia="黑体" w:cs="Times New Roman"/>
                <w:b/>
                <w:color w:val="auto"/>
                <w:kern w:val="0"/>
                <w:sz w:val="24"/>
                <w:highlight w:val="none"/>
                <w:lang w:val="en-US" w:eastAsia="zh-CN"/>
              </w:rPr>
              <w:t>生态恢复情况</w:t>
            </w:r>
          </w:p>
          <w:p w14:paraId="166CAFC0">
            <w:pPr>
              <w:pStyle w:val="8"/>
              <w:spacing w:after="0" w:line="360" w:lineRule="auto"/>
              <w:ind w:left="0" w:leftChars="0" w:firstLine="480" w:firstLineChars="200"/>
              <w:jc w:val="left"/>
              <w:rPr>
                <w:rFonts w:hint="default"/>
                <w:color w:val="auto"/>
                <w:sz w:val="24"/>
                <w:highlight w:val="none"/>
                <w:lang w:val="en-US"/>
              </w:rPr>
            </w:pPr>
            <w:r>
              <w:rPr>
                <w:color w:val="auto"/>
                <w:sz w:val="24"/>
                <w:highlight w:val="none"/>
              </w:rPr>
              <w:t>综上所述，</w:t>
            </w:r>
            <w:r>
              <w:rPr>
                <w:rFonts w:hint="default" w:ascii="Times New Roman" w:hAnsi="Times New Roman" w:cs="Times New Roman"/>
                <w:color w:val="auto"/>
                <w:sz w:val="24"/>
                <w:highlight w:val="none"/>
                <w:lang w:val="en-US" w:eastAsia="zh-CN"/>
              </w:rPr>
              <w:t>渝河（神林）110kV输变电工程</w:t>
            </w:r>
            <w:r>
              <w:rPr>
                <w:color w:val="auto"/>
                <w:sz w:val="24"/>
                <w:highlight w:val="none"/>
              </w:rPr>
              <w:t>的</w:t>
            </w:r>
            <w:r>
              <w:rPr>
                <w:rFonts w:hint="eastAsia"/>
                <w:color w:val="auto"/>
                <w:sz w:val="24"/>
                <w:highlight w:val="none"/>
                <w:lang w:val="en-US" w:eastAsia="zh-CN"/>
              </w:rPr>
              <w:t>工频</w:t>
            </w:r>
            <w:r>
              <w:rPr>
                <w:color w:val="auto"/>
                <w:sz w:val="24"/>
                <w:highlight w:val="none"/>
              </w:rPr>
              <w:t>电磁场、声环境均低于相应的标准限值，生活污水、固体废物</w:t>
            </w:r>
            <w:r>
              <w:rPr>
                <w:rFonts w:hint="eastAsia"/>
                <w:color w:val="auto"/>
                <w:sz w:val="24"/>
                <w:highlight w:val="none"/>
                <w:lang w:val="en-US" w:eastAsia="zh-CN"/>
              </w:rPr>
              <w:t>及</w:t>
            </w:r>
            <w:r>
              <w:rPr>
                <w:color w:val="auto"/>
                <w:sz w:val="24"/>
                <w:highlight w:val="none"/>
              </w:rPr>
              <w:t>生态环境均采取有效的处理处置措施及</w:t>
            </w:r>
            <w:r>
              <w:rPr>
                <w:rFonts w:hint="eastAsia"/>
                <w:color w:val="auto"/>
                <w:sz w:val="24"/>
                <w:highlight w:val="none"/>
                <w:lang w:val="en-US" w:eastAsia="zh-CN"/>
              </w:rPr>
              <w:t>生态保护与恢复</w:t>
            </w:r>
            <w:r>
              <w:rPr>
                <w:color w:val="auto"/>
                <w:sz w:val="24"/>
                <w:highlight w:val="none"/>
              </w:rPr>
              <w:t>措施</w:t>
            </w:r>
            <w:r>
              <w:rPr>
                <w:rFonts w:hint="eastAsia"/>
                <w:color w:val="auto"/>
                <w:sz w:val="24"/>
                <w:highlight w:val="none"/>
                <w:lang w:val="en-US" w:eastAsia="zh-CN"/>
              </w:rPr>
              <w:t>，不存在原有环境污染和生态破坏问题</w:t>
            </w:r>
            <w:r>
              <w:rPr>
                <w:color w:val="auto"/>
                <w:sz w:val="24"/>
                <w:highlight w:val="none"/>
              </w:rPr>
              <w:t>。</w:t>
            </w:r>
          </w:p>
        </w:tc>
      </w:tr>
      <w:tr w14:paraId="2BC23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06" w:type="dxa"/>
            <w:vAlign w:val="center"/>
          </w:tcPr>
          <w:p w14:paraId="3FF6663F">
            <w:pPr>
              <w:adjustRightInd w:val="0"/>
              <w:snapToGrid w:val="0"/>
              <w:jc w:val="center"/>
              <w:rPr>
                <w:color w:val="auto"/>
                <w:kern w:val="0"/>
                <w:szCs w:val="21"/>
                <w:highlight w:val="none"/>
              </w:rPr>
            </w:pPr>
            <w:r>
              <w:rPr>
                <w:color w:val="auto"/>
                <w:kern w:val="0"/>
                <w:sz w:val="24"/>
                <w:highlight w:val="none"/>
              </w:rPr>
              <w:t>生态环境保护目标</w:t>
            </w:r>
          </w:p>
        </w:tc>
        <w:tc>
          <w:tcPr>
            <w:tcW w:w="8767" w:type="dxa"/>
            <w:vAlign w:val="center"/>
          </w:tcPr>
          <w:p w14:paraId="6ABD4BC3">
            <w:pPr>
              <w:spacing w:line="360" w:lineRule="auto"/>
              <w:ind w:firstLine="482" w:firstLineChars="200"/>
              <w:rPr>
                <w:b/>
                <w:bCs/>
                <w:color w:val="auto"/>
                <w:sz w:val="24"/>
                <w:highlight w:val="none"/>
              </w:rPr>
            </w:pPr>
            <w:r>
              <w:rPr>
                <w:b/>
                <w:bCs/>
                <w:color w:val="auto"/>
                <w:sz w:val="24"/>
                <w:highlight w:val="none"/>
              </w:rPr>
              <w:t>1、评价等级</w:t>
            </w:r>
          </w:p>
          <w:p w14:paraId="7B105F9D">
            <w:pPr>
              <w:widowControl/>
              <w:spacing w:line="360" w:lineRule="auto"/>
              <w:ind w:firstLine="480" w:firstLineChars="200"/>
              <w:jc w:val="left"/>
              <w:rPr>
                <w:color w:val="auto"/>
                <w:sz w:val="24"/>
                <w:highlight w:val="none"/>
              </w:rPr>
            </w:pPr>
            <w:r>
              <w:rPr>
                <w:color w:val="auto"/>
                <w:kern w:val="0"/>
                <w:sz w:val="24"/>
                <w:highlight w:val="none"/>
                <w:lang w:bidi="ar"/>
              </w:rPr>
              <w:t>（1）电磁环境</w:t>
            </w:r>
          </w:p>
          <w:p w14:paraId="1D71D400">
            <w:pPr>
              <w:spacing w:line="360" w:lineRule="auto"/>
              <w:ind w:firstLine="480" w:firstLineChars="200"/>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lang w:val="en-US" w:eastAsia="zh-CN"/>
              </w:rPr>
              <w:t>变电站</w:t>
            </w:r>
            <w:r>
              <w:rPr>
                <w:rFonts w:hint="eastAsia" w:ascii="Times New Roman" w:hAnsi="Times New Roman" w:cs="Times New Roman"/>
                <w:color w:val="auto"/>
                <w:sz w:val="24"/>
                <w:highlight w:val="none"/>
                <w:lang w:val="en-US" w:eastAsia="zh-CN"/>
              </w:rPr>
              <w:t>工程</w:t>
            </w:r>
          </w:p>
          <w:p w14:paraId="5A4B264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本项目变电站电压等级为</w:t>
            </w:r>
            <w:r>
              <w:rPr>
                <w:rFonts w:hint="eastAsia" w:cs="Times New Roman"/>
                <w:color w:val="auto"/>
                <w:sz w:val="24"/>
                <w:highlight w:val="none"/>
                <w:lang w:eastAsia="zh-CN"/>
              </w:rPr>
              <w:t>110kV</w:t>
            </w:r>
            <w:r>
              <w:rPr>
                <w:rFonts w:hint="default" w:ascii="Times New Roman" w:hAnsi="Times New Roman" w:cs="Times New Roman"/>
                <w:color w:val="auto"/>
                <w:sz w:val="24"/>
                <w:highlight w:val="none"/>
              </w:rPr>
              <w:t>，采用户外布置。根据《环境影响评价技术导则 输变电》</w:t>
            </w:r>
            <w:r>
              <w:rPr>
                <w:rFonts w:hint="default" w:ascii="Times New Roman" w:hAnsi="Times New Roman" w:cs="Times New Roman"/>
                <w:bCs/>
                <w:color w:val="auto"/>
                <w:sz w:val="24"/>
                <w:highlight w:val="none"/>
              </w:rPr>
              <w:t>（HJ24-2020）</w:t>
            </w:r>
            <w:r>
              <w:rPr>
                <w:rFonts w:hint="default" w:ascii="Times New Roman" w:hAnsi="Times New Roman" w:cs="Times New Roman"/>
                <w:color w:val="auto"/>
                <w:sz w:val="24"/>
                <w:highlight w:val="none"/>
              </w:rPr>
              <w:t>，确定本项目变电站电磁环境影响评价等级为二级。</w:t>
            </w:r>
          </w:p>
          <w:p w14:paraId="211D544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②输电线路工程</w:t>
            </w:r>
          </w:p>
          <w:p w14:paraId="3C0CDD37">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本项目输电线路采用架空线路。架空线路边导线地面投影外两侧各10m范围内</w:t>
            </w:r>
            <w:r>
              <w:rPr>
                <w:rFonts w:hint="eastAsia"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rPr>
              <w:t>电磁环境敏感目标，根据《环境影响评价技术导则 输变电》（HJ 24-2020），确定架空线路</w:t>
            </w:r>
            <w:r>
              <w:rPr>
                <w:rFonts w:hint="eastAsia" w:cs="Times New Roman"/>
                <w:color w:val="auto"/>
                <w:sz w:val="24"/>
                <w:highlight w:val="none"/>
                <w:lang w:val="en-US" w:eastAsia="zh-CN"/>
              </w:rPr>
              <w:t>电磁</w:t>
            </w:r>
            <w:r>
              <w:rPr>
                <w:rFonts w:hint="default" w:ascii="Times New Roman" w:hAnsi="Times New Roman" w:cs="Times New Roman"/>
                <w:color w:val="auto"/>
                <w:sz w:val="24"/>
                <w:highlight w:val="none"/>
              </w:rPr>
              <w:t>环境影响评价等级为</w:t>
            </w:r>
            <w:r>
              <w:rPr>
                <w:rFonts w:hint="eastAsia" w:ascii="Times New Roman" w:hAnsi="Times New Roman" w:cs="Times New Roman"/>
                <w:color w:val="auto"/>
                <w:sz w:val="24"/>
                <w:highlight w:val="none"/>
                <w:lang w:val="en-US" w:eastAsia="zh-CN"/>
              </w:rPr>
              <w:t>三</w:t>
            </w:r>
            <w:r>
              <w:rPr>
                <w:rFonts w:hint="default" w:ascii="Times New Roman" w:hAnsi="Times New Roman" w:cs="Times New Roman"/>
                <w:color w:val="auto"/>
                <w:sz w:val="24"/>
                <w:highlight w:val="none"/>
              </w:rPr>
              <w:t>级。</w:t>
            </w:r>
          </w:p>
          <w:p w14:paraId="57207A89">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综上，根据《环境影响评价技术导则 输变电》（HJ24-2020），确定本项目电磁环境影响评价等级为二级。</w:t>
            </w:r>
          </w:p>
          <w:p w14:paraId="1409B76F">
            <w:pPr>
              <w:widowControl/>
              <w:spacing w:line="360" w:lineRule="auto"/>
              <w:ind w:firstLine="480" w:firstLineChars="200"/>
              <w:jc w:val="left"/>
              <w:rPr>
                <w:color w:val="auto"/>
                <w:sz w:val="24"/>
                <w:highlight w:val="none"/>
              </w:rPr>
            </w:pPr>
            <w:r>
              <w:rPr>
                <w:color w:val="auto"/>
                <w:kern w:val="0"/>
                <w:sz w:val="24"/>
                <w:highlight w:val="none"/>
                <w:lang w:bidi="ar"/>
              </w:rPr>
              <w:t xml:space="preserve">（2）生态环境 </w:t>
            </w:r>
          </w:p>
          <w:p w14:paraId="547C593A">
            <w:pPr>
              <w:widowControl/>
              <w:spacing w:line="360" w:lineRule="auto"/>
              <w:ind w:firstLine="480" w:firstLineChars="200"/>
              <w:jc w:val="left"/>
              <w:rPr>
                <w:rFonts w:hint="default" w:ascii="Times New Roman" w:hAnsi="Times New Roman" w:cs="Times New Roman"/>
                <w:color w:val="auto"/>
                <w:kern w:val="0"/>
                <w:sz w:val="24"/>
                <w:highlight w:val="none"/>
                <w:lang w:eastAsia="zh-CN" w:bidi="ar"/>
              </w:rPr>
            </w:pPr>
            <w:r>
              <w:rPr>
                <w:rFonts w:hint="default" w:ascii="Times New Roman" w:hAnsi="Times New Roman" w:cs="Times New Roman"/>
                <w:color w:val="auto"/>
                <w:kern w:val="0"/>
                <w:sz w:val="24"/>
                <w:highlight w:val="none"/>
                <w:lang w:bidi="ar"/>
              </w:rPr>
              <w:t>根据《环境影响评价技术导则 生态影响》（HJ19-2022），</w:t>
            </w:r>
            <w:r>
              <w:rPr>
                <w:rFonts w:hint="default" w:ascii="Times New Roman" w:hAnsi="Times New Roman" w:cs="Times New Roman"/>
                <w:color w:val="auto"/>
                <w:kern w:val="0"/>
                <w:sz w:val="24"/>
                <w:highlight w:val="none"/>
                <w:lang w:eastAsia="zh-CN" w:bidi="ar"/>
              </w:rPr>
              <w:t>①</w:t>
            </w:r>
            <w:r>
              <w:rPr>
                <w:rFonts w:hint="default" w:ascii="Times New Roman" w:hAnsi="Times New Roman" w:cs="Times New Roman"/>
                <w:color w:val="auto"/>
                <w:kern w:val="0"/>
                <w:sz w:val="24"/>
                <w:highlight w:val="none"/>
                <w:lang w:bidi="ar"/>
              </w:rPr>
              <w:t>涉及国家公园、自然保护区、世界自然遗产、重要生境时，评价等级为一级</w:t>
            </w:r>
            <w:r>
              <w:rPr>
                <w:rFonts w:hint="default" w:ascii="Times New Roman" w:hAnsi="Times New Roman" w:cs="Times New Roman"/>
                <w:color w:val="auto"/>
                <w:kern w:val="0"/>
                <w:sz w:val="24"/>
                <w:highlight w:val="none"/>
                <w:lang w:eastAsia="zh-CN" w:bidi="ar"/>
              </w:rPr>
              <w:t>；②</w:t>
            </w:r>
            <w:r>
              <w:rPr>
                <w:rFonts w:hint="default" w:ascii="Times New Roman" w:hAnsi="Times New Roman" w:cs="Times New Roman"/>
                <w:color w:val="auto"/>
                <w:kern w:val="0"/>
                <w:sz w:val="24"/>
                <w:highlight w:val="none"/>
                <w:lang w:bidi="ar"/>
              </w:rPr>
              <w:t>涉及自然公园时，评价等级为二级</w:t>
            </w:r>
            <w:r>
              <w:rPr>
                <w:rFonts w:hint="default" w:ascii="Times New Roman" w:hAnsi="Times New Roman" w:cs="Times New Roman"/>
                <w:color w:val="auto"/>
                <w:kern w:val="0"/>
                <w:sz w:val="24"/>
                <w:highlight w:val="none"/>
                <w:lang w:eastAsia="zh-CN" w:bidi="ar"/>
              </w:rPr>
              <w:t>；③</w:t>
            </w:r>
            <w:r>
              <w:rPr>
                <w:rFonts w:hint="default" w:ascii="Times New Roman" w:hAnsi="Times New Roman" w:cs="Times New Roman"/>
                <w:color w:val="auto"/>
                <w:kern w:val="0"/>
                <w:sz w:val="24"/>
                <w:highlight w:val="none"/>
                <w:lang w:bidi="ar"/>
              </w:rPr>
              <w:t>涉及生态保护红线时，评价等级不低于二级</w:t>
            </w:r>
            <w:r>
              <w:rPr>
                <w:rFonts w:hint="default" w:ascii="Times New Roman" w:hAnsi="Times New Roman" w:cs="Times New Roman"/>
                <w:color w:val="auto"/>
                <w:kern w:val="0"/>
                <w:sz w:val="24"/>
                <w:highlight w:val="none"/>
                <w:lang w:eastAsia="zh-CN" w:bidi="ar"/>
              </w:rPr>
              <w:t>；④</w:t>
            </w:r>
            <w:r>
              <w:rPr>
                <w:rFonts w:hint="default" w:ascii="Times New Roman" w:hAnsi="Times New Roman" w:cs="Times New Roman"/>
                <w:color w:val="auto"/>
                <w:kern w:val="0"/>
                <w:sz w:val="24"/>
                <w:highlight w:val="none"/>
                <w:lang w:bidi="ar"/>
              </w:rPr>
              <w:t>根据HJ2.3判断属于水文要素影响型且地表水评价等级不低于二级的建设项目，生态影响评价等级不低于二级</w:t>
            </w:r>
            <w:r>
              <w:rPr>
                <w:rFonts w:hint="default" w:ascii="Times New Roman" w:hAnsi="Times New Roman" w:cs="Times New Roman"/>
                <w:color w:val="auto"/>
                <w:kern w:val="0"/>
                <w:sz w:val="24"/>
                <w:highlight w:val="none"/>
                <w:lang w:eastAsia="zh-CN" w:bidi="ar"/>
              </w:rPr>
              <w:t>；⑤</w:t>
            </w:r>
            <w:r>
              <w:rPr>
                <w:rFonts w:hint="default" w:ascii="Times New Roman" w:hAnsi="Times New Roman" w:cs="Times New Roman"/>
                <w:color w:val="auto"/>
                <w:kern w:val="0"/>
                <w:sz w:val="24"/>
                <w:highlight w:val="none"/>
                <w:lang w:bidi="ar"/>
              </w:rPr>
              <w:t>根据HJ610、HJ 964判断地下水水位或土壤影响范围内分布有天然林、公益林、湿地等生态保护目标的建设项目，生态影响评价等级不低于二级</w:t>
            </w:r>
            <w:r>
              <w:rPr>
                <w:rFonts w:hint="default" w:ascii="Times New Roman" w:hAnsi="Times New Roman" w:cs="Times New Roman"/>
                <w:color w:val="auto"/>
                <w:kern w:val="0"/>
                <w:sz w:val="24"/>
                <w:highlight w:val="none"/>
                <w:lang w:eastAsia="zh-CN" w:bidi="ar"/>
              </w:rPr>
              <w:t>；⑥</w:t>
            </w:r>
            <w:r>
              <w:rPr>
                <w:rFonts w:hint="default" w:ascii="Times New Roman" w:hAnsi="Times New Roman" w:cs="Times New Roman"/>
                <w:color w:val="auto"/>
                <w:kern w:val="0"/>
                <w:sz w:val="24"/>
                <w:highlight w:val="none"/>
                <w:lang w:bidi="ar"/>
              </w:rPr>
              <w:t>当工程占地规模大于20km</w:t>
            </w:r>
            <w:r>
              <w:rPr>
                <w:rFonts w:hint="default" w:ascii="Times New Roman" w:hAnsi="Times New Roman" w:cs="Times New Roman"/>
                <w:color w:val="auto"/>
                <w:kern w:val="0"/>
                <w:sz w:val="24"/>
                <w:highlight w:val="none"/>
                <w:vertAlign w:val="superscript"/>
                <w:lang w:bidi="ar"/>
              </w:rPr>
              <w:t>2</w:t>
            </w:r>
            <w:r>
              <w:rPr>
                <w:rFonts w:hint="default" w:ascii="Times New Roman" w:hAnsi="Times New Roman" w:cs="Times New Roman"/>
                <w:color w:val="auto"/>
                <w:kern w:val="0"/>
                <w:sz w:val="24"/>
                <w:highlight w:val="none"/>
                <w:lang w:bidi="ar"/>
              </w:rPr>
              <w:t>时</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bidi="ar"/>
              </w:rPr>
              <w:t>包括永久和临时占用陆域和水域</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bidi="ar"/>
              </w:rPr>
              <w:t>，评价等级不低于二级</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改扩建项目的占地范围以新增占地</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包括陆域和水域</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确定</w:t>
            </w:r>
            <w:r>
              <w:rPr>
                <w:rFonts w:hint="default"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除本条a)、b)、c)、d)、e)、f)以外的情况，评价等级为三级</w:t>
            </w:r>
            <w:r>
              <w:rPr>
                <w:rFonts w:hint="default"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eastAsia="zh-CN" w:bidi="ar"/>
              </w:rPr>
              <w:fldChar w:fldCharType="begin"/>
            </w:r>
            <w:r>
              <w:rPr>
                <w:rFonts w:hint="default" w:ascii="Times New Roman" w:hAnsi="Times New Roman" w:cs="Times New Roman"/>
                <w:color w:val="auto"/>
                <w:kern w:val="0"/>
                <w:sz w:val="24"/>
                <w:highlight w:val="none"/>
                <w:lang w:eastAsia="zh-CN" w:bidi="ar"/>
              </w:rPr>
              <w:instrText xml:space="preserve"> = 7 \* GB3 \* MERGEFORMAT </w:instrText>
            </w:r>
            <w:r>
              <w:rPr>
                <w:rFonts w:hint="default" w:ascii="Times New Roman" w:hAnsi="Times New Roman" w:cs="Times New Roman"/>
                <w:color w:val="auto"/>
                <w:kern w:val="0"/>
                <w:sz w:val="24"/>
                <w:highlight w:val="none"/>
                <w:lang w:eastAsia="zh-CN" w:bidi="ar"/>
              </w:rPr>
              <w:fldChar w:fldCharType="separate"/>
            </w:r>
            <w:r>
              <w:rPr>
                <w:rFonts w:hint="default" w:ascii="Times New Roman" w:hAnsi="Times New Roman" w:cs="Times New Roman"/>
                <w:color w:val="auto"/>
                <w:kern w:val="0"/>
                <w:sz w:val="24"/>
                <w:highlight w:val="none"/>
                <w:lang w:bidi="ar"/>
              </w:rPr>
              <w:t>⑦</w:t>
            </w:r>
            <w:r>
              <w:rPr>
                <w:rFonts w:hint="default" w:ascii="Times New Roman" w:hAnsi="Times New Roman" w:cs="Times New Roman"/>
                <w:color w:val="auto"/>
                <w:kern w:val="0"/>
                <w:sz w:val="24"/>
                <w:highlight w:val="none"/>
                <w:lang w:eastAsia="zh-CN" w:bidi="ar"/>
              </w:rPr>
              <w:fldChar w:fldCharType="end"/>
            </w:r>
            <w:r>
              <w:rPr>
                <w:rFonts w:hint="default" w:ascii="Times New Roman" w:hAnsi="Times New Roman" w:cs="Times New Roman"/>
                <w:color w:val="auto"/>
                <w:kern w:val="0"/>
                <w:sz w:val="24"/>
                <w:highlight w:val="none"/>
                <w:lang w:bidi="ar"/>
              </w:rPr>
              <w:t>线性工程地下穿越或地表跨越生态敏感区，在生态敏感区范围内无永久、临时占地时，评价等级可下调一级</w:t>
            </w:r>
            <w:r>
              <w:rPr>
                <w:rFonts w:hint="default" w:ascii="Times New Roman" w:hAnsi="Times New Roman" w:cs="Times New Roman"/>
                <w:color w:val="auto"/>
                <w:kern w:val="0"/>
                <w:sz w:val="24"/>
                <w:highlight w:val="none"/>
                <w:lang w:eastAsia="zh-CN" w:bidi="ar"/>
              </w:rPr>
              <w:t>。</w:t>
            </w:r>
          </w:p>
          <w:p w14:paraId="2112BB57">
            <w:pPr>
              <w:spacing w:line="360" w:lineRule="auto"/>
              <w:ind w:firstLine="482"/>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本项目占地</w:t>
            </w:r>
            <w:r>
              <w:rPr>
                <w:rFonts w:hint="default" w:ascii="Times New Roman" w:hAnsi="Times New Roman" w:cs="Times New Roman"/>
                <w:color w:val="auto"/>
                <w:kern w:val="0"/>
                <w:sz w:val="24"/>
                <w:highlight w:val="none"/>
                <w:lang w:val="en-US" w:eastAsia="zh-CN" w:bidi="ar"/>
              </w:rPr>
              <w:t>0.</w:t>
            </w:r>
            <w:r>
              <w:rPr>
                <w:rFonts w:hint="eastAsia" w:cs="Times New Roman"/>
                <w:color w:val="auto"/>
                <w:kern w:val="0"/>
                <w:sz w:val="24"/>
                <w:highlight w:val="none"/>
                <w:lang w:val="en-US" w:eastAsia="zh-CN" w:bidi="ar"/>
              </w:rPr>
              <w:t>0</w:t>
            </w:r>
            <w:r>
              <w:rPr>
                <w:rFonts w:hint="eastAsia" w:cs="Times New Roman" w:eastAsiaTheme="minorEastAsia"/>
                <w:color w:val="auto"/>
                <w:sz w:val="24"/>
                <w:highlight w:val="none"/>
                <w:lang w:val="en-US" w:eastAsia="zh-CN"/>
              </w:rPr>
              <w:t>75598</w:t>
            </w:r>
            <w:r>
              <w:rPr>
                <w:rFonts w:hint="default" w:ascii="Times New Roman" w:hAnsi="Times New Roman" w:cs="Times New Roman"/>
                <w:color w:val="auto"/>
                <w:kern w:val="0"/>
                <w:sz w:val="24"/>
                <w:highlight w:val="none"/>
                <w:lang w:val="en-US" w:eastAsia="zh-CN" w:bidi="ar"/>
              </w:rPr>
              <w:t>k</w:t>
            </w:r>
            <w:r>
              <w:rPr>
                <w:rFonts w:hint="default" w:ascii="Times New Roman" w:hAnsi="Times New Roman" w:cs="Times New Roman"/>
                <w:color w:val="auto"/>
                <w:kern w:val="0"/>
                <w:sz w:val="24"/>
                <w:highlight w:val="none"/>
                <w:lang w:bidi="ar"/>
              </w:rPr>
              <w:t>m</w:t>
            </w:r>
            <w:r>
              <w:rPr>
                <w:rFonts w:hint="default" w:ascii="Times New Roman" w:hAnsi="Times New Roman" w:cs="Times New Roman"/>
                <w:color w:val="auto"/>
                <w:kern w:val="0"/>
                <w:sz w:val="24"/>
                <w:highlight w:val="none"/>
                <w:vertAlign w:val="superscript"/>
                <w:lang w:bidi="ar"/>
              </w:rPr>
              <w:t>2</w:t>
            </w:r>
            <w:r>
              <w:rPr>
                <w:rFonts w:hint="default" w:ascii="Times New Roman" w:hAnsi="Times New Roman" w:cs="Times New Roman"/>
                <w:color w:val="auto"/>
                <w:kern w:val="0"/>
                <w:sz w:val="24"/>
                <w:highlight w:val="none"/>
                <w:lang w:bidi="ar"/>
              </w:rPr>
              <w:t>，小于20km</w:t>
            </w:r>
            <w:r>
              <w:rPr>
                <w:rFonts w:hint="default" w:ascii="Times New Roman" w:hAnsi="Times New Roman" w:cs="Times New Roman"/>
                <w:color w:val="auto"/>
                <w:kern w:val="0"/>
                <w:sz w:val="24"/>
                <w:highlight w:val="none"/>
                <w:vertAlign w:val="superscript"/>
                <w:lang w:bidi="ar"/>
              </w:rPr>
              <w:t>2</w:t>
            </w:r>
            <w:r>
              <w:rPr>
                <w:rFonts w:hint="eastAsia"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本项目不涉及</w:t>
            </w:r>
            <w:r>
              <w:rPr>
                <w:rFonts w:hint="eastAsia" w:cs="Times New Roman"/>
                <w:color w:val="auto"/>
                <w:kern w:val="0"/>
                <w:sz w:val="24"/>
                <w:highlight w:val="none"/>
                <w:lang w:val="en-US" w:eastAsia="zh-CN" w:bidi="ar"/>
              </w:rPr>
              <w:t>国家公园、</w:t>
            </w:r>
            <w:r>
              <w:rPr>
                <w:rFonts w:hint="default" w:ascii="Times New Roman" w:hAnsi="Times New Roman" w:cs="Times New Roman"/>
                <w:color w:val="auto"/>
                <w:kern w:val="0"/>
                <w:sz w:val="24"/>
                <w:highlight w:val="none"/>
                <w:lang w:bidi="ar"/>
              </w:rPr>
              <w:t>自然保护区、世界自然遗产</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重要生境、自然公园</w:t>
            </w:r>
            <w:r>
              <w:rPr>
                <w:rFonts w:hint="default" w:ascii="Times New Roman" w:hAnsi="Times New Roman" w:cs="Times New Roman"/>
                <w:color w:val="auto"/>
                <w:kern w:val="0"/>
                <w:sz w:val="24"/>
                <w:highlight w:val="none"/>
                <w:lang w:bidi="ar"/>
              </w:rPr>
              <w:t>等</w:t>
            </w:r>
            <w:r>
              <w:rPr>
                <w:rFonts w:hint="eastAsia" w:cs="Times New Roman"/>
                <w:color w:val="auto"/>
                <w:kern w:val="0"/>
                <w:sz w:val="24"/>
                <w:highlight w:val="none"/>
                <w:lang w:val="en-US" w:eastAsia="zh-CN" w:bidi="ar"/>
              </w:rPr>
              <w:t>生态</w:t>
            </w:r>
            <w:r>
              <w:rPr>
                <w:rFonts w:hint="default" w:ascii="Times New Roman" w:hAnsi="Times New Roman" w:cs="Times New Roman"/>
                <w:color w:val="auto"/>
                <w:kern w:val="0"/>
                <w:sz w:val="24"/>
                <w:highlight w:val="none"/>
                <w:lang w:bidi="ar"/>
              </w:rPr>
              <w:t>敏感区，</w:t>
            </w:r>
            <w:r>
              <w:rPr>
                <w:rFonts w:hint="eastAsia" w:cs="Times New Roman"/>
                <w:color w:val="auto"/>
                <w:kern w:val="0"/>
                <w:sz w:val="24"/>
                <w:highlight w:val="none"/>
                <w:lang w:val="en-US" w:eastAsia="zh-CN" w:bidi="ar"/>
              </w:rPr>
              <w:t>但涉及生态保护红线，评价等级不低于二级；</w:t>
            </w:r>
            <w:r>
              <w:rPr>
                <w:rFonts w:hint="eastAsia" w:cs="Times New Roman"/>
                <w:bCs/>
                <w:color w:val="auto"/>
                <w:sz w:val="24"/>
                <w:highlight w:val="none"/>
                <w:lang w:val="en-US" w:eastAsia="zh-CN"/>
              </w:rPr>
              <w:t>输电</w:t>
            </w:r>
            <w:r>
              <w:rPr>
                <w:rFonts w:hint="eastAsia" w:cs="宋体"/>
                <w:color w:val="auto"/>
                <w:sz w:val="24"/>
                <w:highlight w:val="none"/>
                <w:lang w:val="en-US" w:eastAsia="zh-CN"/>
              </w:rPr>
              <w:t>线路一档跨越******，跨越线路长度约</w:t>
            </w:r>
            <w:r>
              <w:rPr>
                <w:rFonts w:hint="default" w:ascii="Times New Roman" w:hAnsi="Times New Roman" w:cs="Times New Roman"/>
                <w:color w:val="auto"/>
                <w:sz w:val="24"/>
                <w:highlight w:val="none"/>
                <w:lang w:val="en-US" w:eastAsia="zh-CN"/>
              </w:rPr>
              <w:t>13m，</w:t>
            </w:r>
            <w:r>
              <w:rPr>
                <w:rFonts w:hint="eastAsia" w:cs="宋体"/>
                <w:color w:val="auto"/>
                <w:sz w:val="24"/>
                <w:highlight w:val="none"/>
                <w:lang w:val="en-US" w:eastAsia="zh-CN"/>
              </w:rPr>
              <w:t>最近铁塔距离该生态保护红线约</w:t>
            </w:r>
            <w:r>
              <w:rPr>
                <w:rFonts w:hint="eastAsia"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且</w:t>
            </w:r>
            <w:r>
              <w:rPr>
                <w:rFonts w:hint="eastAsia" w:cs="Times New Roman"/>
                <w:bCs/>
                <w:color w:val="auto"/>
                <w:sz w:val="24"/>
                <w:highlight w:val="none"/>
                <w:lang w:val="en-US" w:eastAsia="zh-CN"/>
              </w:rPr>
              <w:t>在生态保护红线范围内无永久、临时占地，评价等级下调一级，为三级。</w:t>
            </w:r>
          </w:p>
          <w:p w14:paraId="53CED2BF">
            <w:pPr>
              <w:widowControl/>
              <w:spacing w:line="360" w:lineRule="auto"/>
              <w:ind w:firstLine="480" w:firstLineChars="200"/>
              <w:jc w:val="left"/>
              <w:rPr>
                <w:color w:val="auto"/>
                <w:sz w:val="24"/>
                <w:highlight w:val="none"/>
              </w:rPr>
            </w:pPr>
            <w:r>
              <w:rPr>
                <w:rFonts w:hint="default" w:ascii="Times New Roman" w:hAnsi="Times New Roman" w:cs="Times New Roman"/>
                <w:color w:val="auto"/>
                <w:kern w:val="0"/>
                <w:sz w:val="24"/>
                <w:highlight w:val="none"/>
                <w:lang w:val="en-US" w:eastAsia="zh-CN" w:bidi="ar"/>
              </w:rPr>
              <w:t>综上所述，本项目</w:t>
            </w:r>
            <w:r>
              <w:rPr>
                <w:color w:val="auto"/>
                <w:sz w:val="24"/>
                <w:highlight w:val="none"/>
              </w:rPr>
              <w:t>生态影响评价等级为</w:t>
            </w:r>
            <w:r>
              <w:rPr>
                <w:rFonts w:hint="eastAsia"/>
                <w:color w:val="auto"/>
                <w:sz w:val="24"/>
                <w:highlight w:val="none"/>
              </w:rPr>
              <w:t>三</w:t>
            </w:r>
            <w:r>
              <w:rPr>
                <w:color w:val="auto"/>
                <w:sz w:val="24"/>
                <w:highlight w:val="none"/>
              </w:rPr>
              <w:t>级。</w:t>
            </w:r>
          </w:p>
          <w:p w14:paraId="4077D6C8">
            <w:pPr>
              <w:widowControl/>
              <w:spacing w:line="360" w:lineRule="auto"/>
              <w:ind w:firstLine="480" w:firstLineChars="200"/>
              <w:jc w:val="left"/>
              <w:rPr>
                <w:color w:val="auto"/>
                <w:sz w:val="24"/>
                <w:highlight w:val="none"/>
              </w:rPr>
            </w:pPr>
            <w:r>
              <w:rPr>
                <w:color w:val="auto"/>
                <w:kern w:val="0"/>
                <w:sz w:val="24"/>
                <w:highlight w:val="none"/>
                <w:lang w:bidi="ar"/>
              </w:rPr>
              <w:t xml:space="preserve">（3）声环境 </w:t>
            </w:r>
          </w:p>
          <w:p w14:paraId="68410B4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eastAsia="宋体" w:cs="Times New Roman"/>
                <w:color w:val="auto"/>
                <w:spacing w:val="0"/>
                <w:w w:val="100"/>
                <w:position w:val="0"/>
                <w:sz w:val="24"/>
                <w:highlight w:val="none"/>
                <w:lang w:val="en-US" w:eastAsia="zh-CN"/>
              </w:rPr>
              <w:t>根据《环境影响评价技术导则 声环境》（HJ2.4-2021）5.1.3建设项目所处的声环境功能区为GB3096规定的1类、2类地区，或建设项目建设前后评价范围内声环境保护目标噪声级增量达3dB(A)～5dB(A)，或受噪声影响人口数量增加较多时，按二级评价。5.1.4建设项目所处的声环境功能区为GB3096规定的3类、4类地区，或建设项目建设前后评价范围内声环境保护目标噪声级增量在3dB(A)以下（不含3dB(A)），且受影响人口数量变化不大时，按三级评价。5.1.5在确定评价等级时，如果建设项目符合两个等级的划分原则，按较高等级评价。</w:t>
            </w:r>
          </w:p>
          <w:p w14:paraId="26A520A8">
            <w:pPr>
              <w:widowControl/>
              <w:spacing w:line="360" w:lineRule="auto"/>
              <w:ind w:firstLine="480" w:firstLineChars="200"/>
              <w:jc w:val="left"/>
              <w:rPr>
                <w:color w:val="auto"/>
                <w:sz w:val="24"/>
                <w:highlight w:val="none"/>
              </w:rPr>
            </w:pPr>
            <w:r>
              <w:rPr>
                <w:rFonts w:hint="default" w:ascii="Times New Roman" w:hAnsi="Times New Roman" w:eastAsia="宋体" w:cs="Times New Roman"/>
                <w:color w:val="auto"/>
                <w:spacing w:val="0"/>
                <w:w w:val="100"/>
                <w:position w:val="0"/>
                <w:sz w:val="24"/>
                <w:highlight w:val="none"/>
                <w:lang w:val="en-US" w:eastAsia="zh-CN"/>
              </w:rPr>
              <w:t>本项目位于《声环境质量标准》（GB3096-2008）1类、2类</w:t>
            </w:r>
            <w:r>
              <w:rPr>
                <w:rFonts w:hint="default" w:ascii="Times New Roman" w:hAnsi="Times New Roman" w:eastAsia="宋体" w:cs="Times New Roman"/>
                <w:color w:val="auto"/>
                <w:spacing w:val="0"/>
                <w:w w:val="100"/>
                <w:position w:val="0"/>
                <w:sz w:val="24"/>
                <w:highlight w:val="none"/>
              </w:rPr>
              <w:t>地区</w:t>
            </w:r>
            <w:r>
              <w:rPr>
                <w:rFonts w:hint="default" w:ascii="Times New Roman" w:hAnsi="Times New Roman" w:eastAsia="宋体" w:cs="Times New Roman"/>
                <w:color w:val="auto"/>
                <w:spacing w:val="0"/>
                <w:w w:val="100"/>
                <w:position w:val="0"/>
                <w:sz w:val="24"/>
                <w:highlight w:val="none"/>
                <w:lang w:val="en-US" w:eastAsia="zh-CN"/>
              </w:rPr>
              <w:t>，经预测</w:t>
            </w:r>
            <w:r>
              <w:rPr>
                <w:rFonts w:hint="eastAsia" w:ascii="Times New Roman" w:hAnsi="Times New Roman" w:eastAsia="宋体" w:cs="Times New Roman"/>
                <w:color w:val="auto"/>
                <w:spacing w:val="0"/>
                <w:w w:val="100"/>
                <w:position w:val="0"/>
                <w:sz w:val="24"/>
                <w:highlight w:val="none"/>
                <w:lang w:val="en-US" w:eastAsia="zh-CN"/>
              </w:rPr>
              <w:t>项目</w:t>
            </w:r>
            <w:r>
              <w:rPr>
                <w:rFonts w:hint="default" w:ascii="Times New Roman" w:hAnsi="Times New Roman" w:eastAsia="宋体" w:cs="Times New Roman"/>
                <w:color w:val="auto"/>
                <w:spacing w:val="0"/>
                <w:w w:val="100"/>
                <w:position w:val="0"/>
                <w:sz w:val="24"/>
                <w:highlight w:val="none"/>
                <w:lang w:val="en-US" w:eastAsia="zh-CN"/>
              </w:rPr>
              <w:t>建设后</w:t>
            </w:r>
            <w:r>
              <w:rPr>
                <w:rFonts w:hint="eastAsia" w:ascii="Times New Roman" w:hAnsi="Times New Roman" w:eastAsia="宋体" w:cs="Times New Roman"/>
                <w:color w:val="auto"/>
                <w:spacing w:val="0"/>
                <w:w w:val="100"/>
                <w:position w:val="0"/>
                <w:sz w:val="24"/>
                <w:highlight w:val="none"/>
                <w:lang w:val="en-US" w:eastAsia="zh-CN"/>
              </w:rPr>
              <w:t>评价范围内声环境保护</w:t>
            </w:r>
            <w:r>
              <w:rPr>
                <w:rFonts w:hint="default" w:ascii="Times New Roman" w:hAnsi="Times New Roman" w:eastAsia="宋体" w:cs="Times New Roman"/>
                <w:color w:val="auto"/>
                <w:spacing w:val="0"/>
                <w:w w:val="100"/>
                <w:position w:val="0"/>
                <w:sz w:val="24"/>
                <w:highlight w:val="none"/>
                <w:lang w:val="en-US" w:eastAsia="zh-CN"/>
              </w:rPr>
              <w:t>目标噪声级增量小于3dB</w:t>
            </w:r>
            <w:r>
              <w:rPr>
                <w:rFonts w:hint="eastAsia" w:ascii="Times New Roman" w:hAnsi="Times New Roman" w:eastAsia="宋体" w:cs="Times New Roman"/>
                <w:color w:val="auto"/>
                <w:spacing w:val="0"/>
                <w:w w:val="100"/>
                <w:position w:val="0"/>
                <w:sz w:val="24"/>
                <w:highlight w:val="none"/>
                <w:lang w:val="en-US" w:eastAsia="zh-CN"/>
              </w:rPr>
              <w:t>(</w:t>
            </w:r>
            <w:r>
              <w:rPr>
                <w:rFonts w:hint="default" w:ascii="Times New Roman" w:hAnsi="Times New Roman" w:eastAsia="宋体" w:cs="Times New Roman"/>
                <w:color w:val="auto"/>
                <w:spacing w:val="0"/>
                <w:w w:val="100"/>
                <w:position w:val="0"/>
                <w:sz w:val="24"/>
                <w:highlight w:val="none"/>
                <w:lang w:val="en-US" w:eastAsia="zh-CN"/>
              </w:rPr>
              <w:t>A</w:t>
            </w:r>
            <w:r>
              <w:rPr>
                <w:rFonts w:hint="eastAsia" w:ascii="Times New Roman" w:hAnsi="Times New Roman" w:eastAsia="宋体" w:cs="Times New Roman"/>
                <w:color w:val="auto"/>
                <w:spacing w:val="0"/>
                <w:w w:val="100"/>
                <w:position w:val="0"/>
                <w:sz w:val="24"/>
                <w:highlight w:val="none"/>
                <w:lang w:val="en-US" w:eastAsia="zh-CN"/>
              </w:rPr>
              <w:t>)</w:t>
            </w:r>
            <w:r>
              <w:rPr>
                <w:rFonts w:hint="default" w:ascii="Times New Roman" w:hAnsi="Times New Roman" w:eastAsia="宋体" w:cs="Times New Roman"/>
                <w:color w:val="auto"/>
                <w:spacing w:val="0"/>
                <w:w w:val="100"/>
                <w:position w:val="0"/>
                <w:sz w:val="24"/>
                <w:highlight w:val="none"/>
                <w:lang w:val="en-US" w:eastAsia="zh-CN"/>
              </w:rPr>
              <w:t>，受噪声影响的人口数量变化不大。根据《环境影响评价技术导则 声环境》（HJ2.4-2021），</w:t>
            </w:r>
            <w:r>
              <w:rPr>
                <w:rFonts w:hint="eastAsia" w:ascii="Times New Roman" w:hAnsi="Times New Roman" w:eastAsia="宋体" w:cs="Times New Roman"/>
                <w:color w:val="auto"/>
                <w:spacing w:val="0"/>
                <w:w w:val="100"/>
                <w:position w:val="0"/>
                <w:sz w:val="24"/>
                <w:highlight w:val="none"/>
                <w:lang w:val="en-US" w:eastAsia="zh-CN"/>
              </w:rPr>
              <w:t>本项目</w:t>
            </w:r>
            <w:r>
              <w:rPr>
                <w:rFonts w:hint="default" w:ascii="Times New Roman" w:hAnsi="Times New Roman" w:eastAsia="宋体" w:cs="Times New Roman"/>
                <w:color w:val="auto"/>
                <w:spacing w:val="0"/>
                <w:w w:val="100"/>
                <w:position w:val="0"/>
                <w:sz w:val="24"/>
                <w:highlight w:val="none"/>
                <w:lang w:val="en-US" w:eastAsia="zh-CN"/>
              </w:rPr>
              <w:t>声环境</w:t>
            </w:r>
            <w:r>
              <w:rPr>
                <w:rFonts w:hint="eastAsia" w:ascii="Times New Roman" w:hAnsi="Times New Roman" w:eastAsia="宋体" w:cs="Times New Roman"/>
                <w:color w:val="auto"/>
                <w:spacing w:val="0"/>
                <w:w w:val="100"/>
                <w:position w:val="0"/>
                <w:sz w:val="24"/>
                <w:highlight w:val="none"/>
                <w:lang w:val="en-US" w:eastAsia="zh-CN"/>
              </w:rPr>
              <w:t>影响评价等级为</w:t>
            </w:r>
            <w:r>
              <w:rPr>
                <w:rFonts w:hint="default" w:ascii="Times New Roman" w:hAnsi="Times New Roman" w:eastAsia="宋体" w:cs="Times New Roman"/>
                <w:color w:val="auto"/>
                <w:spacing w:val="0"/>
                <w:w w:val="100"/>
                <w:position w:val="0"/>
                <w:sz w:val="24"/>
                <w:highlight w:val="none"/>
                <w:lang w:val="en-US" w:eastAsia="zh-CN"/>
              </w:rPr>
              <w:t>二级。</w:t>
            </w:r>
          </w:p>
          <w:p w14:paraId="27E29A5C">
            <w:pPr>
              <w:pStyle w:val="8"/>
              <w:spacing w:after="0" w:line="360" w:lineRule="auto"/>
              <w:ind w:left="0" w:leftChars="0" w:firstLine="480" w:firstLineChars="200"/>
              <w:rPr>
                <w:color w:val="auto"/>
                <w:sz w:val="24"/>
                <w:highlight w:val="none"/>
              </w:rPr>
            </w:pPr>
            <w:r>
              <w:rPr>
                <w:color w:val="auto"/>
                <w:sz w:val="24"/>
                <w:highlight w:val="none"/>
              </w:rPr>
              <w:t xml:space="preserve">（4）地表水环境 </w:t>
            </w:r>
          </w:p>
          <w:p w14:paraId="676E2139">
            <w:pPr>
              <w:spacing w:line="360" w:lineRule="auto"/>
              <w:ind w:firstLine="480" w:firstLineChars="200"/>
              <w:rPr>
                <w:b/>
                <w:bCs/>
                <w:color w:val="auto"/>
                <w:sz w:val="24"/>
                <w:highlight w:val="none"/>
              </w:rPr>
            </w:pPr>
            <w:r>
              <w:rPr>
                <w:rFonts w:hint="default" w:ascii="Times New Roman" w:hAnsi="Times New Roman" w:cs="Times New Roman"/>
                <w:color w:val="auto"/>
                <w:kern w:val="0"/>
                <w:sz w:val="24"/>
                <w:highlight w:val="none"/>
                <w:lang w:val="en-US" w:eastAsia="zh-CN"/>
              </w:rPr>
              <w:t>本</w:t>
            </w:r>
            <w:r>
              <w:rPr>
                <w:rFonts w:hint="eastAsia" w:ascii="Times New Roman" w:hAnsi="Times New Roman" w:cs="Times New Roman"/>
                <w:color w:val="auto"/>
                <w:kern w:val="0"/>
                <w:sz w:val="24"/>
                <w:highlight w:val="none"/>
                <w:lang w:val="en-US" w:eastAsia="zh-CN"/>
              </w:rPr>
              <w:t>项目</w:t>
            </w:r>
            <w:r>
              <w:rPr>
                <w:rFonts w:hint="default" w:ascii="Times New Roman" w:hAnsi="Times New Roman" w:cs="Times New Roman"/>
                <w:color w:val="auto"/>
                <w:kern w:val="0"/>
                <w:sz w:val="24"/>
                <w:highlight w:val="none"/>
                <w:lang w:val="en-US" w:eastAsia="zh-CN"/>
              </w:rPr>
              <w:t>正常运行时产生的污水主要来自变电站</w:t>
            </w:r>
            <w:r>
              <w:rPr>
                <w:rFonts w:hint="eastAsia" w:cs="Times New Roman"/>
                <w:color w:val="auto"/>
                <w:kern w:val="0"/>
                <w:sz w:val="24"/>
                <w:highlight w:val="none"/>
                <w:lang w:val="en-US" w:eastAsia="zh-CN"/>
              </w:rPr>
              <w:t>检修</w:t>
            </w:r>
            <w:r>
              <w:rPr>
                <w:rFonts w:hint="default" w:ascii="Times New Roman" w:hAnsi="Times New Roman" w:cs="Times New Roman"/>
                <w:color w:val="auto"/>
                <w:kern w:val="0"/>
                <w:sz w:val="24"/>
                <w:highlight w:val="none"/>
                <w:lang w:val="en-US" w:eastAsia="zh-CN"/>
              </w:rPr>
              <w:t>人员</w:t>
            </w:r>
            <w:r>
              <w:rPr>
                <w:rFonts w:hint="eastAsia" w:cs="Times New Roman"/>
                <w:color w:val="auto"/>
                <w:kern w:val="0"/>
                <w:sz w:val="24"/>
                <w:highlight w:val="none"/>
                <w:lang w:val="en-US" w:eastAsia="zh-CN"/>
              </w:rPr>
              <w:t>和</w:t>
            </w:r>
            <w:r>
              <w:rPr>
                <w:rFonts w:hint="eastAsia" w:ascii="Times New Roman" w:hAnsi="Times New Roman" w:cs="Times New Roman"/>
                <w:color w:val="auto"/>
                <w:kern w:val="0"/>
                <w:sz w:val="24"/>
                <w:highlight w:val="none"/>
                <w:lang w:val="en-US" w:eastAsia="zh-CN"/>
              </w:rPr>
              <w:t>门卫</w:t>
            </w:r>
            <w:r>
              <w:rPr>
                <w:rFonts w:hint="default" w:ascii="Times New Roman" w:hAnsi="Times New Roman" w:cs="Times New Roman"/>
                <w:color w:val="auto"/>
                <w:kern w:val="0"/>
                <w:sz w:val="24"/>
                <w:highlight w:val="none"/>
                <w:lang w:val="en-US" w:eastAsia="zh-CN"/>
              </w:rPr>
              <w:t>产生的生活污水，污染因子比较简单（主要为PH、COD、BOD</w:t>
            </w:r>
            <w:r>
              <w:rPr>
                <w:rFonts w:hint="default" w:ascii="Times New Roman" w:hAnsi="Times New Roman" w:cs="Times New Roman"/>
                <w:color w:val="auto"/>
                <w:kern w:val="0"/>
                <w:sz w:val="24"/>
                <w:highlight w:val="none"/>
                <w:vertAlign w:val="subscript"/>
                <w:lang w:val="en-US" w:eastAsia="zh-CN"/>
              </w:rPr>
              <w:t>5</w:t>
            </w:r>
            <w:r>
              <w:rPr>
                <w:rFonts w:hint="default" w:ascii="Times New Roman" w:hAnsi="Times New Roman" w:cs="Times New Roman"/>
                <w:color w:val="auto"/>
                <w:kern w:val="0"/>
                <w:sz w:val="24"/>
                <w:highlight w:val="none"/>
                <w:lang w:val="en-US" w:eastAsia="zh-CN"/>
              </w:rPr>
              <w:t>、NH</w:t>
            </w:r>
            <w:r>
              <w:rPr>
                <w:rFonts w:hint="default" w:ascii="Times New Roman" w:hAnsi="Times New Roman" w:cs="Times New Roman"/>
                <w:color w:val="auto"/>
                <w:kern w:val="0"/>
                <w:sz w:val="24"/>
                <w:highlight w:val="none"/>
                <w:vertAlign w:val="subscript"/>
                <w:lang w:val="en-US" w:eastAsia="zh-CN"/>
              </w:rPr>
              <w:t>3</w:t>
            </w:r>
            <w:r>
              <w:rPr>
                <w:rFonts w:hint="default" w:ascii="Times New Roman" w:hAnsi="Times New Roman" w:cs="Times New Roman"/>
                <w:color w:val="auto"/>
                <w:kern w:val="0"/>
                <w:sz w:val="24"/>
                <w:highlight w:val="none"/>
                <w:lang w:val="en-US" w:eastAsia="zh-CN"/>
              </w:rPr>
              <w:t>-N等），且产生量很小。产生的生活污水经站区内化粪池处理后，</w:t>
            </w:r>
            <w:r>
              <w:rPr>
                <w:rFonts w:hint="eastAsia" w:cs="Times New Roman"/>
                <w:color w:val="auto"/>
                <w:kern w:val="0"/>
                <w:sz w:val="24"/>
                <w:highlight w:val="none"/>
                <w:lang w:val="en-US" w:eastAsia="zh-CN"/>
              </w:rPr>
              <w:t>定期清运</w:t>
            </w:r>
            <w:r>
              <w:rPr>
                <w:rFonts w:hint="default" w:ascii="Times New Roman" w:hAnsi="Times New Roman" w:eastAsia="宋体" w:cs="Times New Roman"/>
                <w:color w:val="auto"/>
                <w:kern w:val="0"/>
                <w:sz w:val="24"/>
                <w:szCs w:val="24"/>
                <w:highlight w:val="none"/>
                <w:lang w:val="en-US" w:eastAsia="zh-CN" w:bidi="ar"/>
              </w:rPr>
              <w:t>，不外排。</w:t>
            </w:r>
            <w:r>
              <w:rPr>
                <w:rFonts w:hint="default" w:ascii="Times New Roman" w:hAnsi="Times New Roman" w:cs="Times New Roman"/>
                <w:color w:val="auto"/>
                <w:kern w:val="0"/>
                <w:sz w:val="24"/>
                <w:highlight w:val="none"/>
                <w:lang w:val="en-US" w:eastAsia="zh-CN"/>
              </w:rPr>
              <w:t>根据《环境影响评价技术导则</w:t>
            </w:r>
            <w:r>
              <w:rPr>
                <w:rFonts w:hint="eastAsia" w:ascii="Times New Roman" w:hAnsi="Times New Roman" w:cs="Times New Roman"/>
                <w:color w:val="auto"/>
                <w:kern w:val="0"/>
                <w:sz w:val="24"/>
                <w:highlight w:val="none"/>
                <w:lang w:val="en-US" w:eastAsia="zh-CN"/>
              </w:rPr>
              <w:t xml:space="preserve"> </w:t>
            </w:r>
            <w:r>
              <w:rPr>
                <w:rFonts w:hint="default" w:ascii="Times New Roman" w:hAnsi="Times New Roman" w:cs="Times New Roman"/>
                <w:color w:val="auto"/>
                <w:kern w:val="0"/>
                <w:sz w:val="24"/>
                <w:highlight w:val="none"/>
                <w:lang w:val="en-US" w:eastAsia="zh-CN"/>
              </w:rPr>
              <w:t>地面水环境》（HJ2.3-2018），本</w:t>
            </w:r>
            <w:r>
              <w:rPr>
                <w:rFonts w:hint="eastAsia" w:ascii="Times New Roman" w:hAnsi="Times New Roman" w:cs="Times New Roman"/>
                <w:color w:val="auto"/>
                <w:kern w:val="0"/>
                <w:sz w:val="24"/>
                <w:highlight w:val="none"/>
                <w:lang w:val="en-US" w:eastAsia="zh-CN"/>
              </w:rPr>
              <w:t>项目</w:t>
            </w:r>
            <w:r>
              <w:rPr>
                <w:rFonts w:hint="default" w:ascii="Times New Roman" w:hAnsi="Times New Roman" w:cs="Times New Roman"/>
                <w:color w:val="auto"/>
                <w:kern w:val="0"/>
                <w:sz w:val="24"/>
                <w:highlight w:val="none"/>
                <w:lang w:val="en-US" w:eastAsia="zh-CN"/>
              </w:rPr>
              <w:t>产生的污水不直接排放到外环境，按三级B评价</w:t>
            </w:r>
            <w:r>
              <w:rPr>
                <w:color w:val="auto"/>
                <w:kern w:val="0"/>
                <w:sz w:val="24"/>
                <w:highlight w:val="none"/>
              </w:rPr>
              <w:t>。</w:t>
            </w:r>
          </w:p>
          <w:p w14:paraId="06FD6419">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highlight w:val="none"/>
              </w:rPr>
            </w:pPr>
            <w:r>
              <w:rPr>
                <w:b/>
                <w:bCs/>
                <w:color w:val="auto"/>
                <w:sz w:val="24"/>
                <w:highlight w:val="none"/>
              </w:rPr>
              <w:t>2、评价范围</w:t>
            </w:r>
          </w:p>
          <w:p w14:paraId="41F5C52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auto"/>
                <w:sz w:val="24"/>
                <w:highlight w:val="none"/>
                <w:lang w:val="en-US" w:eastAsia="zh-CN"/>
              </w:rPr>
            </w:pPr>
            <w:r>
              <w:rPr>
                <w:color w:val="auto"/>
                <w:sz w:val="24"/>
                <w:highlight w:val="none"/>
              </w:rPr>
              <w:t>根据《环境影响评价技术导则 输变电》（HJ24-2020）、</w:t>
            </w:r>
            <w:r>
              <w:rPr>
                <w:bCs/>
                <w:color w:val="auto"/>
                <w:sz w:val="24"/>
                <w:highlight w:val="none"/>
              </w:rPr>
              <w:t>《环境影响评价技术导则 声环境》（HJ2.4-2021）</w:t>
            </w:r>
            <w:r>
              <w:rPr>
                <w:color w:val="auto"/>
                <w:sz w:val="24"/>
                <w:highlight w:val="none"/>
              </w:rPr>
              <w:t>中有关评价范围的规定，确定本项目评价范围</w:t>
            </w:r>
            <w:r>
              <w:rPr>
                <w:rFonts w:hint="eastAsia"/>
                <w:color w:val="auto"/>
                <w:sz w:val="24"/>
                <w:highlight w:val="none"/>
                <w:lang w:val="en-US" w:eastAsia="zh-CN"/>
              </w:rPr>
              <w:t>。</w:t>
            </w:r>
          </w:p>
          <w:p w14:paraId="2BA2B8ED">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（1）</w:t>
            </w:r>
            <w:r>
              <w:rPr>
                <w:rFonts w:hint="default" w:ascii="Times New Roman" w:hAnsi="Times New Roman" w:cs="Times New Roman"/>
                <w:b w:val="0"/>
                <w:bCs w:val="0"/>
                <w:color w:val="auto"/>
                <w:sz w:val="24"/>
                <w:highlight w:val="none"/>
                <w:lang w:val="en-US" w:eastAsia="zh-CN"/>
              </w:rPr>
              <w:t>变电站</w:t>
            </w:r>
            <w:r>
              <w:rPr>
                <w:rFonts w:hint="eastAsia" w:ascii="Times New Roman" w:hAnsi="Times New Roman" w:cs="Times New Roman"/>
                <w:b w:val="0"/>
                <w:bCs w:val="0"/>
                <w:color w:val="auto"/>
                <w:sz w:val="24"/>
                <w:highlight w:val="none"/>
                <w:lang w:val="en-US" w:eastAsia="zh-CN"/>
              </w:rPr>
              <w:t>工程</w:t>
            </w:r>
          </w:p>
          <w:p w14:paraId="16642D0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工频电场、工频磁场：</w:t>
            </w:r>
            <w:r>
              <w:rPr>
                <w:rFonts w:hint="default" w:ascii="Times New Roman" w:hAnsi="Times New Roman" w:cs="Times New Roman"/>
                <w:color w:val="auto"/>
                <w:kern w:val="0"/>
                <w:sz w:val="24"/>
                <w:highlight w:val="none"/>
              </w:rPr>
              <w:t>站界外</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0m</w:t>
            </w:r>
            <w:r>
              <w:rPr>
                <w:rFonts w:hint="default" w:ascii="Times New Roman" w:hAnsi="Times New Roman" w:cs="Times New Roman"/>
                <w:color w:val="auto"/>
                <w:sz w:val="24"/>
                <w:highlight w:val="none"/>
              </w:rPr>
              <w:t>；</w:t>
            </w:r>
          </w:p>
          <w:p w14:paraId="5F1772C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声环境：</w:t>
            </w:r>
            <w:r>
              <w:rPr>
                <w:rFonts w:hint="default" w:ascii="Times New Roman" w:hAnsi="Times New Roman" w:cs="Times New Roman"/>
                <w:color w:val="auto"/>
                <w:kern w:val="0"/>
                <w:sz w:val="24"/>
                <w:highlight w:val="none"/>
              </w:rPr>
              <w:t>站界外200m范围内</w:t>
            </w:r>
            <w:r>
              <w:rPr>
                <w:rFonts w:hint="default" w:ascii="Times New Roman" w:hAnsi="Times New Roman" w:cs="Times New Roman"/>
                <w:color w:val="auto"/>
                <w:sz w:val="24"/>
                <w:highlight w:val="none"/>
              </w:rPr>
              <w:t>；</w:t>
            </w:r>
          </w:p>
          <w:p w14:paraId="3CA2B6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③</w:t>
            </w:r>
            <w:r>
              <w:rPr>
                <w:rFonts w:hint="default"/>
                <w:color w:val="auto"/>
                <w:sz w:val="24"/>
                <w:szCs w:val="24"/>
                <w:highlight w:val="none"/>
              </w:rPr>
              <w:t>生态环境：站场围墙外500m内。</w:t>
            </w:r>
          </w:p>
          <w:p w14:paraId="7B5D9C94">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w:t>
            </w:r>
            <w:r>
              <w:rPr>
                <w:rFonts w:hint="eastAsia"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rPr>
              <w:t>）</w:t>
            </w:r>
            <w:r>
              <w:rPr>
                <w:rFonts w:hint="eastAsia" w:ascii="Times New Roman" w:hAnsi="Times New Roman" w:cs="Times New Roman"/>
                <w:b w:val="0"/>
                <w:bCs w:val="0"/>
                <w:color w:val="auto"/>
                <w:sz w:val="24"/>
                <w:highlight w:val="none"/>
                <w:lang w:val="en-US" w:eastAsia="zh-CN"/>
              </w:rPr>
              <w:t>输电</w:t>
            </w:r>
            <w:r>
              <w:rPr>
                <w:rFonts w:hint="default" w:ascii="Times New Roman" w:hAnsi="Times New Roman" w:cs="Times New Roman"/>
                <w:b w:val="0"/>
                <w:bCs w:val="0"/>
                <w:color w:val="auto"/>
                <w:sz w:val="24"/>
                <w:highlight w:val="none"/>
                <w:lang w:val="en-US" w:eastAsia="zh-CN"/>
              </w:rPr>
              <w:t>线路工程</w:t>
            </w:r>
          </w:p>
          <w:p w14:paraId="1B45927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①</w:t>
            </w:r>
            <w:r>
              <w:rPr>
                <w:rFonts w:hint="default" w:ascii="Times New Roman" w:hAnsi="Times New Roman" w:cs="Times New Roman"/>
                <w:color w:val="auto"/>
                <w:sz w:val="24"/>
                <w:highlight w:val="none"/>
              </w:rPr>
              <w:t>工频电场、工频磁场：架空线路为边导线地面投影外两侧各</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0m；</w:t>
            </w:r>
          </w:p>
          <w:p w14:paraId="57E473B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②</w:t>
            </w:r>
            <w:r>
              <w:rPr>
                <w:rFonts w:hint="default" w:ascii="Times New Roman" w:hAnsi="Times New Roman" w:cs="Times New Roman"/>
                <w:color w:val="auto"/>
                <w:sz w:val="24"/>
                <w:highlight w:val="none"/>
              </w:rPr>
              <w:t>声环境：架空线路为边导线地面投影外两侧各</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0m；</w:t>
            </w:r>
          </w:p>
          <w:p w14:paraId="3E04BED2">
            <w:pPr>
              <w:pStyle w:val="8"/>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bCs/>
                <w:color w:val="auto"/>
                <w:kern w:val="0"/>
                <w:sz w:val="24"/>
                <w:highlight w:val="none"/>
              </w:rPr>
            </w:pPr>
            <w:r>
              <w:rPr>
                <w:rFonts w:hint="eastAsia" w:ascii="Times New Roman" w:hAnsi="Times New Roman" w:cs="Times New Roman"/>
                <w:color w:val="auto"/>
                <w:sz w:val="24"/>
                <w:highlight w:val="none"/>
                <w:lang w:val="en-US" w:eastAsia="zh-CN"/>
              </w:rPr>
              <w:t>③</w:t>
            </w:r>
            <w:r>
              <w:rPr>
                <w:rFonts w:hint="default" w:ascii="Times New Roman" w:hAnsi="Times New Roman" w:cs="Times New Roman"/>
                <w:color w:val="auto"/>
                <w:sz w:val="24"/>
                <w:highlight w:val="none"/>
              </w:rPr>
              <w:t>生态环境：</w:t>
            </w:r>
            <w:r>
              <w:rPr>
                <w:rFonts w:hint="eastAsia" w:cs="Times New Roman"/>
                <w:bCs/>
                <w:color w:val="auto"/>
                <w:sz w:val="24"/>
                <w:highlight w:val="none"/>
                <w:lang w:val="en-US" w:eastAsia="zh-CN"/>
              </w:rPr>
              <w:t>输电</w:t>
            </w:r>
            <w:r>
              <w:rPr>
                <w:rFonts w:hint="eastAsia" w:cs="宋体"/>
                <w:color w:val="auto"/>
                <w:sz w:val="24"/>
                <w:highlight w:val="none"/>
                <w:lang w:val="en-US" w:eastAsia="zh-CN"/>
              </w:rPr>
              <w:t>线路一档跨越******</w:t>
            </w:r>
            <w:r>
              <w:rPr>
                <w:rFonts w:hint="eastAsia" w:ascii="Times New Roman" w:hAnsi="Times New Roman" w:eastAsia="宋体" w:cs="Times New Roman"/>
                <w:b w:val="0"/>
                <w:bCs/>
                <w:color w:val="auto"/>
                <w:spacing w:val="0"/>
                <w:w w:val="100"/>
                <w:position w:val="0"/>
                <w:sz w:val="24"/>
                <w:szCs w:val="24"/>
                <w:highlight w:val="none"/>
                <w:lang w:val="en-US" w:eastAsia="zh-CN"/>
              </w:rPr>
              <w:t>段</w:t>
            </w:r>
            <w:r>
              <w:rPr>
                <w:rFonts w:hint="default" w:ascii="Times New Roman" w:hAnsi="Times New Roman" w:cs="Times New Roman"/>
                <w:color w:val="auto"/>
                <w:sz w:val="24"/>
                <w:highlight w:val="none"/>
                <w:lang w:val="en-US" w:eastAsia="zh-CN"/>
              </w:rPr>
              <w:t>为线路边导线地面投影外两侧各1000m的带状区域，穿越段两端外延1000m的带状区域</w:t>
            </w:r>
            <w:r>
              <w:rPr>
                <w:rFonts w:hint="eastAsia" w:cs="Times New Roman"/>
                <w:color w:val="auto"/>
                <w:sz w:val="24"/>
                <w:highlight w:val="none"/>
                <w:lang w:val="en-US" w:eastAsia="zh-CN"/>
              </w:rPr>
              <w:t>，其余线路</w:t>
            </w:r>
            <w:r>
              <w:rPr>
                <w:rFonts w:hint="default" w:ascii="Times New Roman" w:hAnsi="Times New Roman" w:cs="Times New Roman"/>
                <w:color w:val="auto"/>
                <w:sz w:val="24"/>
                <w:highlight w:val="none"/>
              </w:rPr>
              <w:t>为边导线地面投影外两侧各300m内的带状区域。</w:t>
            </w:r>
          </w:p>
          <w:p w14:paraId="57194CAA">
            <w:pPr>
              <w:spacing w:line="360" w:lineRule="auto"/>
              <w:ind w:firstLine="482" w:firstLineChars="200"/>
              <w:rPr>
                <w:b/>
                <w:bCs/>
                <w:color w:val="auto"/>
                <w:sz w:val="24"/>
                <w:highlight w:val="none"/>
              </w:rPr>
            </w:pPr>
            <w:r>
              <w:rPr>
                <w:b/>
                <w:bCs/>
                <w:color w:val="auto"/>
                <w:sz w:val="24"/>
                <w:highlight w:val="none"/>
              </w:rPr>
              <w:t>3、环境保护目标</w:t>
            </w:r>
          </w:p>
          <w:p w14:paraId="54E1DFE6">
            <w:pPr>
              <w:spacing w:line="360" w:lineRule="auto"/>
              <w:ind w:firstLine="480" w:firstLineChars="200"/>
              <w:rPr>
                <w:rFonts w:hint="eastAsia" w:cs="Times New Roman"/>
                <w:color w:val="auto"/>
                <w:kern w:val="0"/>
                <w:sz w:val="24"/>
                <w:szCs w:val="24"/>
                <w:highlight w:val="none"/>
                <w:lang w:val="en-US" w:eastAsia="zh-CN" w:bidi="ar"/>
              </w:rPr>
            </w:pPr>
            <w:r>
              <w:rPr>
                <w:bCs/>
                <w:color w:val="auto"/>
                <w:sz w:val="24"/>
                <w:highlight w:val="none"/>
              </w:rPr>
              <w:t>根据收资及现场踏勘，</w:t>
            </w:r>
            <w:r>
              <w:rPr>
                <w:rFonts w:hint="default" w:ascii="Times New Roman" w:hAnsi="Times New Roman" w:cs="Times New Roman"/>
                <w:color w:val="auto"/>
                <w:sz w:val="24"/>
                <w:highlight w:val="none"/>
                <w:lang w:val="en-US" w:eastAsia="zh-CN"/>
              </w:rPr>
              <w:t>本项目评价范围内</w:t>
            </w:r>
            <w:r>
              <w:rPr>
                <w:rFonts w:hint="default" w:ascii="Times New Roman" w:hAnsi="Times New Roman" w:eastAsia="宋体" w:cs="Times New Roman"/>
                <w:color w:val="auto"/>
                <w:kern w:val="0"/>
                <w:sz w:val="24"/>
                <w:szCs w:val="24"/>
                <w:highlight w:val="none"/>
                <w:lang w:val="en-US" w:eastAsia="zh-CN" w:bidi="ar"/>
              </w:rPr>
              <w:t>不涉及国家公园、自然保护区、</w:t>
            </w:r>
            <w:r>
              <w:rPr>
                <w:rFonts w:hint="eastAsia" w:cs="Times New Roman"/>
                <w:color w:val="auto"/>
                <w:kern w:val="0"/>
                <w:sz w:val="24"/>
                <w:szCs w:val="24"/>
                <w:highlight w:val="none"/>
                <w:lang w:val="en-US" w:eastAsia="zh-CN" w:bidi="ar"/>
              </w:rPr>
              <w:t>自然公园等自然保护地、世界自然遗产、</w:t>
            </w:r>
            <w:r>
              <w:rPr>
                <w:rFonts w:hint="default" w:ascii="Times New Roman" w:hAnsi="Times New Roman" w:eastAsia="宋体" w:cs="Times New Roman"/>
                <w:color w:val="auto"/>
                <w:kern w:val="0"/>
                <w:sz w:val="24"/>
                <w:szCs w:val="24"/>
                <w:highlight w:val="none"/>
                <w:lang w:val="en-US" w:eastAsia="zh-CN" w:bidi="ar"/>
              </w:rPr>
              <w:t>风景名胜区、饮用水水源保护区等环境敏感区</w:t>
            </w:r>
            <w:r>
              <w:rPr>
                <w:rFonts w:hint="eastAsia" w:cs="Times New Roman"/>
                <w:color w:val="auto"/>
                <w:kern w:val="0"/>
                <w:sz w:val="24"/>
                <w:szCs w:val="24"/>
                <w:highlight w:val="none"/>
                <w:lang w:val="en-US" w:eastAsia="zh-CN" w:bidi="ar"/>
              </w:rPr>
              <w:t>。</w:t>
            </w:r>
          </w:p>
          <w:p w14:paraId="44E28C42">
            <w:pPr>
              <w:spacing w:line="360" w:lineRule="auto"/>
              <w:ind w:firstLine="480" w:firstLineChars="200"/>
              <w:rPr>
                <w:rFonts w:hint="default"/>
                <w:color w:val="auto"/>
                <w:sz w:val="24"/>
                <w:highlight w:val="none"/>
                <w:lang w:val="en-US" w:eastAsia="zh-CN"/>
              </w:rPr>
            </w:pPr>
            <w:r>
              <w:rPr>
                <w:rFonts w:hint="eastAsia"/>
                <w:color w:val="auto"/>
                <w:sz w:val="24"/>
                <w:highlight w:val="none"/>
              </w:rPr>
              <w:t>本项目</w:t>
            </w:r>
            <w:r>
              <w:rPr>
                <w:rFonts w:hint="eastAsia"/>
                <w:color w:val="auto"/>
                <w:sz w:val="24"/>
                <w:highlight w:val="none"/>
                <w:lang w:val="en-US" w:eastAsia="zh-CN"/>
              </w:rPr>
              <w:t>变电站工程评价范围内共有1处电磁环境敏感目标和4处声环境敏感目标，输电线路工程评价范围内共有1处电磁和声环境敏感目标、1处生态敏感目标，具体敏感目标情况详见表3-5~表3-6、图3-5~图3-6。</w:t>
            </w:r>
          </w:p>
          <w:p w14:paraId="6C54D283">
            <w:pPr>
              <w:spacing w:line="360" w:lineRule="auto"/>
              <w:jc w:val="center"/>
              <w:rPr>
                <w:rFonts w:eastAsia="黑体"/>
                <w:b/>
                <w:color w:val="auto"/>
                <w:sz w:val="24"/>
                <w:highlight w:val="none"/>
              </w:rPr>
            </w:pPr>
            <w:r>
              <w:rPr>
                <w:rFonts w:eastAsia="黑体"/>
                <w:b/>
                <w:color w:val="auto"/>
                <w:sz w:val="24"/>
                <w:highlight w:val="none"/>
              </w:rPr>
              <w:t>表3-</w:t>
            </w:r>
            <w:r>
              <w:rPr>
                <w:rFonts w:hint="eastAsia" w:eastAsia="黑体"/>
                <w:b/>
                <w:color w:val="auto"/>
                <w:sz w:val="24"/>
                <w:highlight w:val="none"/>
                <w:lang w:val="en-US" w:eastAsia="zh-CN"/>
              </w:rPr>
              <w:t>5</w:t>
            </w:r>
            <w:r>
              <w:rPr>
                <w:rFonts w:eastAsia="黑体"/>
                <w:b/>
                <w:color w:val="auto"/>
                <w:sz w:val="24"/>
                <w:highlight w:val="none"/>
              </w:rPr>
              <w:t xml:space="preserve">  本项目电磁和声环境敏感目标一览表</w:t>
            </w:r>
          </w:p>
          <w:tbl>
            <w:tblPr>
              <w:tblStyle w:val="28"/>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9"/>
              <w:gridCol w:w="627"/>
              <w:gridCol w:w="589"/>
              <w:gridCol w:w="1068"/>
              <w:gridCol w:w="1470"/>
              <w:gridCol w:w="1155"/>
              <w:gridCol w:w="645"/>
              <w:gridCol w:w="615"/>
              <w:gridCol w:w="1800"/>
            </w:tblGrid>
            <w:tr w14:paraId="08283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818" w:hRule="atLeast"/>
                <w:jc w:val="center"/>
              </w:trPr>
              <w:tc>
                <w:tcPr>
                  <w:tcW w:w="449" w:type="dxa"/>
                  <w:vAlign w:val="center"/>
                </w:tcPr>
                <w:p w14:paraId="0D1CCD3A">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627" w:type="dxa"/>
                  <w:vAlign w:val="center"/>
                </w:tcPr>
                <w:p w14:paraId="24F9DCCC">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工程名称</w:t>
                  </w:r>
                </w:p>
              </w:tc>
              <w:tc>
                <w:tcPr>
                  <w:tcW w:w="589" w:type="dxa"/>
                  <w:vAlign w:val="center"/>
                </w:tcPr>
                <w:p w14:paraId="209856D4">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行政</w:t>
                  </w:r>
                </w:p>
                <w:p w14:paraId="0F47B8E4">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区域</w:t>
                  </w:r>
                </w:p>
              </w:tc>
              <w:tc>
                <w:tcPr>
                  <w:tcW w:w="1068" w:type="dxa"/>
                  <w:vAlign w:val="center"/>
                </w:tcPr>
                <w:p w14:paraId="4D8CCD4E">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环境敏感目标</w:t>
                  </w:r>
                </w:p>
              </w:tc>
              <w:tc>
                <w:tcPr>
                  <w:tcW w:w="1470" w:type="dxa"/>
                  <w:vAlign w:val="center"/>
                </w:tcPr>
                <w:p w14:paraId="2DAD184E">
                  <w:pPr>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环境敏感目标情况</w:t>
                  </w:r>
                </w:p>
              </w:tc>
              <w:tc>
                <w:tcPr>
                  <w:tcW w:w="1155" w:type="dxa"/>
                  <w:vAlign w:val="center"/>
                </w:tcPr>
                <w:p w14:paraId="648A428C">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方位、距变电站/边导线最近距离</w:t>
                  </w:r>
                </w:p>
              </w:tc>
              <w:tc>
                <w:tcPr>
                  <w:tcW w:w="645" w:type="dxa"/>
                  <w:vAlign w:val="center"/>
                </w:tcPr>
                <w:p w14:paraId="736038FC">
                  <w:pPr>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导线对地高度</w:t>
                  </w:r>
                </w:p>
              </w:tc>
              <w:tc>
                <w:tcPr>
                  <w:tcW w:w="615" w:type="dxa"/>
                  <w:vAlign w:val="center"/>
                </w:tcPr>
                <w:p w14:paraId="2727E960">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环境要素</w:t>
                  </w:r>
                </w:p>
              </w:tc>
              <w:tc>
                <w:tcPr>
                  <w:tcW w:w="1800" w:type="dxa"/>
                  <w:vAlign w:val="center"/>
                </w:tcPr>
                <w:p w14:paraId="4130CCA9">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执行标准</w:t>
                  </w:r>
                </w:p>
              </w:tc>
            </w:tr>
            <w:tr w14:paraId="03025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0" w:hRule="atLeast"/>
                <w:jc w:val="center"/>
              </w:trPr>
              <w:tc>
                <w:tcPr>
                  <w:tcW w:w="449" w:type="dxa"/>
                  <w:vAlign w:val="center"/>
                </w:tcPr>
                <w:p w14:paraId="2C22758A">
                  <w:pPr>
                    <w:jc w:val="center"/>
                    <w:rPr>
                      <w:rFonts w:hint="eastAsia"/>
                      <w:bCs/>
                      <w:color w:val="auto"/>
                      <w:spacing w:val="-11"/>
                      <w:szCs w:val="21"/>
                      <w:highlight w:val="none"/>
                    </w:rPr>
                  </w:pPr>
                  <w:r>
                    <w:rPr>
                      <w:rFonts w:hint="eastAsia" w:cs="Times New Roman"/>
                      <w:b w:val="0"/>
                      <w:bCs/>
                      <w:color w:val="auto"/>
                      <w:spacing w:val="-11"/>
                      <w:szCs w:val="21"/>
                      <w:highlight w:val="none"/>
                      <w:lang w:val="en-US" w:eastAsia="zh-CN"/>
                    </w:rPr>
                    <w:t>1</w:t>
                  </w:r>
                </w:p>
              </w:tc>
              <w:tc>
                <w:tcPr>
                  <w:tcW w:w="627" w:type="dxa"/>
                  <w:vMerge w:val="restart"/>
                  <w:vAlign w:val="center"/>
                </w:tcPr>
                <w:p w14:paraId="57DD7FEB">
                  <w:pPr>
                    <w:jc w:val="center"/>
                    <w:rPr>
                      <w:bCs/>
                      <w:color w:val="auto"/>
                      <w:spacing w:val="-11"/>
                      <w:szCs w:val="21"/>
                      <w:highlight w:val="none"/>
                    </w:rPr>
                  </w:pPr>
                  <w:r>
                    <w:rPr>
                      <w:rFonts w:hint="eastAsia"/>
                      <w:color w:val="auto"/>
                      <w:szCs w:val="21"/>
                      <w:highlight w:val="none"/>
                      <w:lang w:val="en-US" w:eastAsia="zh-CN"/>
                    </w:rPr>
                    <w:t>新建张程</w:t>
                  </w:r>
                  <w:r>
                    <w:rPr>
                      <w:color w:val="auto"/>
                      <w:szCs w:val="21"/>
                      <w:highlight w:val="none"/>
                    </w:rPr>
                    <w:t xml:space="preserve"> 110</w:t>
                  </w:r>
                  <w:r>
                    <w:rPr>
                      <w:rFonts w:hint="eastAsia"/>
                      <w:color w:val="auto"/>
                      <w:szCs w:val="21"/>
                      <w:highlight w:val="none"/>
                      <w:lang w:val="en-US" w:eastAsia="zh-CN"/>
                    </w:rPr>
                    <w:t>千伏变电站</w:t>
                  </w:r>
                  <w:r>
                    <w:rPr>
                      <w:rFonts w:hint="eastAsia"/>
                      <w:color w:val="auto"/>
                      <w:szCs w:val="21"/>
                      <w:highlight w:val="none"/>
                    </w:rPr>
                    <w:t>工程</w:t>
                  </w:r>
                </w:p>
              </w:tc>
              <w:tc>
                <w:tcPr>
                  <w:tcW w:w="589" w:type="dxa"/>
                  <w:vMerge w:val="restart"/>
                  <w:vAlign w:val="center"/>
                </w:tcPr>
                <w:p w14:paraId="22C9DD9A">
                  <w:pPr>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068" w:type="dxa"/>
                  <w:vAlign w:val="center"/>
                </w:tcPr>
                <w:p w14:paraId="10EE49B2">
                  <w:pPr>
                    <w:jc w:val="center"/>
                    <w:rPr>
                      <w:rFonts w:hint="eastAsia"/>
                      <w:color w:val="auto"/>
                      <w:sz w:val="21"/>
                      <w:szCs w:val="21"/>
                      <w:highlight w:val="none"/>
                    </w:rPr>
                  </w:pPr>
                  <w:r>
                    <w:rPr>
                      <w:rFonts w:hint="eastAsia"/>
                      <w:color w:val="auto"/>
                      <w:sz w:val="21"/>
                      <w:szCs w:val="21"/>
                      <w:highlight w:val="none"/>
                      <w:lang w:val="en-US" w:eastAsia="zh-CN"/>
                    </w:rPr>
                    <w:t>******</w:t>
                  </w:r>
                </w:p>
              </w:tc>
              <w:tc>
                <w:tcPr>
                  <w:tcW w:w="1470" w:type="dxa"/>
                  <w:vAlign w:val="center"/>
                </w:tcPr>
                <w:p w14:paraId="016FAFBD">
                  <w:pPr>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1155" w:type="dxa"/>
                  <w:vAlign w:val="center"/>
                </w:tcPr>
                <w:p w14:paraId="10D87069">
                  <w:pPr>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645" w:type="dxa"/>
                  <w:vAlign w:val="center"/>
                </w:tcPr>
                <w:p w14:paraId="4F37387A">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15" w:type="dxa"/>
                  <w:vAlign w:val="center"/>
                </w:tcPr>
                <w:p w14:paraId="516BAB0C">
                  <w:pPr>
                    <w:jc w:val="center"/>
                    <w:rPr>
                      <w:bCs/>
                      <w:color w:val="auto"/>
                      <w:spacing w:val="-11"/>
                      <w:sz w:val="21"/>
                      <w:szCs w:val="21"/>
                      <w:highlight w:val="none"/>
                    </w:rPr>
                  </w:pPr>
                  <w:r>
                    <w:rPr>
                      <w:rFonts w:hint="eastAsia"/>
                      <w:color w:val="auto"/>
                      <w:sz w:val="21"/>
                      <w:szCs w:val="21"/>
                      <w:highlight w:val="none"/>
                      <w:lang w:val="en-US" w:eastAsia="zh-CN"/>
                    </w:rPr>
                    <w:t>*****</w:t>
                  </w:r>
                </w:p>
              </w:tc>
              <w:tc>
                <w:tcPr>
                  <w:tcW w:w="1800" w:type="dxa"/>
                  <w:vAlign w:val="center"/>
                </w:tcPr>
                <w:p w14:paraId="453533C9">
                  <w:pPr>
                    <w:jc w:val="center"/>
                    <w:rPr>
                      <w:bCs/>
                      <w:color w:val="auto"/>
                      <w:spacing w:val="-11"/>
                      <w:sz w:val="21"/>
                      <w:szCs w:val="21"/>
                      <w:highlight w:val="none"/>
                    </w:rPr>
                  </w:pPr>
                  <w:r>
                    <w:rPr>
                      <w:rFonts w:hint="eastAsia"/>
                      <w:color w:val="auto"/>
                      <w:sz w:val="21"/>
                      <w:szCs w:val="21"/>
                      <w:highlight w:val="none"/>
                      <w:lang w:val="en-US" w:eastAsia="zh-CN"/>
                    </w:rPr>
                    <w:t>******</w:t>
                  </w:r>
                </w:p>
              </w:tc>
            </w:tr>
            <w:tr w14:paraId="54DCB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0" w:hRule="atLeast"/>
                <w:jc w:val="center"/>
              </w:trPr>
              <w:tc>
                <w:tcPr>
                  <w:tcW w:w="449" w:type="dxa"/>
                  <w:vAlign w:val="center"/>
                </w:tcPr>
                <w:p w14:paraId="0B18A549">
                  <w:pPr>
                    <w:jc w:val="center"/>
                    <w:rPr>
                      <w:bCs/>
                      <w:color w:val="auto"/>
                      <w:spacing w:val="-11"/>
                      <w:szCs w:val="21"/>
                      <w:highlight w:val="none"/>
                    </w:rPr>
                  </w:pPr>
                  <w:r>
                    <w:rPr>
                      <w:rFonts w:hint="eastAsia" w:cs="Times New Roman"/>
                      <w:b w:val="0"/>
                      <w:bCs/>
                      <w:color w:val="auto"/>
                      <w:spacing w:val="-11"/>
                      <w:szCs w:val="21"/>
                      <w:highlight w:val="none"/>
                      <w:lang w:val="en-US" w:eastAsia="zh-CN"/>
                    </w:rPr>
                    <w:t>2</w:t>
                  </w:r>
                </w:p>
              </w:tc>
              <w:tc>
                <w:tcPr>
                  <w:tcW w:w="627" w:type="dxa"/>
                  <w:vMerge w:val="continue"/>
                  <w:vAlign w:val="center"/>
                </w:tcPr>
                <w:p w14:paraId="4B899332">
                  <w:pPr>
                    <w:jc w:val="center"/>
                    <w:rPr>
                      <w:bCs/>
                      <w:color w:val="auto"/>
                      <w:spacing w:val="-11"/>
                      <w:szCs w:val="21"/>
                      <w:highlight w:val="none"/>
                    </w:rPr>
                  </w:pPr>
                </w:p>
              </w:tc>
              <w:tc>
                <w:tcPr>
                  <w:tcW w:w="589" w:type="dxa"/>
                  <w:vMerge w:val="continue"/>
                  <w:vAlign w:val="center"/>
                </w:tcPr>
                <w:p w14:paraId="77E0CF69">
                  <w:pPr>
                    <w:jc w:val="center"/>
                    <w:rPr>
                      <w:bCs/>
                      <w:color w:val="auto"/>
                      <w:spacing w:val="-11"/>
                      <w:sz w:val="21"/>
                      <w:szCs w:val="21"/>
                      <w:highlight w:val="none"/>
                    </w:rPr>
                  </w:pPr>
                </w:p>
              </w:tc>
              <w:tc>
                <w:tcPr>
                  <w:tcW w:w="1068" w:type="dxa"/>
                  <w:vAlign w:val="center"/>
                </w:tcPr>
                <w:p w14:paraId="0681DEB7">
                  <w:pPr>
                    <w:jc w:val="center"/>
                    <w:rPr>
                      <w:color w:val="auto"/>
                      <w:sz w:val="21"/>
                      <w:szCs w:val="21"/>
                      <w:highlight w:val="none"/>
                    </w:rPr>
                  </w:pPr>
                  <w:r>
                    <w:rPr>
                      <w:rFonts w:hint="eastAsia"/>
                      <w:color w:val="auto"/>
                      <w:sz w:val="21"/>
                      <w:szCs w:val="21"/>
                      <w:highlight w:val="none"/>
                      <w:lang w:val="en-US" w:eastAsia="zh-CN"/>
                    </w:rPr>
                    <w:t>******</w:t>
                  </w:r>
                </w:p>
              </w:tc>
              <w:tc>
                <w:tcPr>
                  <w:tcW w:w="1470" w:type="dxa"/>
                  <w:vAlign w:val="center"/>
                </w:tcPr>
                <w:p w14:paraId="3F49D7CA">
                  <w:pPr>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1155" w:type="dxa"/>
                  <w:vAlign w:val="center"/>
                </w:tcPr>
                <w:p w14:paraId="0EE83AE6">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645" w:type="dxa"/>
                  <w:vAlign w:val="center"/>
                </w:tcPr>
                <w:p w14:paraId="50DB7461">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615" w:type="dxa"/>
                  <w:vMerge w:val="restart"/>
                  <w:vAlign w:val="center"/>
                </w:tcPr>
                <w:p w14:paraId="292549BB">
                  <w:pPr>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1800" w:type="dxa"/>
                  <w:vMerge w:val="restart"/>
                  <w:vAlign w:val="center"/>
                </w:tcPr>
                <w:p w14:paraId="12616768">
                  <w:pPr>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107E3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0" w:hRule="atLeast"/>
                <w:jc w:val="center"/>
              </w:trPr>
              <w:tc>
                <w:tcPr>
                  <w:tcW w:w="449" w:type="dxa"/>
                  <w:vAlign w:val="center"/>
                </w:tcPr>
                <w:p w14:paraId="37784813">
                  <w:pPr>
                    <w:jc w:val="center"/>
                    <w:rPr>
                      <w:rFonts w:hint="eastAsia"/>
                      <w:bCs/>
                      <w:color w:val="auto"/>
                      <w:spacing w:val="-11"/>
                      <w:szCs w:val="21"/>
                      <w:highlight w:val="none"/>
                    </w:rPr>
                  </w:pPr>
                  <w:r>
                    <w:rPr>
                      <w:rFonts w:hint="eastAsia" w:cs="Times New Roman"/>
                      <w:b w:val="0"/>
                      <w:bCs/>
                      <w:color w:val="auto"/>
                      <w:spacing w:val="-11"/>
                      <w:szCs w:val="21"/>
                      <w:highlight w:val="none"/>
                      <w:lang w:val="en-US" w:eastAsia="zh-CN"/>
                    </w:rPr>
                    <w:t>3</w:t>
                  </w:r>
                </w:p>
              </w:tc>
              <w:tc>
                <w:tcPr>
                  <w:tcW w:w="627" w:type="dxa"/>
                  <w:vMerge w:val="continue"/>
                  <w:vAlign w:val="center"/>
                </w:tcPr>
                <w:p w14:paraId="58216BAB">
                  <w:pPr>
                    <w:jc w:val="center"/>
                    <w:rPr>
                      <w:color w:val="auto"/>
                      <w:szCs w:val="21"/>
                      <w:highlight w:val="none"/>
                    </w:rPr>
                  </w:pPr>
                </w:p>
              </w:tc>
              <w:tc>
                <w:tcPr>
                  <w:tcW w:w="589" w:type="dxa"/>
                  <w:vMerge w:val="continue"/>
                  <w:vAlign w:val="center"/>
                </w:tcPr>
                <w:p w14:paraId="28167C2B">
                  <w:pPr>
                    <w:jc w:val="center"/>
                    <w:rPr>
                      <w:bCs/>
                      <w:color w:val="auto"/>
                      <w:spacing w:val="-11"/>
                      <w:sz w:val="21"/>
                      <w:szCs w:val="21"/>
                      <w:highlight w:val="none"/>
                    </w:rPr>
                  </w:pPr>
                </w:p>
              </w:tc>
              <w:tc>
                <w:tcPr>
                  <w:tcW w:w="1068" w:type="dxa"/>
                  <w:vAlign w:val="center"/>
                </w:tcPr>
                <w:p w14:paraId="50F2C27B">
                  <w:pPr>
                    <w:jc w:val="center"/>
                    <w:rPr>
                      <w:rFonts w:hint="eastAsia"/>
                      <w:color w:val="auto"/>
                      <w:sz w:val="21"/>
                      <w:szCs w:val="21"/>
                      <w:highlight w:val="none"/>
                    </w:rPr>
                  </w:pPr>
                  <w:r>
                    <w:rPr>
                      <w:rFonts w:hint="eastAsia"/>
                      <w:color w:val="auto"/>
                      <w:sz w:val="21"/>
                      <w:szCs w:val="21"/>
                      <w:highlight w:val="none"/>
                      <w:lang w:val="en-US" w:eastAsia="zh-CN"/>
                    </w:rPr>
                    <w:t>******</w:t>
                  </w:r>
                </w:p>
              </w:tc>
              <w:tc>
                <w:tcPr>
                  <w:tcW w:w="1470" w:type="dxa"/>
                  <w:vAlign w:val="center"/>
                </w:tcPr>
                <w:p w14:paraId="1D42C9A1">
                  <w:pPr>
                    <w:jc w:val="center"/>
                    <w:rPr>
                      <w:rFonts w:hint="eastAsia"/>
                      <w:color w:val="auto"/>
                      <w:sz w:val="21"/>
                      <w:szCs w:val="21"/>
                      <w:highlight w:val="none"/>
                    </w:rPr>
                  </w:pPr>
                  <w:r>
                    <w:rPr>
                      <w:rFonts w:hint="eastAsia"/>
                      <w:color w:val="auto"/>
                      <w:sz w:val="21"/>
                      <w:szCs w:val="21"/>
                      <w:highlight w:val="none"/>
                      <w:lang w:val="en-US" w:eastAsia="zh-CN"/>
                    </w:rPr>
                    <w:t>******</w:t>
                  </w:r>
                </w:p>
              </w:tc>
              <w:tc>
                <w:tcPr>
                  <w:tcW w:w="1155" w:type="dxa"/>
                  <w:vAlign w:val="center"/>
                </w:tcPr>
                <w:p w14:paraId="5B55CABA">
                  <w:pPr>
                    <w:jc w:val="center"/>
                    <w:rPr>
                      <w:rFonts w:hint="eastAsia"/>
                      <w:color w:val="auto"/>
                      <w:sz w:val="21"/>
                      <w:szCs w:val="21"/>
                      <w:highlight w:val="none"/>
                    </w:rPr>
                  </w:pPr>
                  <w:r>
                    <w:rPr>
                      <w:rFonts w:hint="eastAsia"/>
                      <w:color w:val="auto"/>
                      <w:sz w:val="21"/>
                      <w:szCs w:val="21"/>
                      <w:highlight w:val="none"/>
                      <w:lang w:val="en-US" w:eastAsia="zh-CN"/>
                    </w:rPr>
                    <w:t>******</w:t>
                  </w:r>
                </w:p>
              </w:tc>
              <w:tc>
                <w:tcPr>
                  <w:tcW w:w="645" w:type="dxa"/>
                  <w:vAlign w:val="center"/>
                </w:tcPr>
                <w:p w14:paraId="22D7A33F">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15" w:type="dxa"/>
                  <w:vMerge w:val="continue"/>
                  <w:vAlign w:val="center"/>
                </w:tcPr>
                <w:p w14:paraId="7795ADA7">
                  <w:pPr>
                    <w:jc w:val="center"/>
                    <w:rPr>
                      <w:bCs/>
                      <w:color w:val="auto"/>
                      <w:spacing w:val="-11"/>
                      <w:sz w:val="21"/>
                      <w:szCs w:val="21"/>
                      <w:highlight w:val="none"/>
                    </w:rPr>
                  </w:pPr>
                </w:p>
              </w:tc>
              <w:tc>
                <w:tcPr>
                  <w:tcW w:w="1800" w:type="dxa"/>
                  <w:vMerge w:val="continue"/>
                  <w:vAlign w:val="center"/>
                </w:tcPr>
                <w:p w14:paraId="6F1582A1">
                  <w:pPr>
                    <w:jc w:val="center"/>
                    <w:rPr>
                      <w:color w:val="auto"/>
                      <w:spacing w:val="-11"/>
                      <w:sz w:val="21"/>
                      <w:szCs w:val="21"/>
                      <w:highlight w:val="none"/>
                    </w:rPr>
                  </w:pPr>
                </w:p>
              </w:tc>
            </w:tr>
            <w:tr w14:paraId="224F5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0" w:hRule="atLeast"/>
                <w:jc w:val="center"/>
              </w:trPr>
              <w:tc>
                <w:tcPr>
                  <w:tcW w:w="449" w:type="dxa"/>
                  <w:vAlign w:val="center"/>
                </w:tcPr>
                <w:p w14:paraId="4D80EFDE">
                  <w:pPr>
                    <w:jc w:val="center"/>
                    <w:rPr>
                      <w:rFonts w:hint="eastAsia" w:cs="Times New Roman"/>
                      <w:b w:val="0"/>
                      <w:bCs/>
                      <w:color w:val="auto"/>
                      <w:spacing w:val="-11"/>
                      <w:szCs w:val="21"/>
                      <w:highlight w:val="none"/>
                      <w:lang w:val="en-US" w:eastAsia="zh-CN"/>
                    </w:rPr>
                  </w:pPr>
                  <w:r>
                    <w:rPr>
                      <w:rFonts w:hint="eastAsia" w:cs="Times New Roman"/>
                      <w:b w:val="0"/>
                      <w:bCs/>
                      <w:color w:val="auto"/>
                      <w:spacing w:val="-11"/>
                      <w:szCs w:val="21"/>
                      <w:highlight w:val="none"/>
                      <w:lang w:val="en-US" w:eastAsia="zh-CN"/>
                    </w:rPr>
                    <w:t>4</w:t>
                  </w:r>
                </w:p>
              </w:tc>
              <w:tc>
                <w:tcPr>
                  <w:tcW w:w="627" w:type="dxa"/>
                  <w:vMerge w:val="continue"/>
                  <w:vAlign w:val="center"/>
                </w:tcPr>
                <w:p w14:paraId="6C7A27A6">
                  <w:pPr>
                    <w:jc w:val="center"/>
                    <w:rPr>
                      <w:color w:val="auto"/>
                      <w:szCs w:val="21"/>
                      <w:highlight w:val="none"/>
                    </w:rPr>
                  </w:pPr>
                </w:p>
              </w:tc>
              <w:tc>
                <w:tcPr>
                  <w:tcW w:w="589" w:type="dxa"/>
                  <w:vMerge w:val="continue"/>
                  <w:vAlign w:val="center"/>
                </w:tcPr>
                <w:p w14:paraId="19F36E6C">
                  <w:pPr>
                    <w:jc w:val="center"/>
                    <w:rPr>
                      <w:bCs/>
                      <w:color w:val="auto"/>
                      <w:spacing w:val="-11"/>
                      <w:sz w:val="21"/>
                      <w:szCs w:val="21"/>
                      <w:highlight w:val="none"/>
                    </w:rPr>
                  </w:pPr>
                </w:p>
              </w:tc>
              <w:tc>
                <w:tcPr>
                  <w:tcW w:w="1068" w:type="dxa"/>
                  <w:vAlign w:val="center"/>
                </w:tcPr>
                <w:p w14:paraId="08F826D3">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1470" w:type="dxa"/>
                  <w:vAlign w:val="center"/>
                </w:tcPr>
                <w:p w14:paraId="7A6AE2BA">
                  <w:pPr>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eastAsia"/>
                      <w:color w:val="auto"/>
                      <w:sz w:val="21"/>
                      <w:szCs w:val="21"/>
                      <w:highlight w:val="none"/>
                      <w:lang w:val="en-US" w:eastAsia="zh-CN"/>
                    </w:rPr>
                    <w:t>******</w:t>
                  </w:r>
                </w:p>
              </w:tc>
              <w:tc>
                <w:tcPr>
                  <w:tcW w:w="1155" w:type="dxa"/>
                  <w:vAlign w:val="center"/>
                </w:tcPr>
                <w:p w14:paraId="2D1F6DD1">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45" w:type="dxa"/>
                  <w:vAlign w:val="center"/>
                </w:tcPr>
                <w:p w14:paraId="1C4FD185">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15" w:type="dxa"/>
                  <w:vMerge w:val="continue"/>
                  <w:vAlign w:val="center"/>
                </w:tcPr>
                <w:p w14:paraId="66024E09">
                  <w:pPr>
                    <w:jc w:val="center"/>
                    <w:rPr>
                      <w:bCs/>
                      <w:color w:val="auto"/>
                      <w:spacing w:val="-11"/>
                      <w:sz w:val="21"/>
                      <w:szCs w:val="21"/>
                      <w:highlight w:val="none"/>
                    </w:rPr>
                  </w:pPr>
                </w:p>
              </w:tc>
              <w:tc>
                <w:tcPr>
                  <w:tcW w:w="1800" w:type="dxa"/>
                  <w:vMerge w:val="continue"/>
                  <w:vAlign w:val="center"/>
                </w:tcPr>
                <w:p w14:paraId="08B7A64B">
                  <w:pPr>
                    <w:jc w:val="center"/>
                    <w:rPr>
                      <w:color w:val="auto"/>
                      <w:spacing w:val="-11"/>
                      <w:sz w:val="21"/>
                      <w:szCs w:val="21"/>
                      <w:highlight w:val="none"/>
                    </w:rPr>
                  </w:pPr>
                </w:p>
              </w:tc>
            </w:tr>
            <w:tr w14:paraId="14D2D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0" w:hRule="atLeast"/>
                <w:jc w:val="center"/>
              </w:trPr>
              <w:tc>
                <w:tcPr>
                  <w:tcW w:w="449" w:type="dxa"/>
                  <w:vAlign w:val="center"/>
                </w:tcPr>
                <w:p w14:paraId="5E7B1A33">
                  <w:pPr>
                    <w:jc w:val="center"/>
                    <w:rPr>
                      <w:rFonts w:hint="default" w:cs="Times New Roman"/>
                      <w:b w:val="0"/>
                      <w:bCs/>
                      <w:color w:val="auto"/>
                      <w:spacing w:val="-11"/>
                      <w:szCs w:val="21"/>
                      <w:highlight w:val="none"/>
                      <w:lang w:val="en-US" w:eastAsia="zh-CN"/>
                    </w:rPr>
                  </w:pPr>
                  <w:r>
                    <w:rPr>
                      <w:rFonts w:hint="eastAsia" w:cs="Times New Roman"/>
                      <w:b w:val="0"/>
                      <w:bCs/>
                      <w:color w:val="auto"/>
                      <w:spacing w:val="-11"/>
                      <w:szCs w:val="21"/>
                      <w:highlight w:val="none"/>
                      <w:lang w:val="en-US" w:eastAsia="zh-CN"/>
                    </w:rPr>
                    <w:t>5</w:t>
                  </w:r>
                </w:p>
              </w:tc>
              <w:tc>
                <w:tcPr>
                  <w:tcW w:w="627" w:type="dxa"/>
                  <w:vAlign w:val="center"/>
                </w:tcPr>
                <w:p w14:paraId="0B823329">
                  <w:pPr>
                    <w:jc w:val="center"/>
                    <w:rPr>
                      <w:color w:val="auto"/>
                      <w:szCs w:val="21"/>
                      <w:highlight w:val="none"/>
                    </w:rPr>
                  </w:pPr>
                  <w:r>
                    <w:rPr>
                      <w:rFonts w:hint="eastAsia"/>
                      <w:color w:val="auto"/>
                      <w:szCs w:val="21"/>
                      <w:highlight w:val="none"/>
                      <w:lang w:val="en-US" w:eastAsia="zh-CN"/>
                    </w:rPr>
                    <w:t>新建渝河110千伏变电站~张程变110千伏线路工程</w:t>
                  </w:r>
                </w:p>
              </w:tc>
              <w:tc>
                <w:tcPr>
                  <w:tcW w:w="589" w:type="dxa"/>
                  <w:vAlign w:val="center"/>
                </w:tcPr>
                <w:p w14:paraId="2D809EFB">
                  <w:pPr>
                    <w:jc w:val="center"/>
                    <w:rPr>
                      <w:rFonts w:hint="default" w:eastAsia="宋体"/>
                      <w:bCs/>
                      <w:color w:val="auto"/>
                      <w:spacing w:val="-11"/>
                      <w:sz w:val="21"/>
                      <w:szCs w:val="21"/>
                      <w:highlight w:val="none"/>
                      <w:lang w:val="en-US" w:eastAsia="zh-CN"/>
                    </w:rPr>
                  </w:pPr>
                  <w:r>
                    <w:rPr>
                      <w:rFonts w:hint="eastAsia"/>
                      <w:color w:val="auto"/>
                      <w:sz w:val="21"/>
                      <w:szCs w:val="21"/>
                      <w:highlight w:val="none"/>
                      <w:lang w:val="en-US" w:eastAsia="zh-CN"/>
                    </w:rPr>
                    <w:t>*****</w:t>
                  </w:r>
                </w:p>
              </w:tc>
              <w:tc>
                <w:tcPr>
                  <w:tcW w:w="1068" w:type="dxa"/>
                  <w:vAlign w:val="center"/>
                </w:tcPr>
                <w:p w14:paraId="7B26B333">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1470" w:type="dxa"/>
                  <w:vAlign w:val="center"/>
                </w:tcPr>
                <w:p w14:paraId="33E8917E">
                  <w:pPr>
                    <w:jc w:val="center"/>
                    <w:rPr>
                      <w:rFonts w:hint="default" w:ascii="Times New Roman" w:hAnsi="Times New Roman" w:eastAsia="宋体" w:cs="Times New Roman"/>
                      <w:color w:val="auto"/>
                      <w:spacing w:val="0"/>
                      <w:w w:val="100"/>
                      <w:position w:val="0"/>
                      <w:sz w:val="21"/>
                      <w:szCs w:val="21"/>
                      <w:highlight w:val="none"/>
                      <w:lang w:val="en-US" w:eastAsia="zh-CN"/>
                    </w:rPr>
                  </w:pPr>
                  <w:r>
                    <w:rPr>
                      <w:rFonts w:hint="eastAsia"/>
                      <w:color w:val="auto"/>
                      <w:sz w:val="21"/>
                      <w:szCs w:val="21"/>
                      <w:highlight w:val="none"/>
                      <w:lang w:val="en-US" w:eastAsia="zh-CN"/>
                    </w:rPr>
                    <w:t>******</w:t>
                  </w:r>
                </w:p>
              </w:tc>
              <w:tc>
                <w:tcPr>
                  <w:tcW w:w="1155" w:type="dxa"/>
                  <w:vAlign w:val="center"/>
                </w:tcPr>
                <w:p w14:paraId="590208AB">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45" w:type="dxa"/>
                  <w:vAlign w:val="center"/>
                </w:tcPr>
                <w:p w14:paraId="0AA2C769">
                  <w:pPr>
                    <w:jc w:val="center"/>
                    <w:rPr>
                      <w:rFonts w:hint="default" w:cs="Times New Roman"/>
                      <w:color w:val="auto"/>
                      <w:sz w:val="21"/>
                      <w:szCs w:val="21"/>
                      <w:highlight w:val="none"/>
                      <w:lang w:val="en-US" w:eastAsia="zh-CN"/>
                    </w:rPr>
                  </w:pPr>
                  <w:r>
                    <w:rPr>
                      <w:rFonts w:hint="eastAsia"/>
                      <w:color w:val="auto"/>
                      <w:sz w:val="21"/>
                      <w:szCs w:val="21"/>
                      <w:highlight w:val="none"/>
                      <w:lang w:val="en-US" w:eastAsia="zh-CN"/>
                    </w:rPr>
                    <w:t>*****</w:t>
                  </w:r>
                </w:p>
              </w:tc>
              <w:tc>
                <w:tcPr>
                  <w:tcW w:w="615" w:type="dxa"/>
                  <w:shd w:val="clear" w:color="auto" w:fill="auto"/>
                  <w:vAlign w:val="center"/>
                </w:tcPr>
                <w:p w14:paraId="34F61D27">
                  <w:pPr>
                    <w:jc w:val="center"/>
                    <w:rPr>
                      <w:rFonts w:ascii="Times New Roman" w:hAnsi="Times New Roman" w:eastAsia="宋体" w:cs="Times New Roman"/>
                      <w:bCs/>
                      <w:color w:val="auto"/>
                      <w:spacing w:val="-11"/>
                      <w:kern w:val="2"/>
                      <w:sz w:val="21"/>
                      <w:szCs w:val="21"/>
                      <w:highlight w:val="none"/>
                      <w:lang w:val="en-US" w:eastAsia="zh-CN" w:bidi="ar-SA"/>
                    </w:rPr>
                  </w:pPr>
                  <w:r>
                    <w:rPr>
                      <w:rFonts w:hint="eastAsia"/>
                      <w:color w:val="auto"/>
                      <w:sz w:val="21"/>
                      <w:szCs w:val="21"/>
                      <w:highlight w:val="none"/>
                      <w:lang w:val="en-US" w:eastAsia="zh-CN"/>
                    </w:rPr>
                    <w:t>*****</w:t>
                  </w:r>
                </w:p>
              </w:tc>
              <w:tc>
                <w:tcPr>
                  <w:tcW w:w="1800" w:type="dxa"/>
                  <w:shd w:val="clear" w:color="auto" w:fill="auto"/>
                  <w:vAlign w:val="center"/>
                </w:tcPr>
                <w:p w14:paraId="163A1525">
                  <w:pPr>
                    <w:jc w:val="center"/>
                    <w:rPr>
                      <w:rFonts w:ascii="Times New Roman" w:hAnsi="Times New Roman" w:eastAsia="宋体" w:cs="Times New Roman"/>
                      <w:bCs/>
                      <w:color w:val="auto"/>
                      <w:spacing w:val="-11"/>
                      <w:kern w:val="2"/>
                      <w:sz w:val="21"/>
                      <w:szCs w:val="21"/>
                      <w:highlight w:val="none"/>
                      <w:lang w:val="en-US" w:eastAsia="zh-CN" w:bidi="ar-SA"/>
                    </w:rPr>
                  </w:pPr>
                  <w:r>
                    <w:rPr>
                      <w:rFonts w:hint="eastAsia"/>
                      <w:color w:val="auto"/>
                      <w:sz w:val="21"/>
                      <w:szCs w:val="21"/>
                      <w:highlight w:val="none"/>
                      <w:lang w:val="en-US" w:eastAsia="zh-CN"/>
                    </w:rPr>
                    <w:t>******</w:t>
                  </w:r>
                </w:p>
              </w:tc>
            </w:tr>
          </w:tbl>
          <w:p w14:paraId="164C80C5">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黑体" w:cs="Times New Roman"/>
                <w:b/>
                <w:color w:val="auto"/>
                <w:sz w:val="24"/>
                <w:highlight w:val="none"/>
                <w:lang w:val="en-US" w:eastAsia="zh-CN"/>
              </w:rPr>
            </w:pPr>
            <w:r>
              <w:rPr>
                <w:rFonts w:hint="default" w:ascii="Times New Roman" w:hAnsi="Times New Roman" w:eastAsia="黑体" w:cs="Times New Roman"/>
                <w:b/>
                <w:color w:val="auto"/>
                <w:sz w:val="24"/>
                <w:highlight w:val="none"/>
                <w:lang w:val="en-US" w:eastAsia="zh-CN"/>
              </w:rPr>
              <w:t>表3-</w:t>
            </w:r>
            <w:r>
              <w:rPr>
                <w:rFonts w:hint="eastAsia" w:ascii="Times New Roman" w:hAnsi="Times New Roman" w:eastAsia="黑体" w:cs="Times New Roman"/>
                <w:b/>
                <w:color w:val="auto"/>
                <w:sz w:val="24"/>
                <w:highlight w:val="none"/>
                <w:lang w:val="en-US" w:eastAsia="zh-CN"/>
              </w:rPr>
              <w:t>6</w:t>
            </w:r>
            <w:r>
              <w:rPr>
                <w:rFonts w:hint="default" w:ascii="Times New Roman" w:hAnsi="Times New Roman" w:eastAsia="黑体" w:cs="Times New Roman"/>
                <w:b/>
                <w:color w:val="auto"/>
                <w:sz w:val="24"/>
                <w:highlight w:val="none"/>
                <w:lang w:val="en-US" w:eastAsia="zh-CN"/>
              </w:rPr>
              <w:t xml:space="preserve">   本项目生态敏感目标</w:t>
            </w:r>
            <w:r>
              <w:rPr>
                <w:rFonts w:hint="eastAsia" w:ascii="Times New Roman" w:hAnsi="Times New Roman" w:eastAsia="黑体" w:cs="Times New Roman"/>
                <w:b/>
                <w:color w:val="auto"/>
                <w:sz w:val="24"/>
                <w:highlight w:val="none"/>
                <w:lang w:val="en-US" w:eastAsia="zh-CN"/>
              </w:rPr>
              <w:t>一览表</w:t>
            </w:r>
          </w:p>
          <w:tbl>
            <w:tblPr>
              <w:tblStyle w:val="28"/>
              <w:tblW w:w="84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524"/>
              <w:gridCol w:w="839"/>
              <w:gridCol w:w="540"/>
              <w:gridCol w:w="435"/>
              <w:gridCol w:w="660"/>
              <w:gridCol w:w="645"/>
              <w:gridCol w:w="1590"/>
              <w:gridCol w:w="795"/>
              <w:gridCol w:w="1366"/>
              <w:gridCol w:w="646"/>
            </w:tblGrid>
            <w:tr w14:paraId="0D470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dxa"/>
                  <w:tcBorders>
                    <w:tl2br w:val="nil"/>
                    <w:tr2bl w:val="nil"/>
                  </w:tcBorders>
                  <w:noWrap w:val="0"/>
                  <w:vAlign w:val="center"/>
                </w:tcPr>
                <w:p w14:paraId="4792A5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序号</w:t>
                  </w:r>
                </w:p>
              </w:tc>
              <w:tc>
                <w:tcPr>
                  <w:tcW w:w="524" w:type="dxa"/>
                  <w:tcBorders>
                    <w:tl2br w:val="nil"/>
                    <w:tr2bl w:val="nil"/>
                  </w:tcBorders>
                  <w:noWrap w:val="0"/>
                  <w:vAlign w:val="center"/>
                </w:tcPr>
                <w:p w14:paraId="4B962C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类型</w:t>
                  </w:r>
                </w:p>
              </w:tc>
              <w:tc>
                <w:tcPr>
                  <w:tcW w:w="839" w:type="dxa"/>
                  <w:tcBorders>
                    <w:tl2br w:val="nil"/>
                    <w:tr2bl w:val="nil"/>
                  </w:tcBorders>
                  <w:noWrap w:val="0"/>
                  <w:vAlign w:val="center"/>
                </w:tcPr>
                <w:p w14:paraId="1994C8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名称</w:t>
                  </w:r>
                </w:p>
              </w:tc>
              <w:tc>
                <w:tcPr>
                  <w:tcW w:w="540" w:type="dxa"/>
                  <w:tcBorders>
                    <w:tl2br w:val="nil"/>
                    <w:tr2bl w:val="nil"/>
                  </w:tcBorders>
                  <w:noWrap w:val="0"/>
                  <w:vAlign w:val="center"/>
                </w:tcPr>
                <w:p w14:paraId="27BC9F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行政区</w:t>
                  </w:r>
                </w:p>
              </w:tc>
              <w:tc>
                <w:tcPr>
                  <w:tcW w:w="435" w:type="dxa"/>
                  <w:tcBorders>
                    <w:tl2br w:val="nil"/>
                    <w:tr2bl w:val="nil"/>
                  </w:tcBorders>
                  <w:noWrap w:val="0"/>
                  <w:vAlign w:val="center"/>
                </w:tcPr>
                <w:p w14:paraId="7268004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级别</w:t>
                  </w:r>
                </w:p>
              </w:tc>
              <w:tc>
                <w:tcPr>
                  <w:tcW w:w="660" w:type="dxa"/>
                  <w:tcBorders>
                    <w:tl2br w:val="nil"/>
                    <w:tr2bl w:val="nil"/>
                  </w:tcBorders>
                  <w:noWrap w:val="0"/>
                  <w:vAlign w:val="center"/>
                </w:tcPr>
                <w:p w14:paraId="61356F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审批情况</w:t>
                  </w:r>
                </w:p>
              </w:tc>
              <w:tc>
                <w:tcPr>
                  <w:tcW w:w="645" w:type="dxa"/>
                  <w:tcBorders>
                    <w:tl2br w:val="nil"/>
                    <w:tr2bl w:val="nil"/>
                  </w:tcBorders>
                  <w:noWrap w:val="0"/>
                  <w:vAlign w:val="center"/>
                </w:tcPr>
                <w:p w14:paraId="0C8A7EB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管理部门</w:t>
                  </w:r>
                </w:p>
              </w:tc>
              <w:tc>
                <w:tcPr>
                  <w:tcW w:w="1590" w:type="dxa"/>
                  <w:tcBorders>
                    <w:tl2br w:val="nil"/>
                    <w:tr2bl w:val="nil"/>
                  </w:tcBorders>
                  <w:noWrap w:val="0"/>
                  <w:vAlign w:val="center"/>
                </w:tcPr>
                <w:p w14:paraId="47E10AA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保护范围</w:t>
                  </w:r>
                </w:p>
              </w:tc>
              <w:tc>
                <w:tcPr>
                  <w:tcW w:w="795" w:type="dxa"/>
                  <w:tcBorders>
                    <w:tl2br w:val="nil"/>
                    <w:tr2bl w:val="nil"/>
                  </w:tcBorders>
                  <w:noWrap w:val="0"/>
                  <w:vAlign w:val="center"/>
                </w:tcPr>
                <w:p w14:paraId="0B2B7A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主要保护对象</w:t>
                  </w:r>
                </w:p>
              </w:tc>
              <w:tc>
                <w:tcPr>
                  <w:tcW w:w="1366" w:type="dxa"/>
                  <w:tcBorders>
                    <w:tl2br w:val="nil"/>
                    <w:tr2bl w:val="nil"/>
                  </w:tcBorders>
                  <w:noWrap w:val="0"/>
                  <w:vAlign w:val="center"/>
                </w:tcPr>
                <w:p w14:paraId="50E686B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与本</w:t>
                  </w:r>
                  <w:r>
                    <w:rPr>
                      <w:rFonts w:hint="eastAsia" w:ascii="Times New Roman" w:hAnsi="Times New Roman" w:eastAsia="宋体" w:cs="Times New Roman"/>
                      <w:b/>
                      <w:bCs/>
                      <w:color w:val="auto"/>
                      <w:spacing w:val="0"/>
                      <w:w w:val="100"/>
                      <w:position w:val="0"/>
                      <w:sz w:val="21"/>
                      <w:szCs w:val="21"/>
                      <w:highlight w:val="none"/>
                      <w:lang w:val="en-US" w:eastAsia="zh-CN"/>
                    </w:rPr>
                    <w:t>项目</w:t>
                  </w:r>
                  <w:r>
                    <w:rPr>
                      <w:rFonts w:hint="default" w:ascii="Times New Roman" w:hAnsi="Times New Roman" w:eastAsia="宋体" w:cs="Times New Roman"/>
                      <w:b/>
                      <w:bCs/>
                      <w:color w:val="auto"/>
                      <w:spacing w:val="0"/>
                      <w:w w:val="100"/>
                      <w:position w:val="0"/>
                      <w:sz w:val="21"/>
                      <w:szCs w:val="21"/>
                      <w:highlight w:val="none"/>
                      <w:lang w:val="en-US" w:eastAsia="zh-CN"/>
                    </w:rPr>
                    <w:t>的位置关系</w:t>
                  </w:r>
                </w:p>
              </w:tc>
              <w:tc>
                <w:tcPr>
                  <w:tcW w:w="646" w:type="dxa"/>
                  <w:tcBorders>
                    <w:tl2br w:val="nil"/>
                    <w:tr2bl w:val="nil"/>
                  </w:tcBorders>
                  <w:noWrap w:val="0"/>
                  <w:vAlign w:val="center"/>
                </w:tcPr>
                <w:p w14:paraId="7EAF04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w w:val="100"/>
                      <w:position w:val="0"/>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lang w:val="en-US" w:eastAsia="zh-CN"/>
                    </w:rPr>
                    <w:t>影响要素</w:t>
                  </w:r>
                </w:p>
              </w:tc>
            </w:tr>
            <w:tr w14:paraId="57A1C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dxa"/>
                  <w:noWrap w:val="0"/>
                  <w:vAlign w:val="center"/>
                </w:tcPr>
                <w:p w14:paraId="0C0876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ascii="Times New Roman" w:hAnsi="Times New Roman" w:eastAsia="宋体" w:cs="Times New Roman"/>
                      <w:b w:val="0"/>
                      <w:bCs w:val="0"/>
                      <w:color w:val="auto"/>
                      <w:spacing w:val="0"/>
                      <w:w w:val="100"/>
                      <w:position w:val="0"/>
                      <w:sz w:val="21"/>
                      <w:szCs w:val="21"/>
                      <w:highlight w:val="none"/>
                      <w:lang w:val="en-US" w:eastAsia="zh-CN"/>
                    </w:rPr>
                    <w:t>1</w:t>
                  </w:r>
                </w:p>
              </w:tc>
              <w:tc>
                <w:tcPr>
                  <w:tcW w:w="524" w:type="dxa"/>
                  <w:noWrap w:val="0"/>
                  <w:vAlign w:val="center"/>
                </w:tcPr>
                <w:p w14:paraId="234DE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position w:val="0"/>
                      <w:sz w:val="21"/>
                      <w:szCs w:val="21"/>
                      <w:highlight w:val="none"/>
                      <w:lang w:val="en-US" w:eastAsia="zh-CN"/>
                    </w:rPr>
                  </w:pPr>
                  <w:r>
                    <w:rPr>
                      <w:rFonts w:hint="eastAsia"/>
                      <w:color w:val="auto"/>
                      <w:sz w:val="21"/>
                      <w:szCs w:val="21"/>
                      <w:highlight w:val="none"/>
                      <w:lang w:val="en-US" w:eastAsia="zh-CN"/>
                    </w:rPr>
                    <w:t>**</w:t>
                  </w:r>
                </w:p>
              </w:tc>
              <w:tc>
                <w:tcPr>
                  <w:tcW w:w="839" w:type="dxa"/>
                  <w:noWrap w:val="0"/>
                  <w:vAlign w:val="center"/>
                </w:tcPr>
                <w:p w14:paraId="61027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0"/>
                      <w:position w:val="0"/>
                      <w:sz w:val="21"/>
                      <w:szCs w:val="21"/>
                      <w:highlight w:val="none"/>
                      <w:lang w:val="en-US" w:eastAsia="zh-CN" w:bidi="ar-SA"/>
                    </w:rPr>
                  </w:pPr>
                  <w:r>
                    <w:rPr>
                      <w:rFonts w:hint="eastAsia"/>
                      <w:color w:val="auto"/>
                      <w:sz w:val="21"/>
                      <w:szCs w:val="21"/>
                      <w:highlight w:val="none"/>
                      <w:lang w:val="en-US" w:eastAsia="zh-CN"/>
                    </w:rPr>
                    <w:t>*****</w:t>
                  </w:r>
                </w:p>
              </w:tc>
              <w:tc>
                <w:tcPr>
                  <w:tcW w:w="540" w:type="dxa"/>
                  <w:noWrap w:val="0"/>
                  <w:vAlign w:val="center"/>
                </w:tcPr>
                <w:p w14:paraId="528038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435" w:type="dxa"/>
                  <w:noWrap w:val="0"/>
                  <w:vAlign w:val="center"/>
                </w:tcPr>
                <w:p w14:paraId="56FD2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660" w:type="dxa"/>
                  <w:noWrap w:val="0"/>
                  <w:vAlign w:val="center"/>
                </w:tcPr>
                <w:p w14:paraId="1B5EF5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645" w:type="dxa"/>
                  <w:noWrap w:val="0"/>
                  <w:vAlign w:val="center"/>
                </w:tcPr>
                <w:p w14:paraId="7B4B21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1590" w:type="dxa"/>
                  <w:noWrap w:val="0"/>
                  <w:vAlign w:val="center"/>
                </w:tcPr>
                <w:p w14:paraId="515410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795" w:type="dxa"/>
                  <w:noWrap w:val="0"/>
                  <w:vAlign w:val="center"/>
                </w:tcPr>
                <w:p w14:paraId="6FF472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1366" w:type="dxa"/>
                  <w:noWrap w:val="0"/>
                  <w:vAlign w:val="center"/>
                </w:tcPr>
                <w:p w14:paraId="5F370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c>
                <w:tcPr>
                  <w:tcW w:w="646" w:type="dxa"/>
                  <w:noWrap w:val="0"/>
                  <w:vAlign w:val="center"/>
                </w:tcPr>
                <w:p w14:paraId="172B0A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highlight w:val="none"/>
                      <w:lang w:val="en-US" w:eastAsia="zh-CN" w:bidi="ar-SA"/>
                    </w:rPr>
                  </w:pPr>
                  <w:r>
                    <w:rPr>
                      <w:rFonts w:hint="eastAsia"/>
                      <w:color w:val="auto"/>
                      <w:sz w:val="21"/>
                      <w:szCs w:val="21"/>
                      <w:highlight w:val="none"/>
                      <w:lang w:val="en-US" w:eastAsia="zh-CN"/>
                    </w:rPr>
                    <w:t>****</w:t>
                  </w:r>
                </w:p>
              </w:tc>
            </w:tr>
          </w:tbl>
          <w:p w14:paraId="44B8A20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pacing w:val="0"/>
                <w:w w:val="100"/>
                <w:position w:val="0"/>
                <w:sz w:val="21"/>
                <w:szCs w:val="21"/>
                <w:highlight w:val="none"/>
              </w:rPr>
            </w:pPr>
          </w:p>
          <w:tbl>
            <w:tblPr>
              <w:tblStyle w:val="29"/>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0"/>
              <w:gridCol w:w="4180"/>
            </w:tblGrid>
            <w:tr w14:paraId="19A5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5B573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4180" w:type="dxa"/>
                </w:tcPr>
                <w:p w14:paraId="19F384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3E3D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50A0C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4180" w:type="dxa"/>
                </w:tcPr>
                <w:p w14:paraId="1E19F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r>
            <w:tr w14:paraId="5D5C0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Pr>
                <w:p w14:paraId="2534D3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pacing w:val="0"/>
                      <w:w w:val="100"/>
                      <w:position w:val="0"/>
                      <w:sz w:val="21"/>
                      <w:szCs w:val="21"/>
                      <w:highlight w:val="none"/>
                      <w:vertAlign w:val="baseline"/>
                      <w:lang w:eastAsia="zh-CN"/>
                    </w:rPr>
                  </w:pPr>
                  <w:r>
                    <w:rPr>
                      <w:rFonts w:hint="eastAsia"/>
                      <w:color w:val="auto"/>
                      <w:sz w:val="21"/>
                      <w:szCs w:val="21"/>
                      <w:highlight w:val="none"/>
                      <w:lang w:val="en-US" w:eastAsia="zh-CN"/>
                    </w:rPr>
                    <w:t>******</w:t>
                  </w:r>
                </w:p>
              </w:tc>
            </w:tr>
            <w:tr w14:paraId="7D15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Pr>
                <w:p w14:paraId="65B60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position w:val="0"/>
                      <w:sz w:val="24"/>
                      <w:highlight w:val="none"/>
                      <w:vertAlign w:val="baseline"/>
                      <w:lang w:val="en-US" w:eastAsia="zh-CN"/>
                    </w:rPr>
                  </w:pPr>
                  <w:r>
                    <w:rPr>
                      <w:rFonts w:hint="eastAsia" w:ascii="Times New Roman" w:hAnsi="Times New Roman" w:eastAsia="宋体" w:cs="Times New Roman"/>
                      <w:b/>
                      <w:bCs/>
                      <w:color w:val="auto"/>
                      <w:spacing w:val="0"/>
                      <w:w w:val="100"/>
                      <w:position w:val="0"/>
                      <w:sz w:val="21"/>
                      <w:szCs w:val="21"/>
                      <w:highlight w:val="none"/>
                      <w:vertAlign w:val="baseline"/>
                      <w:lang w:val="en-US" w:eastAsia="zh-CN"/>
                    </w:rPr>
                    <w:t>拟建变电站周围环境敏感目标情况</w:t>
                  </w:r>
                </w:p>
              </w:tc>
            </w:tr>
            <w:tr w14:paraId="076C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0F4B6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4180" w:type="dxa"/>
                </w:tcPr>
                <w:p w14:paraId="77350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w:t>
                  </w:r>
                </w:p>
              </w:tc>
            </w:tr>
            <w:tr w14:paraId="4B27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Borders>
                    <w:left w:val="single" w:color="auto" w:sz="4" w:space="0"/>
                    <w:right w:val="single" w:color="auto" w:sz="4" w:space="0"/>
                  </w:tcBorders>
                </w:tcPr>
                <w:p w14:paraId="646B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w w:val="100"/>
                      <w:position w:val="0"/>
                      <w:sz w:val="24"/>
                      <w:highlight w:val="none"/>
                      <w:vertAlign w:val="baseline"/>
                      <w:lang w:val="en-US"/>
                    </w:rPr>
                  </w:pPr>
                  <w:r>
                    <w:rPr>
                      <w:rFonts w:hint="eastAsia" w:ascii="Times New Roman" w:hAnsi="Times New Roman" w:eastAsia="宋体" w:cs="Times New Roman"/>
                      <w:b/>
                      <w:bCs/>
                      <w:color w:val="auto"/>
                      <w:spacing w:val="0"/>
                      <w:w w:val="100"/>
                      <w:position w:val="0"/>
                      <w:sz w:val="21"/>
                      <w:highlight w:val="none"/>
                      <w:lang w:val="en-US" w:eastAsia="zh-CN"/>
                    </w:rPr>
                    <w:t>拟建输电</w:t>
                  </w:r>
                  <w:r>
                    <w:rPr>
                      <w:rFonts w:hint="default" w:ascii="Times New Roman" w:hAnsi="Times New Roman" w:eastAsia="宋体" w:cs="Times New Roman"/>
                      <w:b/>
                      <w:bCs/>
                      <w:color w:val="auto"/>
                      <w:spacing w:val="0"/>
                      <w:w w:val="100"/>
                      <w:position w:val="0"/>
                      <w:sz w:val="21"/>
                      <w:highlight w:val="none"/>
                      <w:lang w:val="en-US" w:eastAsia="zh-CN"/>
                    </w:rPr>
                    <w:t>线路</w:t>
                  </w:r>
                  <w:r>
                    <w:rPr>
                      <w:rFonts w:hint="eastAsia" w:ascii="Times New Roman" w:hAnsi="Times New Roman" w:eastAsia="宋体" w:cs="Times New Roman"/>
                      <w:b/>
                      <w:bCs/>
                      <w:color w:val="auto"/>
                      <w:spacing w:val="0"/>
                      <w:w w:val="100"/>
                      <w:position w:val="0"/>
                      <w:sz w:val="21"/>
                      <w:highlight w:val="none"/>
                      <w:lang w:val="en-US" w:eastAsia="zh-CN"/>
                    </w:rPr>
                    <w:t>沿线环境敏感目标情况</w:t>
                  </w:r>
                </w:p>
              </w:tc>
            </w:tr>
            <w:tr w14:paraId="6726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360" w:type="dxa"/>
                  <w:gridSpan w:val="2"/>
                  <w:tcBorders>
                    <w:left w:val="nil"/>
                    <w:bottom w:val="nil"/>
                    <w:right w:val="nil"/>
                  </w:tcBorders>
                </w:tcPr>
                <w:p w14:paraId="450EA89D">
                  <w:pPr>
                    <w:pStyle w:val="8"/>
                    <w:spacing w:after="0" w:line="360" w:lineRule="auto"/>
                    <w:ind w:left="0" w:leftChars="0" w:firstLine="0" w:firstLineChars="0"/>
                    <w:jc w:val="center"/>
                    <w:rPr>
                      <w:rFonts w:hint="eastAsia" w:ascii="Times New Roman" w:hAnsi="Times New Roman" w:eastAsia="宋体" w:cs="Times New Roman"/>
                      <w:b/>
                      <w:bCs/>
                      <w:color w:val="auto"/>
                      <w:spacing w:val="0"/>
                      <w:w w:val="100"/>
                      <w:position w:val="0"/>
                      <w:sz w:val="21"/>
                      <w:highlight w:val="none"/>
                      <w:lang w:val="en-US" w:eastAsia="zh-CN"/>
                    </w:rPr>
                  </w:pPr>
                  <w:r>
                    <w:rPr>
                      <w:rFonts w:hint="eastAsia" w:ascii="Times New Roman" w:hAnsi="Times New Roman" w:eastAsia="黑体" w:cs="Times New Roman"/>
                      <w:b/>
                      <w:color w:val="auto"/>
                      <w:kern w:val="0"/>
                      <w:sz w:val="24"/>
                      <w:highlight w:val="none"/>
                      <w:lang w:val="en-US" w:eastAsia="zh-CN"/>
                    </w:rPr>
                    <w:t>图3-</w:t>
                  </w:r>
                  <w:r>
                    <w:rPr>
                      <w:rFonts w:hint="eastAsia" w:eastAsia="黑体" w:cs="Times New Roman"/>
                      <w:b/>
                      <w:color w:val="auto"/>
                      <w:kern w:val="0"/>
                      <w:sz w:val="24"/>
                      <w:highlight w:val="none"/>
                      <w:lang w:val="en-US" w:eastAsia="zh-CN"/>
                    </w:rPr>
                    <w:t>5</w:t>
                  </w:r>
                  <w:r>
                    <w:rPr>
                      <w:rFonts w:hint="eastAsia" w:ascii="Times New Roman" w:hAnsi="Times New Roman" w:eastAsia="黑体" w:cs="Times New Roman"/>
                      <w:b/>
                      <w:color w:val="auto"/>
                      <w:kern w:val="0"/>
                      <w:sz w:val="24"/>
                      <w:highlight w:val="none"/>
                      <w:lang w:val="en-US" w:eastAsia="zh-CN"/>
                    </w:rPr>
                    <w:t xml:space="preserve">  本项目</w:t>
                  </w:r>
                  <w:r>
                    <w:rPr>
                      <w:rFonts w:hint="eastAsia" w:eastAsia="黑体" w:cs="Times New Roman"/>
                      <w:b/>
                      <w:color w:val="auto"/>
                      <w:kern w:val="0"/>
                      <w:sz w:val="24"/>
                      <w:highlight w:val="none"/>
                      <w:lang w:val="en-US" w:eastAsia="zh-CN"/>
                    </w:rPr>
                    <w:t>电磁和声环境敏感目标情况</w:t>
                  </w:r>
                </w:p>
              </w:tc>
            </w:tr>
            <w:tr w14:paraId="5108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0" w:type="dxa"/>
                </w:tcPr>
                <w:p w14:paraId="14AA29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 w:val="21"/>
                      <w:szCs w:val="21"/>
                      <w:highlight w:val="none"/>
                      <w:lang w:val="en-US" w:eastAsia="zh-CN"/>
                    </w:rPr>
                    <w:t>******</w:t>
                  </w:r>
                </w:p>
              </w:tc>
              <w:tc>
                <w:tcPr>
                  <w:tcW w:w="4180" w:type="dxa"/>
                </w:tcPr>
                <w:p w14:paraId="28902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 w:val="21"/>
                      <w:szCs w:val="21"/>
                      <w:highlight w:val="none"/>
                      <w:lang w:val="en-US" w:eastAsia="zh-CN"/>
                    </w:rPr>
                    <w:t>******</w:t>
                  </w:r>
                </w:p>
              </w:tc>
            </w:tr>
            <w:tr w14:paraId="0CAE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Pr>
                <w:p w14:paraId="35A5B6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olor w:val="auto"/>
                      <w:sz w:val="21"/>
                      <w:szCs w:val="21"/>
                      <w:highlight w:val="none"/>
                      <w:lang w:val="en-US" w:eastAsia="zh-CN"/>
                    </w:rPr>
                    <w:t>******</w:t>
                  </w:r>
                </w:p>
              </w:tc>
            </w:tr>
            <w:tr w14:paraId="0B0C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60" w:type="dxa"/>
                  <w:gridSpan w:val="2"/>
                  <w:tcBorders>
                    <w:left w:val="nil"/>
                    <w:bottom w:val="nil"/>
                    <w:right w:val="nil"/>
                  </w:tcBorders>
                </w:tcPr>
                <w:p w14:paraId="68F5D2E1">
                  <w:pPr>
                    <w:pStyle w:val="8"/>
                    <w:spacing w:after="0" w:line="360" w:lineRule="auto"/>
                    <w:ind w:left="0" w:leftChars="0" w:firstLine="0" w:firstLineChars="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黑体" w:cs="Times New Roman"/>
                      <w:b/>
                      <w:color w:val="auto"/>
                      <w:kern w:val="0"/>
                      <w:sz w:val="24"/>
                      <w:highlight w:val="none"/>
                      <w:lang w:val="en-US" w:eastAsia="zh-CN"/>
                    </w:rPr>
                    <w:t>图3-</w:t>
                  </w:r>
                  <w:r>
                    <w:rPr>
                      <w:rFonts w:hint="eastAsia" w:eastAsia="黑体" w:cs="Times New Roman"/>
                      <w:b/>
                      <w:color w:val="auto"/>
                      <w:kern w:val="0"/>
                      <w:sz w:val="24"/>
                      <w:highlight w:val="none"/>
                      <w:lang w:val="en-US" w:eastAsia="zh-CN"/>
                    </w:rPr>
                    <w:t>6</w:t>
                  </w:r>
                  <w:r>
                    <w:rPr>
                      <w:rFonts w:hint="eastAsia" w:ascii="Times New Roman" w:hAnsi="Times New Roman" w:eastAsia="黑体" w:cs="Times New Roman"/>
                      <w:b/>
                      <w:color w:val="auto"/>
                      <w:kern w:val="0"/>
                      <w:sz w:val="24"/>
                      <w:highlight w:val="none"/>
                      <w:lang w:val="en-US" w:eastAsia="zh-CN"/>
                    </w:rPr>
                    <w:t xml:space="preserve">  本项目</w:t>
                  </w:r>
                  <w:r>
                    <w:rPr>
                      <w:rFonts w:hint="eastAsia" w:eastAsia="黑体" w:cs="Times New Roman"/>
                      <w:b/>
                      <w:color w:val="auto"/>
                      <w:kern w:val="0"/>
                      <w:sz w:val="24"/>
                      <w:highlight w:val="none"/>
                      <w:lang w:val="en-US" w:eastAsia="zh-CN"/>
                    </w:rPr>
                    <w:t>生态敏感目标情况</w:t>
                  </w:r>
                </w:p>
              </w:tc>
            </w:tr>
          </w:tbl>
          <w:p w14:paraId="10870C20">
            <w:pPr>
              <w:jc w:val="center"/>
              <w:rPr>
                <w:rFonts w:hint="eastAsia" w:eastAsia="宋体"/>
                <w:color w:val="auto"/>
                <w:highlight w:val="none"/>
                <w:lang w:eastAsia="zh-CN"/>
              </w:rPr>
            </w:pPr>
          </w:p>
        </w:tc>
      </w:tr>
      <w:tr w14:paraId="58B6C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55872EA5">
            <w:pPr>
              <w:adjustRightInd w:val="0"/>
              <w:snapToGrid w:val="0"/>
              <w:jc w:val="center"/>
              <w:rPr>
                <w:color w:val="auto"/>
                <w:kern w:val="0"/>
                <w:sz w:val="24"/>
                <w:highlight w:val="none"/>
              </w:rPr>
            </w:pPr>
            <w:r>
              <w:rPr>
                <w:color w:val="auto"/>
                <w:kern w:val="0"/>
                <w:sz w:val="24"/>
                <w:highlight w:val="none"/>
              </w:rPr>
              <w:t>评价</w:t>
            </w:r>
          </w:p>
          <w:p w14:paraId="3E154672">
            <w:pPr>
              <w:adjustRightInd w:val="0"/>
              <w:snapToGrid w:val="0"/>
              <w:jc w:val="center"/>
              <w:rPr>
                <w:color w:val="auto"/>
                <w:kern w:val="0"/>
                <w:szCs w:val="21"/>
                <w:highlight w:val="none"/>
              </w:rPr>
            </w:pPr>
            <w:r>
              <w:rPr>
                <w:color w:val="auto"/>
                <w:kern w:val="0"/>
                <w:sz w:val="24"/>
                <w:highlight w:val="none"/>
              </w:rPr>
              <w:t>标准</w:t>
            </w:r>
          </w:p>
        </w:tc>
        <w:tc>
          <w:tcPr>
            <w:tcW w:w="8767" w:type="dxa"/>
            <w:vAlign w:val="center"/>
          </w:tcPr>
          <w:p w14:paraId="513C651F">
            <w:pPr>
              <w:spacing w:line="360" w:lineRule="auto"/>
              <w:ind w:firstLine="482" w:firstLineChars="200"/>
              <w:rPr>
                <w:b/>
                <w:bCs/>
                <w:color w:val="auto"/>
                <w:sz w:val="24"/>
                <w:highlight w:val="none"/>
              </w:rPr>
            </w:pPr>
            <w:r>
              <w:rPr>
                <w:b/>
                <w:bCs/>
                <w:color w:val="auto"/>
                <w:sz w:val="24"/>
                <w:highlight w:val="none"/>
              </w:rPr>
              <w:t>1、环境质量标准</w:t>
            </w:r>
          </w:p>
          <w:p w14:paraId="15002AB5">
            <w:pPr>
              <w:spacing w:line="360" w:lineRule="auto"/>
              <w:ind w:firstLine="480" w:firstLineChars="200"/>
              <w:rPr>
                <w:color w:val="auto"/>
                <w:sz w:val="24"/>
                <w:highlight w:val="none"/>
              </w:rPr>
            </w:pPr>
            <w:r>
              <w:rPr>
                <w:color w:val="auto"/>
                <w:sz w:val="24"/>
                <w:highlight w:val="none"/>
              </w:rPr>
              <w:t>（1）声环境</w:t>
            </w:r>
          </w:p>
          <w:p w14:paraId="3B0F0240">
            <w:pPr>
              <w:adjustRightInd w:val="0"/>
              <w:snapToGrid w:val="0"/>
              <w:spacing w:line="360" w:lineRule="auto"/>
              <w:ind w:firstLine="480" w:firstLineChars="200"/>
              <w:rPr>
                <w:rFonts w:hint="eastAsia"/>
                <w:color w:val="auto"/>
                <w:kern w:val="0"/>
                <w:sz w:val="24"/>
                <w:highlight w:val="none"/>
              </w:rPr>
            </w:pPr>
            <w:r>
              <w:rPr>
                <w:color w:val="auto"/>
                <w:sz w:val="24"/>
                <w:highlight w:val="none"/>
              </w:rPr>
              <w:t>本项目位于</w:t>
            </w:r>
            <w:r>
              <w:rPr>
                <w:rFonts w:hint="eastAsia"/>
                <w:color w:val="auto"/>
                <w:sz w:val="24"/>
                <w:highlight w:val="none"/>
                <w:lang w:val="en-US" w:eastAsia="zh-CN"/>
              </w:rPr>
              <w:t>固原市隆德县境内</w:t>
            </w:r>
            <w:r>
              <w:rPr>
                <w:color w:val="auto"/>
                <w:sz w:val="24"/>
                <w:highlight w:val="none"/>
              </w:rPr>
              <w:t>，</w:t>
            </w:r>
            <w:r>
              <w:rPr>
                <w:rFonts w:hint="eastAsia"/>
                <w:color w:val="auto"/>
                <w:sz w:val="24"/>
                <w:highlight w:val="none"/>
                <w:lang w:val="en-US" w:eastAsia="zh-CN"/>
              </w:rPr>
              <w:t>不在《</w:t>
            </w:r>
            <w:r>
              <w:rPr>
                <w:color w:val="auto"/>
                <w:sz w:val="24"/>
                <w:highlight w:val="none"/>
                <w:lang w:val="en-US" w:eastAsia="zh-CN"/>
              </w:rPr>
              <w:t>隆德县城市区域声环境功能区划分方案</w:t>
            </w:r>
            <w:r>
              <w:rPr>
                <w:rFonts w:hint="eastAsia"/>
                <w:color w:val="auto"/>
                <w:sz w:val="24"/>
                <w:highlight w:val="none"/>
                <w:lang w:val="en-US" w:eastAsia="zh-CN"/>
              </w:rPr>
              <w:t>》范围内。按照《声环境功能区区划技术规范》（GB/T15190-2014），拟建变电站周围参照执行</w:t>
            </w:r>
            <w:r>
              <w:rPr>
                <w:color w:val="auto"/>
                <w:sz w:val="24"/>
                <w:highlight w:val="none"/>
              </w:rPr>
              <w:t>《声环境质量标准》（GB3096-2008）</w:t>
            </w:r>
            <w:r>
              <w:rPr>
                <w:rFonts w:hint="eastAsia"/>
                <w:color w:val="auto"/>
                <w:sz w:val="24"/>
                <w:highlight w:val="none"/>
              </w:rPr>
              <w:t>2</w:t>
            </w:r>
            <w:r>
              <w:rPr>
                <w:color w:val="auto"/>
                <w:sz w:val="24"/>
                <w:highlight w:val="none"/>
              </w:rPr>
              <w:t>类标准</w:t>
            </w:r>
            <w:r>
              <w:rPr>
                <w:rFonts w:hint="eastAsia"/>
                <w:color w:val="auto"/>
                <w:sz w:val="24"/>
                <w:highlight w:val="none"/>
                <w:lang w:eastAsia="zh-CN"/>
              </w:rPr>
              <w:t>，</w:t>
            </w:r>
            <w:r>
              <w:rPr>
                <w:rFonts w:hint="default" w:ascii="Times New Roman" w:hAnsi="Times New Roman" w:eastAsia="宋体" w:cs="Times New Roman"/>
                <w:color w:val="auto"/>
                <w:spacing w:val="0"/>
                <w:w w:val="100"/>
                <w:position w:val="0"/>
                <w:sz w:val="24"/>
                <w:szCs w:val="24"/>
                <w:highlight w:val="none"/>
              </w:rPr>
              <w:t>输电线路</w:t>
            </w:r>
            <w:r>
              <w:rPr>
                <w:rFonts w:hint="eastAsia" w:ascii="Times New Roman" w:hAnsi="Times New Roman" w:eastAsia="宋体" w:cs="Times New Roman"/>
                <w:color w:val="auto"/>
                <w:spacing w:val="0"/>
                <w:w w:val="100"/>
                <w:position w:val="0"/>
                <w:sz w:val="24"/>
                <w:szCs w:val="24"/>
                <w:highlight w:val="none"/>
                <w:lang w:val="en-US" w:eastAsia="zh-CN"/>
              </w:rPr>
              <w:t>在拟建变电站附近执行</w:t>
            </w:r>
            <w:r>
              <w:rPr>
                <w:rFonts w:hint="default" w:ascii="Times New Roman" w:hAnsi="Times New Roman" w:eastAsia="宋体" w:cs="Times New Roman"/>
                <w:color w:val="auto"/>
                <w:spacing w:val="0"/>
                <w:w w:val="100"/>
                <w:position w:val="0"/>
                <w:sz w:val="24"/>
                <w:szCs w:val="24"/>
                <w:highlight w:val="none"/>
              </w:rPr>
              <w:t>《声环境质量标准》（GB3096-2008）</w:t>
            </w:r>
            <w:r>
              <w:rPr>
                <w:rFonts w:hint="eastAsia" w:ascii="Times New Roman" w:hAnsi="Times New Roman" w:eastAsia="宋体" w:cs="Times New Roman"/>
                <w:color w:val="auto"/>
                <w:spacing w:val="0"/>
                <w:w w:val="100"/>
                <w:position w:val="0"/>
                <w:sz w:val="24"/>
                <w:szCs w:val="24"/>
                <w:highlight w:val="none"/>
                <w:lang w:val="en-US" w:eastAsia="zh-CN"/>
              </w:rPr>
              <w:t>2</w:t>
            </w:r>
            <w:r>
              <w:rPr>
                <w:rFonts w:hint="default" w:ascii="Times New Roman" w:hAnsi="Times New Roman" w:eastAsia="宋体" w:cs="Times New Roman"/>
                <w:color w:val="auto"/>
                <w:spacing w:val="0"/>
                <w:w w:val="100"/>
                <w:position w:val="0"/>
                <w:sz w:val="24"/>
                <w:szCs w:val="24"/>
                <w:highlight w:val="none"/>
              </w:rPr>
              <w:t>类标准</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经过</w:t>
            </w:r>
            <w:r>
              <w:rPr>
                <w:rFonts w:hint="default" w:ascii="Times New Roman" w:hAnsi="Times New Roman" w:eastAsia="宋体" w:cs="Times New Roman"/>
                <w:color w:val="auto"/>
                <w:spacing w:val="0"/>
                <w:w w:val="100"/>
                <w:position w:val="0"/>
                <w:sz w:val="24"/>
                <w:szCs w:val="24"/>
                <w:highlight w:val="none"/>
                <w:lang w:val="en-US" w:eastAsia="zh-CN"/>
              </w:rPr>
              <w:t>农村区域</w:t>
            </w:r>
            <w:r>
              <w:rPr>
                <w:rFonts w:hint="default" w:ascii="Times New Roman" w:hAnsi="Times New Roman" w:eastAsia="宋体" w:cs="Times New Roman"/>
                <w:color w:val="auto"/>
                <w:spacing w:val="0"/>
                <w:w w:val="100"/>
                <w:position w:val="0"/>
                <w:sz w:val="24"/>
                <w:szCs w:val="24"/>
                <w:highlight w:val="none"/>
              </w:rPr>
              <w:t>执行《声环境质量标准》（GB3096-2008）</w:t>
            </w:r>
            <w:r>
              <w:rPr>
                <w:rFonts w:hint="default" w:ascii="Times New Roman" w:hAnsi="Times New Roman" w:eastAsia="宋体" w:cs="Times New Roman"/>
                <w:color w:val="auto"/>
                <w:spacing w:val="0"/>
                <w:w w:val="100"/>
                <w:position w:val="0"/>
                <w:sz w:val="24"/>
                <w:szCs w:val="24"/>
                <w:highlight w:val="none"/>
                <w:lang w:val="en-US" w:eastAsia="zh-CN"/>
              </w:rPr>
              <w:t>1</w:t>
            </w:r>
            <w:r>
              <w:rPr>
                <w:rFonts w:hint="default" w:ascii="Times New Roman" w:hAnsi="Times New Roman" w:eastAsia="宋体" w:cs="Times New Roman"/>
                <w:color w:val="auto"/>
                <w:spacing w:val="0"/>
                <w:w w:val="100"/>
                <w:position w:val="0"/>
                <w:sz w:val="24"/>
                <w:szCs w:val="24"/>
                <w:highlight w:val="none"/>
              </w:rPr>
              <w:t>类标准</w:t>
            </w:r>
            <w:r>
              <w:rPr>
                <w:rFonts w:hint="eastAsia"/>
                <w:color w:val="auto"/>
                <w:kern w:val="0"/>
                <w:sz w:val="24"/>
                <w:highlight w:val="none"/>
              </w:rPr>
              <w:t>。</w:t>
            </w:r>
          </w:p>
          <w:p w14:paraId="4273306E">
            <w:pPr>
              <w:adjustRightInd w:val="0"/>
              <w:snapToGrid w:val="0"/>
              <w:spacing w:line="360" w:lineRule="auto"/>
              <w:ind w:firstLine="480" w:firstLineChars="200"/>
              <w:rPr>
                <w:color w:val="auto"/>
                <w:sz w:val="24"/>
                <w:highlight w:val="none"/>
              </w:rPr>
            </w:pPr>
            <w:r>
              <w:rPr>
                <w:color w:val="auto"/>
                <w:sz w:val="24"/>
                <w:highlight w:val="none"/>
              </w:rPr>
              <w:t>具体</w:t>
            </w:r>
            <w:r>
              <w:rPr>
                <w:rFonts w:hint="eastAsia"/>
                <w:color w:val="auto"/>
                <w:sz w:val="24"/>
                <w:highlight w:val="none"/>
                <w:lang w:val="en-US" w:eastAsia="zh-CN"/>
              </w:rPr>
              <w:t>情况</w:t>
            </w:r>
            <w:r>
              <w:rPr>
                <w:color w:val="auto"/>
                <w:sz w:val="24"/>
                <w:highlight w:val="none"/>
              </w:rPr>
              <w:t>见表3-</w:t>
            </w:r>
            <w:r>
              <w:rPr>
                <w:rFonts w:hint="eastAsia"/>
                <w:color w:val="auto"/>
                <w:sz w:val="24"/>
                <w:highlight w:val="none"/>
                <w:lang w:val="en-US" w:eastAsia="zh-CN"/>
              </w:rPr>
              <w:t>7</w:t>
            </w:r>
            <w:r>
              <w:rPr>
                <w:color w:val="auto"/>
                <w:sz w:val="24"/>
                <w:highlight w:val="none"/>
              </w:rPr>
              <w:t>。</w:t>
            </w:r>
          </w:p>
          <w:p w14:paraId="5815BB29">
            <w:pPr>
              <w:spacing w:line="360" w:lineRule="auto"/>
              <w:ind w:firstLine="7" w:firstLineChars="3"/>
              <w:jc w:val="center"/>
              <w:rPr>
                <w:rFonts w:eastAsia="黑体"/>
                <w:b/>
                <w:bCs/>
                <w:color w:val="auto"/>
                <w:sz w:val="24"/>
                <w:highlight w:val="none"/>
              </w:rPr>
            </w:pPr>
            <w:r>
              <w:rPr>
                <w:rFonts w:eastAsia="黑体"/>
                <w:b/>
                <w:bCs/>
                <w:color w:val="auto"/>
                <w:sz w:val="24"/>
                <w:highlight w:val="none"/>
              </w:rPr>
              <w:t>表3-</w:t>
            </w:r>
            <w:r>
              <w:rPr>
                <w:rFonts w:hint="eastAsia" w:eastAsia="黑体"/>
                <w:b/>
                <w:bCs/>
                <w:color w:val="auto"/>
                <w:sz w:val="24"/>
                <w:highlight w:val="none"/>
                <w:lang w:val="en-US" w:eastAsia="zh-CN"/>
              </w:rPr>
              <w:t>7</w:t>
            </w:r>
            <w:r>
              <w:rPr>
                <w:rFonts w:eastAsia="黑体"/>
                <w:b/>
                <w:bCs/>
                <w:color w:val="auto"/>
                <w:sz w:val="24"/>
                <w:highlight w:val="none"/>
              </w:rPr>
              <w:t xml:space="preserve">  本项目具体执行的声环境质量标准</w:t>
            </w:r>
          </w:p>
          <w:tbl>
            <w:tblPr>
              <w:tblStyle w:val="28"/>
              <w:tblW w:w="804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070"/>
              <w:gridCol w:w="2025"/>
              <w:gridCol w:w="2208"/>
            </w:tblGrid>
            <w:tr w14:paraId="3C694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2" w:type="dxa"/>
                  <w:vAlign w:val="center"/>
                </w:tcPr>
                <w:p w14:paraId="54B9ED82">
                  <w:pPr>
                    <w:adjustRightInd w:val="0"/>
                    <w:snapToGrid w:val="0"/>
                    <w:jc w:val="center"/>
                    <w:rPr>
                      <w:b/>
                      <w:bCs/>
                      <w:color w:val="auto"/>
                      <w:highlight w:val="none"/>
                    </w:rPr>
                  </w:pPr>
                  <w:r>
                    <w:rPr>
                      <w:rFonts w:hint="eastAsia"/>
                      <w:b/>
                      <w:bCs/>
                      <w:color w:val="auto"/>
                      <w:highlight w:val="none"/>
                    </w:rPr>
                    <w:t>环境要素</w:t>
                  </w:r>
                </w:p>
              </w:tc>
              <w:tc>
                <w:tcPr>
                  <w:tcW w:w="2070" w:type="dxa"/>
                  <w:vAlign w:val="center"/>
                </w:tcPr>
                <w:p w14:paraId="7BD9775A">
                  <w:pPr>
                    <w:adjustRightInd w:val="0"/>
                    <w:snapToGrid w:val="0"/>
                    <w:jc w:val="center"/>
                    <w:rPr>
                      <w:b/>
                      <w:bCs/>
                      <w:color w:val="auto"/>
                      <w:highlight w:val="none"/>
                    </w:rPr>
                  </w:pPr>
                  <w:r>
                    <w:rPr>
                      <w:b/>
                      <w:bCs/>
                      <w:color w:val="auto"/>
                      <w:highlight w:val="none"/>
                    </w:rPr>
                    <w:t>类别</w:t>
                  </w:r>
                </w:p>
              </w:tc>
              <w:tc>
                <w:tcPr>
                  <w:tcW w:w="2025" w:type="dxa"/>
                  <w:vAlign w:val="center"/>
                </w:tcPr>
                <w:p w14:paraId="60C4C3CF">
                  <w:pPr>
                    <w:adjustRightInd w:val="0"/>
                    <w:snapToGrid w:val="0"/>
                    <w:jc w:val="center"/>
                    <w:rPr>
                      <w:b/>
                      <w:bCs/>
                      <w:color w:val="auto"/>
                      <w:highlight w:val="none"/>
                    </w:rPr>
                  </w:pPr>
                  <w:r>
                    <w:rPr>
                      <w:b/>
                      <w:bCs/>
                      <w:color w:val="auto"/>
                      <w:highlight w:val="none"/>
                    </w:rPr>
                    <w:t>昼间</w:t>
                  </w:r>
                </w:p>
              </w:tc>
              <w:tc>
                <w:tcPr>
                  <w:tcW w:w="2208" w:type="dxa"/>
                  <w:vAlign w:val="center"/>
                </w:tcPr>
                <w:p w14:paraId="7798CFCF">
                  <w:pPr>
                    <w:adjustRightInd w:val="0"/>
                    <w:snapToGrid w:val="0"/>
                    <w:jc w:val="center"/>
                    <w:rPr>
                      <w:b/>
                      <w:bCs/>
                      <w:color w:val="auto"/>
                      <w:highlight w:val="none"/>
                    </w:rPr>
                  </w:pPr>
                  <w:r>
                    <w:rPr>
                      <w:b/>
                      <w:bCs/>
                      <w:color w:val="auto"/>
                      <w:highlight w:val="none"/>
                    </w:rPr>
                    <w:t>夜间</w:t>
                  </w:r>
                </w:p>
              </w:tc>
            </w:tr>
            <w:tr w14:paraId="69FDB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2" w:type="dxa"/>
                  <w:vMerge w:val="restart"/>
                  <w:vAlign w:val="center"/>
                </w:tcPr>
                <w:p w14:paraId="2D352744">
                  <w:pPr>
                    <w:jc w:val="center"/>
                    <w:rPr>
                      <w:color w:val="auto"/>
                      <w:highlight w:val="none"/>
                    </w:rPr>
                  </w:pPr>
                  <w:r>
                    <w:rPr>
                      <w:rFonts w:hint="eastAsia"/>
                      <w:color w:val="auto"/>
                      <w:highlight w:val="none"/>
                    </w:rPr>
                    <w:t>声环境</w:t>
                  </w:r>
                </w:p>
              </w:tc>
              <w:tc>
                <w:tcPr>
                  <w:tcW w:w="2070" w:type="dxa"/>
                  <w:vAlign w:val="center"/>
                </w:tcPr>
                <w:p w14:paraId="6B301F49">
                  <w:pPr>
                    <w:adjustRightInd w:val="0"/>
                    <w:snapToGrid w:val="0"/>
                    <w:jc w:val="center"/>
                    <w:rPr>
                      <w:color w:val="auto"/>
                      <w:highlight w:val="none"/>
                    </w:rPr>
                  </w:pPr>
                  <w:r>
                    <w:rPr>
                      <w:rFonts w:hint="eastAsia"/>
                      <w:color w:val="auto"/>
                      <w:highlight w:val="none"/>
                      <w:lang w:val="en-US" w:eastAsia="zh-CN"/>
                    </w:rPr>
                    <w:t>1</w:t>
                  </w:r>
                  <w:r>
                    <w:rPr>
                      <w:rFonts w:hint="eastAsia"/>
                      <w:color w:val="auto"/>
                      <w:highlight w:val="none"/>
                    </w:rPr>
                    <w:t>类</w:t>
                  </w:r>
                </w:p>
              </w:tc>
              <w:tc>
                <w:tcPr>
                  <w:tcW w:w="2025" w:type="dxa"/>
                  <w:vAlign w:val="center"/>
                </w:tcPr>
                <w:p w14:paraId="302D2D94">
                  <w:pPr>
                    <w:adjustRightInd w:val="0"/>
                    <w:snapToGrid w:val="0"/>
                    <w:jc w:val="center"/>
                    <w:rPr>
                      <w:color w:val="auto"/>
                      <w:highlight w:val="none"/>
                    </w:rPr>
                  </w:pPr>
                  <w:r>
                    <w:rPr>
                      <w:rFonts w:hint="eastAsia"/>
                      <w:color w:val="auto"/>
                      <w:highlight w:val="none"/>
                      <w:lang w:val="en-US" w:eastAsia="zh-CN"/>
                    </w:rPr>
                    <w:t>55</w:t>
                  </w:r>
                  <w:r>
                    <w:rPr>
                      <w:color w:val="auto"/>
                      <w:highlight w:val="none"/>
                    </w:rPr>
                    <w:t>dB(A)</w:t>
                  </w:r>
                </w:p>
              </w:tc>
              <w:tc>
                <w:tcPr>
                  <w:tcW w:w="2208" w:type="dxa"/>
                  <w:vAlign w:val="center"/>
                </w:tcPr>
                <w:p w14:paraId="503A5C8F">
                  <w:pPr>
                    <w:adjustRightInd w:val="0"/>
                    <w:snapToGrid w:val="0"/>
                    <w:jc w:val="center"/>
                    <w:rPr>
                      <w:color w:val="auto"/>
                      <w:highlight w:val="none"/>
                    </w:rPr>
                  </w:pPr>
                  <w:r>
                    <w:rPr>
                      <w:rFonts w:hint="eastAsia"/>
                      <w:color w:val="auto"/>
                      <w:highlight w:val="none"/>
                      <w:lang w:val="en-US" w:eastAsia="zh-CN"/>
                    </w:rPr>
                    <w:t>45</w:t>
                  </w:r>
                  <w:r>
                    <w:rPr>
                      <w:color w:val="auto"/>
                      <w:highlight w:val="none"/>
                    </w:rPr>
                    <w:t>dB(A)</w:t>
                  </w:r>
                </w:p>
              </w:tc>
            </w:tr>
            <w:tr w14:paraId="2E2AD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2" w:type="dxa"/>
                  <w:vMerge w:val="continue"/>
                  <w:vAlign w:val="center"/>
                </w:tcPr>
                <w:p w14:paraId="44C77F7A">
                  <w:pPr>
                    <w:jc w:val="center"/>
                    <w:rPr>
                      <w:color w:val="auto"/>
                      <w:highlight w:val="none"/>
                    </w:rPr>
                  </w:pPr>
                </w:p>
              </w:tc>
              <w:tc>
                <w:tcPr>
                  <w:tcW w:w="2070" w:type="dxa"/>
                  <w:vAlign w:val="center"/>
                </w:tcPr>
                <w:p w14:paraId="34724BAE">
                  <w:pPr>
                    <w:adjustRightInd w:val="0"/>
                    <w:snapToGrid w:val="0"/>
                    <w:jc w:val="center"/>
                    <w:rPr>
                      <w:color w:val="auto"/>
                      <w:highlight w:val="none"/>
                    </w:rPr>
                  </w:pPr>
                  <w:r>
                    <w:rPr>
                      <w:rFonts w:hint="eastAsia"/>
                      <w:color w:val="auto"/>
                      <w:highlight w:val="none"/>
                      <w:lang w:val="en-US" w:eastAsia="zh-CN"/>
                    </w:rPr>
                    <w:t>2</w:t>
                  </w:r>
                  <w:r>
                    <w:rPr>
                      <w:color w:val="auto"/>
                      <w:highlight w:val="none"/>
                    </w:rPr>
                    <w:t>类</w:t>
                  </w:r>
                </w:p>
              </w:tc>
              <w:tc>
                <w:tcPr>
                  <w:tcW w:w="2025" w:type="dxa"/>
                  <w:vAlign w:val="center"/>
                </w:tcPr>
                <w:p w14:paraId="1FCE1C51">
                  <w:pPr>
                    <w:adjustRightInd w:val="0"/>
                    <w:snapToGrid w:val="0"/>
                    <w:jc w:val="center"/>
                    <w:rPr>
                      <w:color w:val="auto"/>
                      <w:highlight w:val="none"/>
                    </w:rPr>
                  </w:pPr>
                  <w:r>
                    <w:rPr>
                      <w:color w:val="auto"/>
                      <w:highlight w:val="none"/>
                    </w:rPr>
                    <w:t>6</w:t>
                  </w:r>
                  <w:r>
                    <w:rPr>
                      <w:rFonts w:hint="eastAsia"/>
                      <w:color w:val="auto"/>
                      <w:highlight w:val="none"/>
                      <w:lang w:val="en-US" w:eastAsia="zh-CN"/>
                    </w:rPr>
                    <w:t>0</w:t>
                  </w:r>
                  <w:r>
                    <w:rPr>
                      <w:color w:val="auto"/>
                      <w:highlight w:val="none"/>
                    </w:rPr>
                    <w:t>dB(A)</w:t>
                  </w:r>
                </w:p>
              </w:tc>
              <w:tc>
                <w:tcPr>
                  <w:tcW w:w="2208" w:type="dxa"/>
                  <w:vAlign w:val="center"/>
                </w:tcPr>
                <w:p w14:paraId="41211B8E">
                  <w:pPr>
                    <w:adjustRightInd w:val="0"/>
                    <w:snapToGrid w:val="0"/>
                    <w:jc w:val="center"/>
                    <w:rPr>
                      <w:color w:val="auto"/>
                      <w:highlight w:val="none"/>
                    </w:rPr>
                  </w:pPr>
                  <w:r>
                    <w:rPr>
                      <w:color w:val="auto"/>
                      <w:highlight w:val="none"/>
                    </w:rPr>
                    <w:t>5</w:t>
                  </w:r>
                  <w:r>
                    <w:rPr>
                      <w:rFonts w:hint="eastAsia"/>
                      <w:color w:val="auto"/>
                      <w:highlight w:val="none"/>
                      <w:lang w:val="en-US" w:eastAsia="zh-CN"/>
                    </w:rPr>
                    <w:t>0</w:t>
                  </w:r>
                  <w:r>
                    <w:rPr>
                      <w:color w:val="auto"/>
                      <w:highlight w:val="none"/>
                    </w:rPr>
                    <w:t>dB(A)</w:t>
                  </w:r>
                </w:p>
              </w:tc>
            </w:tr>
          </w:tbl>
          <w:p w14:paraId="08F2D331">
            <w:pPr>
              <w:spacing w:line="360" w:lineRule="auto"/>
              <w:ind w:firstLine="480" w:firstLineChars="200"/>
              <w:rPr>
                <w:color w:val="auto"/>
                <w:sz w:val="24"/>
                <w:highlight w:val="none"/>
              </w:rPr>
            </w:pPr>
            <w:r>
              <w:rPr>
                <w:color w:val="auto"/>
                <w:sz w:val="24"/>
                <w:highlight w:val="none"/>
              </w:rPr>
              <w:t>（2）电磁环境</w:t>
            </w:r>
          </w:p>
          <w:p w14:paraId="669CAFE0">
            <w:pPr>
              <w:autoSpaceDN w:val="0"/>
              <w:spacing w:line="360" w:lineRule="auto"/>
              <w:ind w:firstLine="480" w:firstLineChars="200"/>
              <w:textAlignment w:val="baseline"/>
              <w:rPr>
                <w:color w:val="auto"/>
                <w:sz w:val="24"/>
                <w:highlight w:val="none"/>
              </w:rPr>
            </w:pPr>
            <w:r>
              <w:rPr>
                <w:color w:val="auto"/>
                <w:sz w:val="24"/>
                <w:highlight w:val="none"/>
              </w:rPr>
              <w:t>①工频电场执行《电磁环境控制限值》（GB8702-2014）中规定的标准，公众曝露控制限值电场强度限值200/f（4000V/m）作为评价标准；架空输电线路下的耕地、园地、牧草地、畜禽饲养地、养殖水面、道路等场所，其频率50Hz的电场强度控制限值为10kV/m，且应给出警示和防护指示标志；</w:t>
            </w:r>
          </w:p>
          <w:p w14:paraId="2414239B">
            <w:pPr>
              <w:spacing w:line="360" w:lineRule="auto"/>
              <w:ind w:firstLine="480" w:firstLineChars="200"/>
              <w:rPr>
                <w:color w:val="auto"/>
                <w:sz w:val="24"/>
                <w:highlight w:val="none"/>
              </w:rPr>
            </w:pPr>
            <w:r>
              <w:rPr>
                <w:color w:val="auto"/>
                <w:sz w:val="24"/>
                <w:highlight w:val="none"/>
              </w:rPr>
              <w:t>②工频磁场执行《电磁环境控制限值》（GB8702-2014）中规定的标准，公众曝露控制限值磁感应强度限值5/f（100μT）作为评价标准。</w:t>
            </w:r>
          </w:p>
          <w:p w14:paraId="33A6B51F">
            <w:pPr>
              <w:spacing w:line="360" w:lineRule="auto"/>
              <w:ind w:firstLine="480" w:firstLineChars="200"/>
              <w:rPr>
                <w:color w:val="auto"/>
                <w:sz w:val="24"/>
                <w:highlight w:val="none"/>
              </w:rPr>
            </w:pPr>
            <w:r>
              <w:rPr>
                <w:color w:val="auto"/>
                <w:sz w:val="24"/>
                <w:highlight w:val="none"/>
              </w:rPr>
              <w:t>具体情况见表3-</w:t>
            </w:r>
            <w:r>
              <w:rPr>
                <w:rFonts w:hint="eastAsia"/>
                <w:color w:val="auto"/>
                <w:sz w:val="24"/>
                <w:highlight w:val="none"/>
                <w:lang w:val="en-US" w:eastAsia="zh-CN"/>
              </w:rPr>
              <w:t>8</w:t>
            </w:r>
            <w:r>
              <w:rPr>
                <w:color w:val="auto"/>
                <w:sz w:val="24"/>
                <w:highlight w:val="none"/>
              </w:rPr>
              <w:t>。</w:t>
            </w:r>
          </w:p>
          <w:p w14:paraId="1D7F2880">
            <w:pPr>
              <w:spacing w:line="360" w:lineRule="auto"/>
              <w:ind w:firstLine="7" w:firstLineChars="3"/>
              <w:jc w:val="center"/>
              <w:rPr>
                <w:rFonts w:eastAsia="黑体"/>
                <w:b/>
                <w:bCs/>
                <w:color w:val="auto"/>
                <w:sz w:val="24"/>
                <w:highlight w:val="none"/>
              </w:rPr>
            </w:pPr>
            <w:r>
              <w:rPr>
                <w:rFonts w:eastAsia="黑体"/>
                <w:b/>
                <w:bCs/>
                <w:color w:val="auto"/>
                <w:sz w:val="24"/>
                <w:highlight w:val="none"/>
              </w:rPr>
              <w:t>表3-</w:t>
            </w:r>
            <w:r>
              <w:rPr>
                <w:rFonts w:hint="eastAsia" w:eastAsia="黑体"/>
                <w:b/>
                <w:bCs/>
                <w:color w:val="auto"/>
                <w:sz w:val="24"/>
                <w:highlight w:val="none"/>
                <w:lang w:val="en-US" w:eastAsia="zh-CN"/>
              </w:rPr>
              <w:t>8</w:t>
            </w:r>
            <w:r>
              <w:rPr>
                <w:rFonts w:eastAsia="黑体"/>
                <w:b/>
                <w:bCs/>
                <w:color w:val="auto"/>
                <w:sz w:val="24"/>
                <w:highlight w:val="none"/>
              </w:rPr>
              <w:t xml:space="preserve">  电磁环境控制限值</w:t>
            </w:r>
          </w:p>
          <w:tbl>
            <w:tblPr>
              <w:tblStyle w:val="28"/>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6513"/>
            </w:tblGrid>
            <w:tr w14:paraId="52451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vAlign w:val="center"/>
                </w:tcPr>
                <w:p w14:paraId="32417FDB">
                  <w:pPr>
                    <w:spacing w:line="240" w:lineRule="atLeast"/>
                    <w:jc w:val="center"/>
                    <w:rPr>
                      <w:b/>
                      <w:bCs/>
                      <w:color w:val="auto"/>
                      <w:highlight w:val="none"/>
                    </w:rPr>
                  </w:pPr>
                  <w:r>
                    <w:rPr>
                      <w:b/>
                      <w:bCs/>
                      <w:color w:val="auto"/>
                      <w:highlight w:val="none"/>
                    </w:rPr>
                    <w:t>污染物名称</w:t>
                  </w:r>
                </w:p>
              </w:tc>
              <w:tc>
                <w:tcPr>
                  <w:tcW w:w="6513" w:type="dxa"/>
                  <w:vAlign w:val="center"/>
                </w:tcPr>
                <w:p w14:paraId="15D2C7BB">
                  <w:pPr>
                    <w:spacing w:line="240" w:lineRule="atLeast"/>
                    <w:jc w:val="center"/>
                    <w:rPr>
                      <w:b/>
                      <w:bCs/>
                      <w:color w:val="auto"/>
                      <w:highlight w:val="none"/>
                    </w:rPr>
                  </w:pPr>
                  <w:r>
                    <w:rPr>
                      <w:b/>
                      <w:bCs/>
                      <w:color w:val="auto"/>
                      <w:highlight w:val="none"/>
                    </w:rPr>
                    <w:t>标准</w:t>
                  </w:r>
                </w:p>
              </w:tc>
            </w:tr>
            <w:tr w14:paraId="044EF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vMerge w:val="restart"/>
                  <w:vAlign w:val="center"/>
                </w:tcPr>
                <w:p w14:paraId="405918B1">
                  <w:pPr>
                    <w:spacing w:line="240" w:lineRule="atLeast"/>
                    <w:jc w:val="center"/>
                    <w:rPr>
                      <w:color w:val="auto"/>
                      <w:highlight w:val="none"/>
                    </w:rPr>
                  </w:pPr>
                  <w:r>
                    <w:rPr>
                      <w:color w:val="auto"/>
                      <w:highlight w:val="none"/>
                    </w:rPr>
                    <w:t>工频电场</w:t>
                  </w:r>
                </w:p>
              </w:tc>
              <w:tc>
                <w:tcPr>
                  <w:tcW w:w="6513" w:type="dxa"/>
                  <w:vAlign w:val="center"/>
                </w:tcPr>
                <w:p w14:paraId="3515118C">
                  <w:pPr>
                    <w:spacing w:line="240" w:lineRule="atLeast"/>
                    <w:jc w:val="center"/>
                    <w:rPr>
                      <w:color w:val="auto"/>
                      <w:highlight w:val="none"/>
                    </w:rPr>
                  </w:pPr>
                  <w:r>
                    <w:rPr>
                      <w:color w:val="auto"/>
                      <w:highlight w:val="none"/>
                    </w:rPr>
                    <w:t>4000V/m</w:t>
                  </w:r>
                </w:p>
              </w:tc>
            </w:tr>
            <w:tr w14:paraId="22797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vMerge w:val="continue"/>
                  <w:vAlign w:val="center"/>
                </w:tcPr>
                <w:p w14:paraId="64DEAEC2">
                  <w:pPr>
                    <w:spacing w:line="240" w:lineRule="atLeast"/>
                    <w:jc w:val="center"/>
                    <w:rPr>
                      <w:color w:val="auto"/>
                      <w:highlight w:val="none"/>
                    </w:rPr>
                  </w:pPr>
                </w:p>
              </w:tc>
              <w:tc>
                <w:tcPr>
                  <w:tcW w:w="6513" w:type="dxa"/>
                  <w:vAlign w:val="center"/>
                </w:tcPr>
                <w:p w14:paraId="4DE34276">
                  <w:pPr>
                    <w:spacing w:line="240" w:lineRule="atLeast"/>
                    <w:jc w:val="center"/>
                    <w:rPr>
                      <w:color w:val="auto"/>
                      <w:highlight w:val="none"/>
                    </w:rPr>
                  </w:pPr>
                  <w:r>
                    <w:rPr>
                      <w:color w:val="auto"/>
                      <w:highlight w:val="none"/>
                    </w:rPr>
                    <w:t>10kV/m（架空输电线路下的耕地、园地、牧草地、畜禽饲养地、养殖水面、道路等场所）</w:t>
                  </w:r>
                </w:p>
              </w:tc>
            </w:tr>
            <w:tr w14:paraId="3FBAD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vAlign w:val="center"/>
                </w:tcPr>
                <w:p w14:paraId="28EEBE91">
                  <w:pPr>
                    <w:spacing w:line="240" w:lineRule="atLeast"/>
                    <w:jc w:val="center"/>
                    <w:rPr>
                      <w:color w:val="auto"/>
                      <w:highlight w:val="none"/>
                    </w:rPr>
                  </w:pPr>
                  <w:r>
                    <w:rPr>
                      <w:color w:val="auto"/>
                      <w:highlight w:val="none"/>
                    </w:rPr>
                    <w:t>工频磁场</w:t>
                  </w:r>
                </w:p>
              </w:tc>
              <w:tc>
                <w:tcPr>
                  <w:tcW w:w="6513" w:type="dxa"/>
                  <w:vAlign w:val="center"/>
                </w:tcPr>
                <w:p w14:paraId="6A11962B">
                  <w:pPr>
                    <w:spacing w:line="240" w:lineRule="atLeast"/>
                    <w:jc w:val="center"/>
                    <w:rPr>
                      <w:color w:val="auto"/>
                      <w:highlight w:val="none"/>
                    </w:rPr>
                  </w:pPr>
                  <w:r>
                    <w:rPr>
                      <w:color w:val="auto"/>
                      <w:highlight w:val="none"/>
                    </w:rPr>
                    <w:t>100μT</w:t>
                  </w:r>
                </w:p>
              </w:tc>
            </w:tr>
          </w:tbl>
          <w:p w14:paraId="74BE346A">
            <w:pPr>
              <w:adjustRightInd w:val="0"/>
              <w:snapToGrid w:val="0"/>
              <w:spacing w:line="360" w:lineRule="auto"/>
              <w:ind w:firstLine="482" w:firstLineChars="200"/>
              <w:rPr>
                <w:color w:val="auto"/>
                <w:sz w:val="24"/>
                <w:highlight w:val="none"/>
              </w:rPr>
            </w:pPr>
            <w:r>
              <w:rPr>
                <w:b/>
                <w:bCs/>
                <w:color w:val="auto"/>
                <w:sz w:val="24"/>
                <w:highlight w:val="none"/>
              </w:rPr>
              <w:t>2、污染物排放标准</w:t>
            </w:r>
          </w:p>
          <w:p w14:paraId="531D8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color w:val="auto"/>
                <w:sz w:val="24"/>
                <w:szCs w:val="24"/>
              </w:rPr>
              <w:t>（1）环境空气</w:t>
            </w:r>
          </w:p>
          <w:p w14:paraId="6831C0DE">
            <w:pPr>
              <w:spacing w:line="360" w:lineRule="auto"/>
              <w:ind w:firstLine="480" w:firstLineChars="200"/>
              <w:rPr>
                <w:rFonts w:hint="default"/>
                <w:color w:val="auto"/>
                <w:sz w:val="24"/>
                <w:szCs w:val="24"/>
              </w:rPr>
            </w:pPr>
            <w:r>
              <w:rPr>
                <w:rFonts w:hint="default"/>
                <w:color w:val="auto"/>
                <w:sz w:val="24"/>
                <w:szCs w:val="24"/>
              </w:rPr>
              <w:t>施工期扬尘执行《大气污染物综合排放标准》（GB16297-1996）中其他颗粒物的无组织排放监控浓度限值，具体见表3-</w:t>
            </w:r>
            <w:r>
              <w:rPr>
                <w:rFonts w:hint="eastAsia"/>
                <w:color w:val="auto"/>
                <w:sz w:val="24"/>
                <w:szCs w:val="24"/>
                <w:lang w:val="en-US" w:eastAsia="zh-CN"/>
              </w:rPr>
              <w:t>9</w:t>
            </w:r>
            <w:r>
              <w:rPr>
                <w:rFonts w:hint="default"/>
                <w:color w:val="auto"/>
                <w:sz w:val="24"/>
                <w:szCs w:val="24"/>
              </w:rPr>
              <w:t>。</w:t>
            </w:r>
          </w:p>
          <w:p w14:paraId="0DE65E87">
            <w:pPr>
              <w:spacing w:line="360" w:lineRule="auto"/>
              <w:ind w:firstLine="7" w:firstLineChars="3"/>
              <w:jc w:val="center"/>
              <w:rPr>
                <w:rFonts w:hint="default" w:eastAsia="黑体"/>
                <w:b/>
                <w:bCs/>
                <w:color w:val="auto"/>
                <w:sz w:val="24"/>
                <w:highlight w:val="none"/>
              </w:rPr>
            </w:pPr>
            <w:r>
              <w:rPr>
                <w:rFonts w:hint="default" w:eastAsia="黑体"/>
                <w:b/>
                <w:bCs/>
                <w:color w:val="auto"/>
                <w:sz w:val="24"/>
                <w:highlight w:val="none"/>
              </w:rPr>
              <w:t>表3-</w:t>
            </w:r>
            <w:r>
              <w:rPr>
                <w:rFonts w:hint="eastAsia" w:eastAsia="黑体"/>
                <w:b/>
                <w:bCs/>
                <w:color w:val="auto"/>
                <w:sz w:val="24"/>
                <w:highlight w:val="none"/>
                <w:lang w:val="en-US" w:eastAsia="zh-CN"/>
              </w:rPr>
              <w:t>9</w:t>
            </w:r>
            <w:r>
              <w:rPr>
                <w:rFonts w:hint="default" w:eastAsia="黑体"/>
                <w:b/>
                <w:bCs/>
                <w:color w:val="auto"/>
                <w:sz w:val="24"/>
                <w:highlight w:val="none"/>
              </w:rPr>
              <w:t xml:space="preserve">  施工扬尘排放限值</w:t>
            </w:r>
          </w:p>
          <w:tbl>
            <w:tblPr>
              <w:tblStyle w:val="28"/>
              <w:tblW w:w="80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74"/>
              <w:gridCol w:w="2605"/>
              <w:gridCol w:w="2500"/>
            </w:tblGrid>
            <w:tr w14:paraId="27AE01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noWrap w:val="0"/>
                  <w:vAlign w:val="center"/>
                </w:tcPr>
                <w:p w14:paraId="7A35BDC7">
                  <w:pPr>
                    <w:adjustRightInd w:val="0"/>
                    <w:snapToGrid w:val="0"/>
                    <w:jc w:val="center"/>
                    <w:rPr>
                      <w:rFonts w:hint="default"/>
                      <w:b/>
                      <w:bCs/>
                      <w:color w:val="auto"/>
                      <w:sz w:val="21"/>
                      <w:szCs w:val="21"/>
                    </w:rPr>
                  </w:pPr>
                  <w:r>
                    <w:rPr>
                      <w:rFonts w:hint="default"/>
                      <w:b/>
                      <w:bCs/>
                      <w:color w:val="auto"/>
                      <w:sz w:val="21"/>
                      <w:szCs w:val="21"/>
                    </w:rPr>
                    <w:t>污染物</w:t>
                  </w:r>
                </w:p>
              </w:tc>
              <w:tc>
                <w:tcPr>
                  <w:tcW w:w="2605" w:type="dxa"/>
                  <w:noWrap w:val="0"/>
                  <w:vAlign w:val="center"/>
                </w:tcPr>
                <w:p w14:paraId="6E9CC04C">
                  <w:pPr>
                    <w:adjustRightInd w:val="0"/>
                    <w:snapToGrid w:val="0"/>
                    <w:jc w:val="center"/>
                    <w:rPr>
                      <w:rFonts w:hint="default"/>
                      <w:b/>
                      <w:bCs/>
                      <w:color w:val="auto"/>
                      <w:sz w:val="21"/>
                      <w:szCs w:val="21"/>
                    </w:rPr>
                  </w:pPr>
                  <w:r>
                    <w:rPr>
                      <w:rFonts w:hint="default"/>
                      <w:b/>
                      <w:bCs/>
                      <w:color w:val="auto"/>
                      <w:sz w:val="21"/>
                      <w:szCs w:val="21"/>
                    </w:rPr>
                    <w:t>监控点</w:t>
                  </w:r>
                </w:p>
              </w:tc>
              <w:tc>
                <w:tcPr>
                  <w:tcW w:w="2500" w:type="dxa"/>
                  <w:noWrap w:val="0"/>
                  <w:vAlign w:val="center"/>
                </w:tcPr>
                <w:p w14:paraId="4ADE69CB">
                  <w:pPr>
                    <w:adjustRightInd w:val="0"/>
                    <w:snapToGrid w:val="0"/>
                    <w:jc w:val="center"/>
                    <w:rPr>
                      <w:rFonts w:hint="default"/>
                      <w:b/>
                      <w:bCs/>
                      <w:color w:val="auto"/>
                      <w:sz w:val="21"/>
                      <w:szCs w:val="21"/>
                    </w:rPr>
                  </w:pPr>
                  <w:r>
                    <w:rPr>
                      <w:rFonts w:hint="default"/>
                      <w:b/>
                      <w:bCs/>
                      <w:color w:val="auto"/>
                      <w:sz w:val="21"/>
                      <w:szCs w:val="21"/>
                    </w:rPr>
                    <w:t>浓度</w:t>
                  </w:r>
                </w:p>
              </w:tc>
            </w:tr>
            <w:tr w14:paraId="4E59AC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noWrap w:val="0"/>
                  <w:vAlign w:val="center"/>
                </w:tcPr>
                <w:p w14:paraId="003C9A9B">
                  <w:pPr>
                    <w:adjustRightInd w:val="0"/>
                    <w:snapToGrid w:val="0"/>
                    <w:jc w:val="center"/>
                    <w:rPr>
                      <w:rFonts w:hint="default"/>
                      <w:color w:val="auto"/>
                      <w:sz w:val="21"/>
                      <w:szCs w:val="21"/>
                    </w:rPr>
                  </w:pPr>
                  <w:r>
                    <w:rPr>
                      <w:rFonts w:hint="default"/>
                      <w:color w:val="auto"/>
                      <w:sz w:val="21"/>
                      <w:szCs w:val="21"/>
                    </w:rPr>
                    <w:t>其他颗粒物</w:t>
                  </w:r>
                </w:p>
              </w:tc>
              <w:tc>
                <w:tcPr>
                  <w:tcW w:w="2605" w:type="dxa"/>
                  <w:noWrap w:val="0"/>
                  <w:vAlign w:val="center"/>
                </w:tcPr>
                <w:p w14:paraId="4998BC05">
                  <w:pPr>
                    <w:adjustRightInd w:val="0"/>
                    <w:snapToGrid w:val="0"/>
                    <w:jc w:val="center"/>
                    <w:rPr>
                      <w:rFonts w:hint="default"/>
                      <w:color w:val="auto"/>
                      <w:sz w:val="21"/>
                      <w:szCs w:val="21"/>
                    </w:rPr>
                  </w:pPr>
                  <w:r>
                    <w:rPr>
                      <w:rFonts w:hint="default"/>
                      <w:color w:val="auto"/>
                      <w:sz w:val="21"/>
                      <w:szCs w:val="21"/>
                    </w:rPr>
                    <w:t>周界外浓度最高点</w:t>
                  </w:r>
                </w:p>
              </w:tc>
              <w:tc>
                <w:tcPr>
                  <w:tcW w:w="2500" w:type="dxa"/>
                  <w:noWrap w:val="0"/>
                  <w:vAlign w:val="center"/>
                </w:tcPr>
                <w:p w14:paraId="63CAE25B">
                  <w:pPr>
                    <w:adjustRightInd w:val="0"/>
                    <w:snapToGrid w:val="0"/>
                    <w:jc w:val="center"/>
                    <w:rPr>
                      <w:rFonts w:hint="default"/>
                      <w:color w:val="auto"/>
                      <w:sz w:val="21"/>
                      <w:szCs w:val="21"/>
                    </w:rPr>
                  </w:pPr>
                  <w:r>
                    <w:rPr>
                      <w:rFonts w:hint="default"/>
                      <w:color w:val="auto"/>
                      <w:sz w:val="21"/>
                      <w:szCs w:val="21"/>
                    </w:rPr>
                    <w:t>1.0mg/m</w:t>
                  </w:r>
                  <w:r>
                    <w:rPr>
                      <w:rFonts w:hint="default"/>
                      <w:color w:val="auto"/>
                      <w:sz w:val="21"/>
                      <w:szCs w:val="21"/>
                      <w:vertAlign w:val="superscript"/>
                    </w:rPr>
                    <w:t>3</w:t>
                  </w:r>
                </w:p>
              </w:tc>
            </w:tr>
          </w:tbl>
          <w:p w14:paraId="3FEDC536">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2</w:t>
            </w:r>
            <w:r>
              <w:rPr>
                <w:color w:val="auto"/>
                <w:sz w:val="24"/>
                <w:highlight w:val="none"/>
              </w:rPr>
              <w:t>）声环境</w:t>
            </w:r>
          </w:p>
          <w:p w14:paraId="1FB38874">
            <w:pPr>
              <w:spacing w:line="360" w:lineRule="auto"/>
              <w:ind w:firstLine="480" w:firstLineChars="200"/>
              <w:rPr>
                <w:bCs/>
                <w:color w:val="auto"/>
                <w:sz w:val="24"/>
                <w:highlight w:val="none"/>
              </w:rPr>
            </w:pPr>
            <w:r>
              <w:rPr>
                <w:color w:val="auto"/>
                <w:sz w:val="24"/>
                <w:highlight w:val="none"/>
              </w:rPr>
              <w:t>①施工期声环境执行</w:t>
            </w:r>
            <w:r>
              <w:rPr>
                <w:bCs/>
                <w:color w:val="auto"/>
                <w:sz w:val="24"/>
                <w:highlight w:val="none"/>
              </w:rPr>
              <w:t>《建筑施工噪声排放标准》（GB12523-20</w:t>
            </w:r>
            <w:r>
              <w:rPr>
                <w:rFonts w:hint="eastAsia"/>
                <w:bCs/>
                <w:color w:val="auto"/>
                <w:sz w:val="24"/>
                <w:highlight w:val="none"/>
                <w:lang w:val="en-US" w:eastAsia="zh-CN"/>
              </w:rPr>
              <w:t>25</w:t>
            </w:r>
            <w:r>
              <w:rPr>
                <w:bCs/>
                <w:color w:val="auto"/>
                <w:sz w:val="24"/>
                <w:highlight w:val="none"/>
              </w:rPr>
              <w:t>），具体见表3-</w:t>
            </w:r>
            <w:r>
              <w:rPr>
                <w:rFonts w:hint="eastAsia"/>
                <w:bCs/>
                <w:color w:val="auto"/>
                <w:sz w:val="24"/>
                <w:highlight w:val="none"/>
                <w:lang w:val="en-US" w:eastAsia="zh-CN"/>
              </w:rPr>
              <w:t>10</w:t>
            </w:r>
            <w:r>
              <w:rPr>
                <w:bCs/>
                <w:color w:val="auto"/>
                <w:sz w:val="24"/>
                <w:highlight w:val="none"/>
              </w:rPr>
              <w:t>。</w:t>
            </w:r>
          </w:p>
          <w:p w14:paraId="458689D4">
            <w:pPr>
              <w:spacing w:line="360" w:lineRule="auto"/>
              <w:jc w:val="center"/>
              <w:rPr>
                <w:b/>
                <w:color w:val="auto"/>
                <w:sz w:val="24"/>
                <w:highlight w:val="none"/>
              </w:rPr>
            </w:pPr>
            <w:r>
              <w:rPr>
                <w:rFonts w:eastAsia="黑体"/>
                <w:b/>
                <w:color w:val="auto"/>
                <w:sz w:val="24"/>
                <w:highlight w:val="none"/>
              </w:rPr>
              <w:t>表3-</w:t>
            </w:r>
            <w:r>
              <w:rPr>
                <w:rFonts w:hint="eastAsia" w:eastAsia="黑体"/>
                <w:b/>
                <w:color w:val="auto"/>
                <w:sz w:val="24"/>
                <w:highlight w:val="none"/>
                <w:lang w:val="en-US" w:eastAsia="zh-CN"/>
              </w:rPr>
              <w:t>10</w:t>
            </w:r>
            <w:r>
              <w:rPr>
                <w:rFonts w:eastAsia="黑体"/>
                <w:b/>
                <w:color w:val="auto"/>
                <w:sz w:val="24"/>
                <w:highlight w:val="none"/>
              </w:rPr>
              <w:t xml:space="preserve">  建筑施工噪声排放限值</w:t>
            </w:r>
          </w:p>
          <w:tbl>
            <w:tblPr>
              <w:tblStyle w:val="28"/>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3837"/>
            </w:tblGrid>
            <w:tr w14:paraId="4EC23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4222" w:type="dxa"/>
                  <w:vAlign w:val="center"/>
                </w:tcPr>
                <w:p w14:paraId="556272FD">
                  <w:pPr>
                    <w:adjustRightInd w:val="0"/>
                    <w:snapToGrid w:val="0"/>
                    <w:spacing w:line="240" w:lineRule="atLeast"/>
                    <w:jc w:val="center"/>
                    <w:rPr>
                      <w:b/>
                      <w:bCs w:val="0"/>
                      <w:color w:val="auto"/>
                      <w:szCs w:val="21"/>
                      <w:highlight w:val="none"/>
                    </w:rPr>
                  </w:pPr>
                  <w:r>
                    <w:rPr>
                      <w:b/>
                      <w:bCs w:val="0"/>
                      <w:color w:val="auto"/>
                      <w:szCs w:val="21"/>
                      <w:highlight w:val="none"/>
                    </w:rPr>
                    <w:t>昼间</w:t>
                  </w:r>
                </w:p>
              </w:tc>
              <w:tc>
                <w:tcPr>
                  <w:tcW w:w="3837" w:type="dxa"/>
                  <w:vAlign w:val="center"/>
                </w:tcPr>
                <w:p w14:paraId="3CE2401B">
                  <w:pPr>
                    <w:adjustRightInd w:val="0"/>
                    <w:snapToGrid w:val="0"/>
                    <w:spacing w:line="240" w:lineRule="atLeast"/>
                    <w:jc w:val="center"/>
                    <w:rPr>
                      <w:b/>
                      <w:bCs w:val="0"/>
                      <w:color w:val="auto"/>
                      <w:szCs w:val="21"/>
                      <w:highlight w:val="none"/>
                    </w:rPr>
                  </w:pPr>
                  <w:r>
                    <w:rPr>
                      <w:b/>
                      <w:bCs w:val="0"/>
                      <w:color w:val="auto"/>
                      <w:szCs w:val="21"/>
                      <w:highlight w:val="none"/>
                    </w:rPr>
                    <w:t>夜间</w:t>
                  </w:r>
                </w:p>
              </w:tc>
            </w:tr>
            <w:tr w14:paraId="4552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22" w:type="dxa"/>
                  <w:vAlign w:val="center"/>
                </w:tcPr>
                <w:p w14:paraId="0AD48FD7">
                  <w:pPr>
                    <w:adjustRightInd w:val="0"/>
                    <w:snapToGrid w:val="0"/>
                    <w:spacing w:line="240" w:lineRule="atLeast"/>
                    <w:jc w:val="center"/>
                    <w:rPr>
                      <w:color w:val="auto"/>
                      <w:szCs w:val="21"/>
                      <w:highlight w:val="none"/>
                    </w:rPr>
                  </w:pPr>
                  <w:r>
                    <w:rPr>
                      <w:color w:val="auto"/>
                      <w:szCs w:val="21"/>
                      <w:highlight w:val="none"/>
                    </w:rPr>
                    <w:t>70</w:t>
                  </w:r>
                  <w:r>
                    <w:rPr>
                      <w:rFonts w:eastAsia="黑体"/>
                      <w:bCs/>
                      <w:color w:val="auto"/>
                      <w:szCs w:val="21"/>
                      <w:highlight w:val="none"/>
                    </w:rPr>
                    <w:t>dB(A)</w:t>
                  </w:r>
                </w:p>
              </w:tc>
              <w:tc>
                <w:tcPr>
                  <w:tcW w:w="3837" w:type="dxa"/>
                  <w:vAlign w:val="center"/>
                </w:tcPr>
                <w:p w14:paraId="179EE208">
                  <w:pPr>
                    <w:adjustRightInd w:val="0"/>
                    <w:snapToGrid w:val="0"/>
                    <w:spacing w:line="240" w:lineRule="atLeast"/>
                    <w:jc w:val="center"/>
                    <w:rPr>
                      <w:color w:val="auto"/>
                      <w:szCs w:val="21"/>
                      <w:highlight w:val="none"/>
                    </w:rPr>
                  </w:pPr>
                  <w:r>
                    <w:rPr>
                      <w:color w:val="auto"/>
                      <w:szCs w:val="21"/>
                      <w:highlight w:val="none"/>
                    </w:rPr>
                    <w:t>55</w:t>
                  </w:r>
                  <w:r>
                    <w:rPr>
                      <w:rFonts w:eastAsia="黑体"/>
                      <w:bCs/>
                      <w:color w:val="auto"/>
                      <w:szCs w:val="21"/>
                      <w:highlight w:val="none"/>
                    </w:rPr>
                    <w:t>dB(A)</w:t>
                  </w:r>
                </w:p>
              </w:tc>
            </w:tr>
          </w:tbl>
          <w:p w14:paraId="72B165D6">
            <w:pPr>
              <w:widowControl/>
              <w:spacing w:line="360" w:lineRule="auto"/>
              <w:ind w:firstLine="480" w:firstLineChars="200"/>
              <w:rPr>
                <w:color w:val="auto"/>
                <w:sz w:val="24"/>
                <w:highlight w:val="none"/>
              </w:rPr>
            </w:pPr>
            <w:r>
              <w:rPr>
                <w:color w:val="auto"/>
                <w:sz w:val="24"/>
                <w:highlight w:val="none"/>
              </w:rPr>
              <w:t>②运行期</w:t>
            </w:r>
            <w:r>
              <w:rPr>
                <w:rFonts w:hint="eastAsia"/>
                <w:color w:val="auto"/>
                <w:sz w:val="24"/>
                <w:highlight w:val="none"/>
                <w:lang w:val="en-US" w:eastAsia="zh-CN"/>
              </w:rPr>
              <w:t>张程110kV</w:t>
            </w:r>
            <w:r>
              <w:rPr>
                <w:rFonts w:hint="eastAsia"/>
                <w:color w:val="auto"/>
                <w:sz w:val="24"/>
                <w:highlight w:val="none"/>
              </w:rPr>
              <w:t>变电站</w:t>
            </w:r>
            <w:r>
              <w:rPr>
                <w:color w:val="auto"/>
                <w:sz w:val="24"/>
                <w:highlight w:val="none"/>
              </w:rPr>
              <w:t>厂界噪声执行《工业企业厂界环境噪声排放标准》（GB12348-2008）</w:t>
            </w:r>
            <w:r>
              <w:rPr>
                <w:rFonts w:hint="eastAsia"/>
                <w:color w:val="auto"/>
                <w:sz w:val="24"/>
                <w:highlight w:val="none"/>
              </w:rPr>
              <w:t>2</w:t>
            </w:r>
            <w:r>
              <w:rPr>
                <w:color w:val="auto"/>
                <w:sz w:val="24"/>
                <w:highlight w:val="none"/>
              </w:rPr>
              <w:t>类标准，具体见表3-</w:t>
            </w:r>
            <w:r>
              <w:rPr>
                <w:rFonts w:hint="eastAsia"/>
                <w:color w:val="auto"/>
                <w:sz w:val="24"/>
                <w:highlight w:val="none"/>
                <w:lang w:val="en-US" w:eastAsia="zh-CN"/>
              </w:rPr>
              <w:t>11</w:t>
            </w:r>
            <w:r>
              <w:rPr>
                <w:color w:val="auto"/>
                <w:sz w:val="24"/>
                <w:highlight w:val="none"/>
              </w:rPr>
              <w:t>。</w:t>
            </w:r>
          </w:p>
          <w:p w14:paraId="1A9CAC78">
            <w:pPr>
              <w:spacing w:line="360" w:lineRule="auto"/>
              <w:ind w:firstLine="7" w:firstLineChars="3"/>
              <w:jc w:val="center"/>
              <w:rPr>
                <w:b/>
                <w:color w:val="auto"/>
                <w:sz w:val="24"/>
                <w:highlight w:val="none"/>
              </w:rPr>
            </w:pPr>
            <w:r>
              <w:rPr>
                <w:rFonts w:eastAsia="黑体"/>
                <w:b/>
                <w:color w:val="auto"/>
                <w:sz w:val="24"/>
                <w:highlight w:val="none"/>
              </w:rPr>
              <w:t>表3-</w:t>
            </w:r>
            <w:r>
              <w:rPr>
                <w:rFonts w:hint="eastAsia" w:eastAsia="黑体"/>
                <w:b/>
                <w:color w:val="auto"/>
                <w:sz w:val="24"/>
                <w:highlight w:val="none"/>
                <w:lang w:val="en-US" w:eastAsia="zh-CN"/>
              </w:rPr>
              <w:t>11</w:t>
            </w:r>
            <w:r>
              <w:rPr>
                <w:rFonts w:eastAsia="黑体"/>
                <w:b/>
                <w:color w:val="auto"/>
                <w:sz w:val="24"/>
                <w:highlight w:val="none"/>
              </w:rPr>
              <w:t xml:space="preserve"> </w:t>
            </w:r>
            <w:r>
              <w:rPr>
                <w:rFonts w:hint="eastAsia" w:eastAsia="黑体"/>
                <w:b/>
                <w:color w:val="auto"/>
                <w:sz w:val="24"/>
                <w:highlight w:val="none"/>
                <w:lang w:val="en-US" w:eastAsia="zh-CN"/>
              </w:rPr>
              <w:t xml:space="preserve"> </w:t>
            </w:r>
            <w:r>
              <w:rPr>
                <w:rFonts w:eastAsia="黑体"/>
                <w:b/>
                <w:color w:val="auto"/>
                <w:sz w:val="24"/>
                <w:highlight w:val="none"/>
              </w:rPr>
              <w:t>本项目具体执行的工业企业厂界环境噪声排放限值</w:t>
            </w:r>
          </w:p>
          <w:tbl>
            <w:tblPr>
              <w:tblStyle w:val="28"/>
              <w:tblW w:w="80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74"/>
              <w:gridCol w:w="2605"/>
              <w:gridCol w:w="2500"/>
            </w:tblGrid>
            <w:tr w14:paraId="32CEC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vAlign w:val="center"/>
                </w:tcPr>
                <w:p w14:paraId="07913676">
                  <w:pPr>
                    <w:adjustRightInd w:val="0"/>
                    <w:snapToGrid w:val="0"/>
                    <w:jc w:val="center"/>
                    <w:rPr>
                      <w:b/>
                      <w:bCs w:val="0"/>
                      <w:color w:val="auto"/>
                      <w:szCs w:val="21"/>
                      <w:highlight w:val="none"/>
                    </w:rPr>
                  </w:pPr>
                  <w:r>
                    <w:rPr>
                      <w:b/>
                      <w:bCs w:val="0"/>
                      <w:color w:val="auto"/>
                      <w:szCs w:val="21"/>
                      <w:highlight w:val="none"/>
                    </w:rPr>
                    <w:t>类别</w:t>
                  </w:r>
                </w:p>
              </w:tc>
              <w:tc>
                <w:tcPr>
                  <w:tcW w:w="2605" w:type="dxa"/>
                  <w:vAlign w:val="center"/>
                </w:tcPr>
                <w:p w14:paraId="68E30F8D">
                  <w:pPr>
                    <w:adjustRightInd w:val="0"/>
                    <w:snapToGrid w:val="0"/>
                    <w:jc w:val="center"/>
                    <w:rPr>
                      <w:b/>
                      <w:bCs w:val="0"/>
                      <w:color w:val="auto"/>
                      <w:szCs w:val="21"/>
                      <w:highlight w:val="none"/>
                    </w:rPr>
                  </w:pPr>
                  <w:r>
                    <w:rPr>
                      <w:b/>
                      <w:bCs w:val="0"/>
                      <w:color w:val="auto"/>
                      <w:szCs w:val="21"/>
                      <w:highlight w:val="none"/>
                    </w:rPr>
                    <w:t>昼间</w:t>
                  </w:r>
                </w:p>
              </w:tc>
              <w:tc>
                <w:tcPr>
                  <w:tcW w:w="2500" w:type="dxa"/>
                  <w:vAlign w:val="center"/>
                </w:tcPr>
                <w:p w14:paraId="69D88763">
                  <w:pPr>
                    <w:adjustRightInd w:val="0"/>
                    <w:snapToGrid w:val="0"/>
                    <w:jc w:val="center"/>
                    <w:rPr>
                      <w:b/>
                      <w:bCs w:val="0"/>
                      <w:color w:val="auto"/>
                      <w:szCs w:val="21"/>
                      <w:highlight w:val="none"/>
                    </w:rPr>
                  </w:pPr>
                  <w:r>
                    <w:rPr>
                      <w:b/>
                      <w:bCs w:val="0"/>
                      <w:color w:val="auto"/>
                      <w:szCs w:val="21"/>
                      <w:highlight w:val="none"/>
                    </w:rPr>
                    <w:t>夜间</w:t>
                  </w:r>
                </w:p>
              </w:tc>
            </w:tr>
            <w:tr w14:paraId="4171F0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74" w:type="dxa"/>
                  <w:vAlign w:val="center"/>
                </w:tcPr>
                <w:p w14:paraId="40EC967B">
                  <w:pPr>
                    <w:adjustRightInd w:val="0"/>
                    <w:snapToGrid w:val="0"/>
                    <w:jc w:val="center"/>
                    <w:rPr>
                      <w:color w:val="auto"/>
                      <w:szCs w:val="21"/>
                      <w:highlight w:val="none"/>
                    </w:rPr>
                  </w:pPr>
                  <w:r>
                    <w:rPr>
                      <w:rFonts w:hint="eastAsia"/>
                      <w:color w:val="auto"/>
                      <w:szCs w:val="21"/>
                      <w:highlight w:val="none"/>
                    </w:rPr>
                    <w:t>2类</w:t>
                  </w:r>
                </w:p>
              </w:tc>
              <w:tc>
                <w:tcPr>
                  <w:tcW w:w="2605" w:type="dxa"/>
                  <w:vAlign w:val="center"/>
                </w:tcPr>
                <w:p w14:paraId="4F55C672">
                  <w:pPr>
                    <w:adjustRightInd w:val="0"/>
                    <w:snapToGrid w:val="0"/>
                    <w:jc w:val="center"/>
                    <w:rPr>
                      <w:rFonts w:eastAsia="黑体"/>
                      <w:color w:val="auto"/>
                      <w:szCs w:val="21"/>
                      <w:highlight w:val="none"/>
                    </w:rPr>
                  </w:pPr>
                  <w:r>
                    <w:rPr>
                      <w:rFonts w:hint="eastAsia" w:eastAsia="黑体"/>
                      <w:color w:val="auto"/>
                      <w:szCs w:val="21"/>
                      <w:highlight w:val="none"/>
                    </w:rPr>
                    <w:t>60</w:t>
                  </w:r>
                  <w:r>
                    <w:rPr>
                      <w:rFonts w:eastAsia="黑体"/>
                      <w:bCs/>
                      <w:color w:val="auto"/>
                      <w:szCs w:val="21"/>
                      <w:highlight w:val="none"/>
                    </w:rPr>
                    <w:t>dB(A)</w:t>
                  </w:r>
                </w:p>
              </w:tc>
              <w:tc>
                <w:tcPr>
                  <w:tcW w:w="2500" w:type="dxa"/>
                  <w:vAlign w:val="center"/>
                </w:tcPr>
                <w:p w14:paraId="28AAF47C">
                  <w:pPr>
                    <w:adjustRightInd w:val="0"/>
                    <w:snapToGrid w:val="0"/>
                    <w:jc w:val="center"/>
                    <w:rPr>
                      <w:rFonts w:eastAsia="黑体"/>
                      <w:color w:val="auto"/>
                      <w:szCs w:val="21"/>
                      <w:highlight w:val="none"/>
                    </w:rPr>
                  </w:pPr>
                  <w:r>
                    <w:rPr>
                      <w:rFonts w:hint="eastAsia" w:eastAsia="黑体"/>
                      <w:color w:val="auto"/>
                      <w:szCs w:val="21"/>
                      <w:highlight w:val="none"/>
                    </w:rPr>
                    <w:t>50</w:t>
                  </w:r>
                  <w:r>
                    <w:rPr>
                      <w:rFonts w:eastAsia="黑体"/>
                      <w:bCs/>
                      <w:color w:val="auto"/>
                      <w:szCs w:val="21"/>
                      <w:highlight w:val="none"/>
                    </w:rPr>
                    <w:t>dB(A)</w:t>
                  </w:r>
                </w:p>
              </w:tc>
            </w:tr>
          </w:tbl>
          <w:p w14:paraId="7B36AB97">
            <w:pPr>
              <w:pStyle w:val="8"/>
              <w:spacing w:after="0" w:line="360" w:lineRule="auto"/>
              <w:ind w:left="0" w:leftChars="0" w:firstLine="0"/>
              <w:jc w:val="left"/>
              <w:rPr>
                <w:color w:val="auto"/>
                <w:highlight w:val="none"/>
              </w:rPr>
            </w:pPr>
          </w:p>
        </w:tc>
      </w:tr>
      <w:tr w14:paraId="6A4C6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06" w:type="dxa"/>
            <w:vAlign w:val="center"/>
          </w:tcPr>
          <w:p w14:paraId="774607A1">
            <w:pPr>
              <w:adjustRightInd w:val="0"/>
              <w:snapToGrid w:val="0"/>
              <w:jc w:val="center"/>
              <w:rPr>
                <w:color w:val="auto"/>
                <w:kern w:val="0"/>
                <w:sz w:val="24"/>
                <w:highlight w:val="none"/>
              </w:rPr>
            </w:pPr>
            <w:r>
              <w:rPr>
                <w:color w:val="auto"/>
                <w:kern w:val="0"/>
                <w:sz w:val="24"/>
                <w:highlight w:val="none"/>
              </w:rPr>
              <w:t>其他</w:t>
            </w:r>
          </w:p>
        </w:tc>
        <w:tc>
          <w:tcPr>
            <w:tcW w:w="8767" w:type="dxa"/>
            <w:vAlign w:val="center"/>
          </w:tcPr>
          <w:p w14:paraId="549F90CA">
            <w:pPr>
              <w:pStyle w:val="8"/>
              <w:spacing w:after="0" w:line="360" w:lineRule="auto"/>
              <w:ind w:left="0" w:leftChars="0" w:firstLine="480" w:firstLineChars="200"/>
              <w:rPr>
                <w:bCs/>
                <w:color w:val="auto"/>
                <w:sz w:val="24"/>
                <w:highlight w:val="none"/>
              </w:rPr>
            </w:pPr>
            <w:r>
              <w:rPr>
                <w:bCs/>
                <w:color w:val="auto"/>
                <w:sz w:val="24"/>
                <w:highlight w:val="none"/>
              </w:rPr>
              <w:t>（1）施工期固体废物按照《中华人民共和国固体废物污染环境防治法》（2020年修订）相关要求执行。</w:t>
            </w:r>
          </w:p>
          <w:p w14:paraId="08828568">
            <w:pPr>
              <w:pStyle w:val="8"/>
              <w:spacing w:after="0" w:line="360" w:lineRule="auto"/>
              <w:ind w:left="0" w:leftChars="0" w:firstLine="480" w:firstLineChars="200"/>
              <w:rPr>
                <w:rFonts w:hint="default" w:eastAsia="宋体"/>
                <w:bCs/>
                <w:color w:val="auto"/>
                <w:sz w:val="24"/>
                <w:highlight w:val="none"/>
                <w:lang w:val="en-US" w:eastAsia="zh-CN"/>
              </w:rPr>
            </w:pPr>
            <w:r>
              <w:rPr>
                <w:color w:val="auto"/>
                <w:sz w:val="24"/>
                <w:highlight w:val="none"/>
              </w:rPr>
              <w:t>（2）运行期变电站危险废物贮存执行</w:t>
            </w:r>
            <w:r>
              <w:rPr>
                <w:bCs/>
                <w:color w:val="auto"/>
                <w:sz w:val="24"/>
                <w:highlight w:val="none"/>
              </w:rPr>
              <w:t>《危险废物贮存污染控制标准》（GB18597-2023）</w:t>
            </w:r>
            <w:r>
              <w:rPr>
                <w:rFonts w:hint="default" w:ascii="Times New Roman" w:hAnsi="Times New Roman" w:cs="Times New Roman"/>
                <w:color w:val="auto"/>
                <w:sz w:val="24"/>
                <w:highlight w:val="none"/>
              </w:rPr>
              <w:t>中的相关要求</w:t>
            </w:r>
            <w:r>
              <w:rPr>
                <w:rFonts w:hint="eastAsia"/>
                <w:bCs/>
                <w:color w:val="auto"/>
                <w:sz w:val="24"/>
                <w:highlight w:val="none"/>
                <w:lang w:eastAsia="zh-CN"/>
              </w:rPr>
              <w:t>，</w:t>
            </w:r>
            <w:r>
              <w:rPr>
                <w:color w:val="auto"/>
                <w:sz w:val="24"/>
                <w:highlight w:val="none"/>
              </w:rPr>
              <w:t>危险废物</w:t>
            </w:r>
            <w:r>
              <w:rPr>
                <w:rFonts w:hint="eastAsia"/>
                <w:color w:val="auto"/>
                <w:sz w:val="24"/>
                <w:highlight w:val="none"/>
                <w:lang w:val="en-US" w:eastAsia="zh-CN"/>
              </w:rPr>
              <w:t>内部管理参照</w:t>
            </w:r>
            <w:r>
              <w:rPr>
                <w:color w:val="auto"/>
                <w:sz w:val="24"/>
                <w:highlight w:val="none"/>
              </w:rPr>
              <w:t>执行</w:t>
            </w:r>
            <w:r>
              <w:rPr>
                <w:rFonts w:hint="eastAsia"/>
                <w:bCs/>
                <w:color w:val="auto"/>
                <w:sz w:val="24"/>
                <w:highlight w:val="none"/>
                <w:lang w:eastAsia="zh-CN"/>
              </w:rPr>
              <w:t>《</w:t>
            </w:r>
            <w:r>
              <w:rPr>
                <w:rFonts w:hint="eastAsia"/>
                <w:bCs/>
                <w:color w:val="auto"/>
                <w:sz w:val="24"/>
                <w:highlight w:val="none"/>
              </w:rPr>
              <w:t>危险废物收集 贮存 运输技术规范</w:t>
            </w:r>
            <w:r>
              <w:rPr>
                <w:rFonts w:hint="eastAsia"/>
                <w:bCs/>
                <w:color w:val="auto"/>
                <w:sz w:val="24"/>
                <w:highlight w:val="none"/>
                <w:lang w:eastAsia="zh-CN"/>
              </w:rPr>
              <w:t>》（HJ2025-2012）</w:t>
            </w:r>
            <w:r>
              <w:rPr>
                <w:bCs/>
                <w:color w:val="auto"/>
                <w:sz w:val="24"/>
                <w:highlight w:val="none"/>
              </w:rPr>
              <w:t xml:space="preserve"> </w:t>
            </w:r>
            <w:r>
              <w:rPr>
                <w:rFonts w:hint="eastAsia"/>
                <w:bCs/>
                <w:color w:val="auto"/>
                <w:sz w:val="24"/>
                <w:highlight w:val="none"/>
                <w:lang w:val="en-US" w:eastAsia="zh-CN"/>
              </w:rPr>
              <w:t>中的相关规定。</w:t>
            </w:r>
          </w:p>
          <w:p w14:paraId="1244891A">
            <w:pPr>
              <w:pStyle w:val="8"/>
              <w:spacing w:after="0"/>
              <w:ind w:left="0" w:leftChars="0" w:firstLine="480" w:firstLineChars="200"/>
              <w:rPr>
                <w:color w:val="auto"/>
                <w:sz w:val="24"/>
                <w:highlight w:val="none"/>
              </w:rPr>
            </w:pPr>
            <w:r>
              <w:rPr>
                <w:bCs/>
                <w:color w:val="auto"/>
                <w:sz w:val="24"/>
                <w:highlight w:val="none"/>
              </w:rPr>
              <w:t>（3）本项目</w:t>
            </w:r>
            <w:r>
              <w:rPr>
                <w:color w:val="auto"/>
                <w:sz w:val="24"/>
                <w:highlight w:val="none"/>
              </w:rPr>
              <w:t>无总量控制指标。</w:t>
            </w:r>
            <w:r>
              <w:rPr>
                <w:bCs/>
                <w:color w:val="auto"/>
                <w:sz w:val="24"/>
                <w:highlight w:val="none"/>
              </w:rPr>
              <w:t xml:space="preserve">    </w:t>
            </w:r>
          </w:p>
        </w:tc>
      </w:tr>
    </w:tbl>
    <w:p w14:paraId="0FD5ABBC">
      <w:pPr>
        <w:pStyle w:val="26"/>
        <w:spacing w:before="0" w:beforeAutospacing="0" w:after="0" w:afterAutospacing="0" w:line="360" w:lineRule="auto"/>
        <w:jc w:val="both"/>
        <w:outlineLvl w:val="0"/>
        <w:rPr>
          <w:rFonts w:ascii="Times New Roman" w:hAnsi="Times New Roman" w:eastAsia="黑体"/>
          <w:b/>
          <w:bCs/>
          <w:snapToGrid w:val="0"/>
          <w:color w:val="auto"/>
          <w:sz w:val="30"/>
          <w:szCs w:val="30"/>
          <w:highlight w:val="none"/>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32A1075">
      <w:pPr>
        <w:pStyle w:val="26"/>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39" w:name="_Toc5571"/>
      <w:r>
        <w:rPr>
          <w:rFonts w:ascii="Times New Roman" w:hAnsi="Times New Roman" w:eastAsia="黑体"/>
          <w:b/>
          <w:bCs/>
          <w:snapToGrid w:val="0"/>
          <w:color w:val="auto"/>
          <w:sz w:val="30"/>
          <w:szCs w:val="30"/>
          <w:highlight w:val="none"/>
        </w:rPr>
        <w:t>四、生态环境影响分析</w:t>
      </w:r>
      <w:bookmarkEnd w:id="39"/>
    </w:p>
    <w:tbl>
      <w:tblPr>
        <w:tblStyle w:val="28"/>
        <w:tblW w:w="94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728"/>
      </w:tblGrid>
      <w:tr w14:paraId="2A477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6" w:type="dxa"/>
            <w:tcMar>
              <w:left w:w="28" w:type="dxa"/>
              <w:right w:w="28" w:type="dxa"/>
            </w:tcMar>
            <w:vAlign w:val="center"/>
          </w:tcPr>
          <w:p w14:paraId="4FC62514">
            <w:pPr>
              <w:pStyle w:val="26"/>
              <w:adjustRightInd w:val="0"/>
              <w:snapToGrid w:val="0"/>
              <w:spacing w:before="0" w:beforeAutospacing="0" w:after="0" w:afterAutospacing="0"/>
              <w:jc w:val="center"/>
              <w:rPr>
                <w:rFonts w:ascii="Times New Roman" w:hAnsi="Times New Roman"/>
                <w:bCs/>
                <w:color w:val="auto"/>
                <w:kern w:val="2"/>
                <w:sz w:val="21"/>
                <w:szCs w:val="21"/>
                <w:highlight w:val="none"/>
              </w:rPr>
            </w:pPr>
            <w:bookmarkStart w:id="40" w:name="_Hlk49796138"/>
            <w:r>
              <w:rPr>
                <w:rFonts w:ascii="Times New Roman" w:hAnsi="Times New Roman"/>
                <w:bCs/>
                <w:color w:val="auto"/>
                <w:spacing w:val="10"/>
                <w:kern w:val="2"/>
                <w:highlight w:val="none"/>
              </w:rPr>
              <w:t>施工期生态环境影响分析</w:t>
            </w:r>
            <w:bookmarkEnd w:id="40"/>
          </w:p>
        </w:tc>
        <w:tc>
          <w:tcPr>
            <w:tcW w:w="8728" w:type="dxa"/>
          </w:tcPr>
          <w:p w14:paraId="7F896287">
            <w:pPr>
              <w:spacing w:line="360" w:lineRule="auto"/>
              <w:ind w:firstLine="482" w:firstLineChars="200"/>
              <w:rPr>
                <w:b/>
                <w:bCs/>
                <w:color w:val="auto"/>
                <w:sz w:val="24"/>
                <w:highlight w:val="none"/>
              </w:rPr>
            </w:pPr>
            <w:r>
              <w:rPr>
                <w:b/>
                <w:bCs/>
                <w:color w:val="auto"/>
                <w:sz w:val="24"/>
                <w:highlight w:val="none"/>
              </w:rPr>
              <w:t>1、生态影响分析</w:t>
            </w:r>
          </w:p>
          <w:p w14:paraId="5495D552">
            <w:pPr>
              <w:spacing w:line="360" w:lineRule="auto"/>
              <w:ind w:firstLine="482" w:firstLineChars="200"/>
              <w:rPr>
                <w:b/>
                <w:bCs/>
                <w:color w:val="auto"/>
                <w:sz w:val="24"/>
                <w:highlight w:val="none"/>
              </w:rPr>
            </w:pPr>
            <w:r>
              <w:rPr>
                <w:b/>
                <w:bCs/>
                <w:color w:val="auto"/>
                <w:sz w:val="24"/>
                <w:highlight w:val="none"/>
              </w:rPr>
              <w:t>（1）变电站工程</w:t>
            </w:r>
          </w:p>
          <w:p w14:paraId="1325836F">
            <w:pPr>
              <w:spacing w:line="360" w:lineRule="auto"/>
              <w:ind w:firstLine="480" w:firstLineChars="200"/>
              <w:rPr>
                <w:color w:val="auto"/>
                <w:sz w:val="24"/>
                <w:highlight w:val="none"/>
              </w:rPr>
            </w:pPr>
            <w:r>
              <w:rPr>
                <w:color w:val="auto"/>
                <w:sz w:val="24"/>
                <w:highlight w:val="none"/>
              </w:rPr>
              <w:t>变电站工程施工期对生态的影响主要来自场地平整、基础开挖、材料运输、设备临时堆放等施工活动中施工机械、车辆、人员对土壤的扰动以及对地表植被碾压、堆压、踩踏等影响。</w:t>
            </w:r>
          </w:p>
          <w:p w14:paraId="212FE83B">
            <w:pPr>
              <w:spacing w:line="360" w:lineRule="auto"/>
              <w:ind w:firstLine="480" w:firstLineChars="200"/>
              <w:rPr>
                <w:bCs/>
                <w:color w:val="auto"/>
                <w:sz w:val="24"/>
                <w:highlight w:val="none"/>
              </w:rPr>
            </w:pPr>
            <w:r>
              <w:rPr>
                <w:bCs/>
                <w:color w:val="auto"/>
                <w:sz w:val="24"/>
                <w:highlight w:val="none"/>
              </w:rPr>
              <w:t>①对土地利用的影响分析</w:t>
            </w:r>
          </w:p>
          <w:p w14:paraId="45ECEE09">
            <w:pPr>
              <w:spacing w:line="360" w:lineRule="auto"/>
              <w:ind w:firstLine="480" w:firstLineChars="200"/>
              <w:jc w:val="left"/>
              <w:rPr>
                <w:bCs/>
                <w:color w:val="auto"/>
                <w:sz w:val="24"/>
                <w:highlight w:val="none"/>
              </w:rPr>
            </w:pPr>
            <w:r>
              <w:rPr>
                <w:color w:val="auto"/>
                <w:sz w:val="24"/>
                <w:highlight w:val="none"/>
              </w:rPr>
              <w:t>本项目变电站区域永久占地</w:t>
            </w:r>
            <w:r>
              <w:rPr>
                <w:rFonts w:hint="eastAsia"/>
                <w:color w:val="auto"/>
                <w:sz w:val="24"/>
                <w:highlight w:val="none"/>
              </w:rPr>
              <w:t>0.</w:t>
            </w:r>
            <w:r>
              <w:rPr>
                <w:rFonts w:hint="eastAsia"/>
                <w:color w:val="auto"/>
                <w:sz w:val="24"/>
                <w:highlight w:val="none"/>
                <w:lang w:val="en-US" w:eastAsia="zh-CN"/>
              </w:rPr>
              <w:t>7035</w:t>
            </w:r>
            <w:r>
              <w:rPr>
                <w:color w:val="auto"/>
                <w:sz w:val="24"/>
                <w:highlight w:val="none"/>
              </w:rPr>
              <w:t>hm</w:t>
            </w:r>
            <w:r>
              <w:rPr>
                <w:color w:val="auto"/>
                <w:sz w:val="24"/>
                <w:highlight w:val="none"/>
                <w:vertAlign w:val="superscript"/>
              </w:rPr>
              <w:t>2</w:t>
            </w:r>
            <w:r>
              <w:rPr>
                <w:rFonts w:hint="eastAsia"/>
                <w:color w:val="auto"/>
                <w:sz w:val="24"/>
                <w:highlight w:val="none"/>
                <w:vertAlign w:val="baseline"/>
                <w:lang w:eastAsia="zh-CN"/>
              </w:rPr>
              <w:t>，</w:t>
            </w:r>
            <w:r>
              <w:rPr>
                <w:color w:val="auto"/>
                <w:sz w:val="24"/>
                <w:highlight w:val="none"/>
              </w:rPr>
              <w:t>占地类型现状为</w:t>
            </w:r>
            <w:r>
              <w:rPr>
                <w:rFonts w:hint="eastAsia"/>
                <w:color w:val="auto"/>
                <w:sz w:val="24"/>
                <w:highlight w:val="none"/>
                <w:lang w:val="en-US" w:eastAsia="zh-CN"/>
              </w:rPr>
              <w:t>旱地</w:t>
            </w:r>
            <w:r>
              <w:rPr>
                <w:color w:val="auto"/>
                <w:sz w:val="24"/>
                <w:highlight w:val="none"/>
              </w:rPr>
              <w:t>，</w:t>
            </w:r>
            <w:r>
              <w:rPr>
                <w:rFonts w:hint="eastAsia"/>
                <w:color w:val="auto"/>
                <w:sz w:val="24"/>
                <w:highlight w:val="none"/>
                <w:lang w:val="en-US" w:eastAsia="zh-CN"/>
              </w:rPr>
              <w:t>已取得用地预审与选址意见书（具体详见附件）</w:t>
            </w:r>
            <w:r>
              <w:rPr>
                <w:color w:val="auto"/>
                <w:sz w:val="24"/>
                <w:highlight w:val="none"/>
              </w:rPr>
              <w:t>。施工期由于基础开挖、设备的安装及配电</w:t>
            </w:r>
            <w:r>
              <w:rPr>
                <w:rFonts w:hint="eastAsia"/>
                <w:color w:val="auto"/>
                <w:sz w:val="24"/>
                <w:highlight w:val="none"/>
                <w:lang w:val="en-US" w:eastAsia="zh-CN"/>
              </w:rPr>
              <w:t>装置</w:t>
            </w:r>
            <w:r>
              <w:rPr>
                <w:color w:val="auto"/>
                <w:sz w:val="24"/>
                <w:highlight w:val="none"/>
              </w:rPr>
              <w:t>室</w:t>
            </w:r>
            <w:r>
              <w:rPr>
                <w:rFonts w:hint="eastAsia"/>
                <w:color w:val="auto"/>
                <w:sz w:val="24"/>
                <w:highlight w:val="none"/>
                <w:lang w:eastAsia="zh-CN"/>
              </w:rPr>
              <w:t>、</w:t>
            </w:r>
            <w:r>
              <w:rPr>
                <w:rFonts w:hint="eastAsia"/>
                <w:color w:val="auto"/>
                <w:sz w:val="24"/>
                <w:highlight w:val="none"/>
                <w:lang w:val="en-US" w:eastAsia="zh-CN"/>
              </w:rPr>
              <w:t>一体化辅助用房</w:t>
            </w:r>
            <w:r>
              <w:rPr>
                <w:color w:val="auto"/>
                <w:sz w:val="24"/>
                <w:highlight w:val="none"/>
              </w:rPr>
              <w:t>等辅助工程建设和施工营地（施工人员生活区、材料堆放场）</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color w:val="auto"/>
                <w:sz w:val="24"/>
                <w:highlight w:val="none"/>
              </w:rPr>
              <w:t>等设置会占用部分土地，不可避免地导致站址区域内土壤及植被被扰动。</w:t>
            </w:r>
            <w:r>
              <w:rPr>
                <w:rFonts w:hint="default" w:ascii="Times New Roman" w:hAnsi="Times New Roman" w:cs="Times New Roman"/>
                <w:color w:val="auto"/>
                <w:sz w:val="24"/>
                <w:highlight w:val="none"/>
              </w:rPr>
              <w:t>变电站</w:t>
            </w:r>
            <w:r>
              <w:rPr>
                <w:rFonts w:hint="eastAsia" w:cs="Times New Roman"/>
                <w:color w:val="auto"/>
                <w:sz w:val="24"/>
                <w:highlight w:val="none"/>
                <w:lang w:val="en-US" w:eastAsia="zh-CN"/>
              </w:rPr>
              <w:t>永久</w:t>
            </w:r>
            <w:r>
              <w:rPr>
                <w:rFonts w:hint="default" w:ascii="Times New Roman" w:hAnsi="Times New Roman" w:cs="Times New Roman"/>
                <w:color w:val="auto"/>
                <w:sz w:val="24"/>
                <w:highlight w:val="none"/>
              </w:rPr>
              <w:t>占地</w:t>
            </w:r>
            <w:r>
              <w:rPr>
                <w:rFonts w:hint="default" w:ascii="Times New Roman" w:hAnsi="Times New Roman" w:cs="Times New Roman"/>
                <w:color w:val="auto"/>
                <w:sz w:val="24"/>
                <w:highlight w:val="none"/>
                <w:lang w:val="en-US" w:eastAsia="zh-CN"/>
              </w:rPr>
              <w:t>面积与整个区域相比，占地</w:t>
            </w:r>
            <w:r>
              <w:rPr>
                <w:rFonts w:hint="eastAsia" w:cs="Times New Roman"/>
                <w:color w:val="auto"/>
                <w:sz w:val="24"/>
                <w:highlight w:val="none"/>
                <w:lang w:val="en-US" w:eastAsia="zh-CN"/>
              </w:rPr>
              <w:t>面积</w:t>
            </w:r>
            <w:r>
              <w:rPr>
                <w:rFonts w:hint="default" w:ascii="Times New Roman" w:hAnsi="Times New Roman" w:cs="Times New Roman"/>
                <w:color w:val="auto"/>
                <w:sz w:val="24"/>
                <w:highlight w:val="none"/>
                <w:lang w:val="en-US" w:eastAsia="zh-CN"/>
              </w:rPr>
              <w:t>相对较小</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施工</w:t>
            </w:r>
            <w:r>
              <w:rPr>
                <w:rFonts w:hint="eastAsia" w:cs="Times New Roman"/>
                <w:color w:val="auto"/>
                <w:sz w:val="24"/>
                <w:highlight w:val="none"/>
                <w:lang w:val="en-US" w:eastAsia="zh-CN"/>
              </w:rPr>
              <w:t>也</w:t>
            </w:r>
            <w:r>
              <w:rPr>
                <w:rFonts w:hint="default" w:ascii="Times New Roman" w:hAnsi="Times New Roman" w:cs="Times New Roman"/>
                <w:color w:val="auto"/>
                <w:sz w:val="24"/>
                <w:highlight w:val="none"/>
                <w:lang w:val="en-US" w:eastAsia="zh-CN"/>
              </w:rPr>
              <w:t>较为集中</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且施工营地</w:t>
            </w:r>
            <w:r>
              <w:rPr>
                <w:color w:val="auto"/>
                <w:sz w:val="24"/>
                <w:highlight w:val="none"/>
              </w:rPr>
              <w:t>（施工人员生活区、材料堆放场）</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default" w:ascii="Times New Roman" w:hAnsi="Times New Roman" w:cs="Times New Roman"/>
                <w:color w:val="auto"/>
                <w:sz w:val="24"/>
                <w:highlight w:val="none"/>
              </w:rPr>
              <w:t>无永久占地，施工结束后，临时占地及时恢复原有土地功能，对区域土地利用的影响很小。</w:t>
            </w:r>
          </w:p>
          <w:p w14:paraId="2D749780">
            <w:pPr>
              <w:spacing w:line="360" w:lineRule="auto"/>
              <w:ind w:firstLine="480" w:firstLineChars="200"/>
              <w:rPr>
                <w:bCs/>
                <w:color w:val="auto"/>
                <w:sz w:val="24"/>
                <w:highlight w:val="none"/>
              </w:rPr>
            </w:pPr>
            <w:r>
              <w:rPr>
                <w:bCs/>
                <w:color w:val="auto"/>
                <w:sz w:val="24"/>
                <w:highlight w:val="none"/>
              </w:rPr>
              <w:t>②对植被的影响分析</w:t>
            </w:r>
          </w:p>
          <w:p w14:paraId="6CE4E73C">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本项目变电站对所在区域植被的影响主要来源于工程建设过程中，站址内场地平整、进站道路修筑、施工营地、站外供水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default" w:ascii="Times New Roman" w:hAnsi="Times New Roman" w:cs="Times New Roman"/>
                <w:color w:val="auto"/>
                <w:sz w:val="24"/>
                <w:highlight w:val="none"/>
              </w:rPr>
              <w:t>等对变电站站址内及周围原有植被造成短暂的占压，破坏地表植被。施工营地、站外供水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default" w:ascii="Times New Roman" w:hAnsi="Times New Roman" w:cs="Times New Roman"/>
                <w:color w:val="auto"/>
                <w:sz w:val="24"/>
                <w:highlight w:val="none"/>
              </w:rPr>
              <w:t>无永久占地</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均为临时占地</w:t>
            </w:r>
            <w:r>
              <w:rPr>
                <w:rFonts w:hint="eastAsia" w:cs="Times New Roman"/>
                <w:color w:val="auto"/>
                <w:sz w:val="24"/>
                <w:highlight w:val="none"/>
                <w:lang w:val="en-US" w:eastAsia="zh-CN"/>
              </w:rPr>
              <w:t>，占地类型现状为旱地</w:t>
            </w:r>
            <w:r>
              <w:rPr>
                <w:rFonts w:hint="default" w:ascii="Times New Roman" w:hAnsi="Times New Roman" w:cs="Times New Roman"/>
                <w:color w:val="auto"/>
                <w:sz w:val="24"/>
                <w:highlight w:val="none"/>
              </w:rPr>
              <w:t>，且变电站区域不涉及林地占用</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因此，施工期对植被生物量的影响是有限且短暂的，随着施工期的结束站外临时占地</w:t>
            </w:r>
            <w:r>
              <w:rPr>
                <w:rFonts w:hint="eastAsia" w:cs="Times New Roman"/>
                <w:color w:val="auto"/>
                <w:sz w:val="24"/>
                <w:highlight w:val="none"/>
                <w:lang w:val="en-US" w:eastAsia="zh-CN"/>
              </w:rPr>
              <w:t>恢复至原有土地功能，对区域植被的影响很小。</w:t>
            </w:r>
          </w:p>
          <w:p w14:paraId="2487CB8E">
            <w:pPr>
              <w:spacing w:line="360" w:lineRule="auto"/>
              <w:ind w:firstLine="480" w:firstLineChars="200"/>
              <w:rPr>
                <w:b/>
                <w:color w:val="auto"/>
                <w:sz w:val="24"/>
                <w:highlight w:val="none"/>
              </w:rPr>
            </w:pPr>
            <w:r>
              <w:rPr>
                <w:bCs/>
                <w:color w:val="auto"/>
                <w:sz w:val="24"/>
                <w:highlight w:val="none"/>
              </w:rPr>
              <w:t>③对野生动物的影响分析</w:t>
            </w:r>
            <w:r>
              <w:rPr>
                <w:b/>
                <w:color w:val="auto"/>
                <w:sz w:val="24"/>
                <w:highlight w:val="none"/>
              </w:rPr>
              <w:t xml:space="preserve"> </w:t>
            </w:r>
          </w:p>
          <w:p w14:paraId="0898C9A7">
            <w:pPr>
              <w:spacing w:line="360" w:lineRule="auto"/>
              <w:ind w:firstLine="480" w:firstLineChars="200"/>
              <w:rPr>
                <w:color w:val="auto"/>
                <w:sz w:val="24"/>
                <w:highlight w:val="none"/>
              </w:rPr>
            </w:pPr>
            <w:r>
              <w:rPr>
                <w:color w:val="auto"/>
                <w:sz w:val="24"/>
                <w:highlight w:val="none"/>
              </w:rPr>
              <w:t>本项目变电站所在区域人类活动较为频繁，许多野生动物为避开人类，早已离开变电站所在区域，因此难以见到珍稀野生动物，所在区域无珍稀及濒危物种和需要特殊保护的物种，也无大、中型食草类、食肉类动物。</w:t>
            </w:r>
            <w:r>
              <w:rPr>
                <w:rFonts w:hint="eastAsia"/>
                <w:color w:val="auto"/>
                <w:sz w:val="24"/>
                <w:highlight w:val="none"/>
                <w:lang w:val="en-US" w:eastAsia="zh-CN"/>
              </w:rPr>
              <w:t>工程</w:t>
            </w:r>
            <w:r>
              <w:rPr>
                <w:color w:val="auto"/>
                <w:sz w:val="24"/>
                <w:highlight w:val="none"/>
              </w:rPr>
              <w:t>建设不会对所在区域野生动物有明显的影响。</w:t>
            </w:r>
          </w:p>
          <w:p w14:paraId="5D104DF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④对耕地（含基本农田）的影响分析</w:t>
            </w:r>
          </w:p>
          <w:p w14:paraId="19A5C0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本项目变电站施工营地、站外供水及排水管线、10千伏临时施工电源线路等临时用地</w:t>
            </w:r>
            <w:r>
              <w:rPr>
                <w:rFonts w:hint="eastAsia" w:ascii="Times New Roman" w:hAnsi="Times New Roman" w:eastAsia="宋体" w:cs="Times New Roman"/>
                <w:color w:val="auto"/>
                <w:kern w:val="2"/>
                <w:sz w:val="24"/>
                <w:szCs w:val="24"/>
                <w:highlight w:val="none"/>
                <w:lang w:val="en-US" w:eastAsia="zh-CN" w:bidi="ar-SA"/>
              </w:rPr>
              <w:t>需要占用旱地，不可避免要对农业生态带来一定影响。</w:t>
            </w:r>
            <w:r>
              <w:rPr>
                <w:rFonts w:hint="eastAsia" w:cs="Times New Roman"/>
                <w:color w:val="auto"/>
                <w:kern w:val="2"/>
                <w:sz w:val="24"/>
                <w:szCs w:val="24"/>
                <w:highlight w:val="none"/>
                <w:lang w:val="en-US" w:eastAsia="zh-CN" w:bidi="ar-SA"/>
              </w:rPr>
              <w:t>施工营地、站外供水及排水管线、10千伏临时施工电源线路等建设过程</w:t>
            </w:r>
            <w:r>
              <w:rPr>
                <w:rFonts w:hint="eastAsia" w:ascii="Times New Roman" w:hAnsi="Times New Roman" w:eastAsia="宋体" w:cs="Times New Roman"/>
                <w:color w:val="auto"/>
                <w:kern w:val="2"/>
                <w:sz w:val="24"/>
                <w:szCs w:val="24"/>
                <w:highlight w:val="none"/>
                <w:lang w:val="en-US" w:eastAsia="zh-CN" w:bidi="ar-SA"/>
              </w:rPr>
              <w:t>土石方开挖，使农作物产量减少；另外</w:t>
            </w:r>
            <w:r>
              <w:rPr>
                <w:rFonts w:hint="eastAsia" w:cs="Times New Roman"/>
                <w:color w:val="auto"/>
                <w:kern w:val="2"/>
                <w:sz w:val="24"/>
                <w:szCs w:val="24"/>
                <w:highlight w:val="none"/>
                <w:lang w:val="en-US" w:eastAsia="zh-CN" w:bidi="ar-SA"/>
              </w:rPr>
              <w:t>开挖</w:t>
            </w:r>
            <w:r>
              <w:rPr>
                <w:rFonts w:hint="eastAsia" w:ascii="Times New Roman" w:hAnsi="Times New Roman" w:eastAsia="宋体" w:cs="Times New Roman"/>
                <w:color w:val="auto"/>
                <w:kern w:val="2"/>
                <w:sz w:val="24"/>
                <w:szCs w:val="24"/>
                <w:highlight w:val="none"/>
                <w:lang w:val="en-US" w:eastAsia="zh-CN" w:bidi="ar-SA"/>
              </w:rPr>
              <w:t>土石的堆放、人员践踏、施工机具碾压，可能会伤害部分农作物，同时还可能会伤及附近植物的根系，影响农作物正常生长；此外，土方开挖将扰乱土壤耕作层，除开挖部分受到直接破坏以外，土石方混合回填后，改变了土壤层次、紧实度和质地，影响土壤发育，降低土壤耕作性能，可能会造成土壤肥力的降低，影响</w:t>
            </w:r>
            <w:r>
              <w:rPr>
                <w:rFonts w:hint="eastAsia" w:cs="Times New Roman"/>
                <w:color w:val="auto"/>
                <w:kern w:val="2"/>
                <w:sz w:val="24"/>
                <w:szCs w:val="24"/>
                <w:highlight w:val="none"/>
                <w:lang w:val="en-US" w:eastAsia="zh-CN" w:bidi="ar-SA"/>
              </w:rPr>
              <w:t>农</w:t>
            </w:r>
            <w:r>
              <w:rPr>
                <w:rFonts w:hint="eastAsia" w:ascii="Times New Roman" w:hAnsi="Times New Roman" w:eastAsia="宋体" w:cs="Times New Roman"/>
                <w:color w:val="auto"/>
                <w:kern w:val="2"/>
                <w:sz w:val="24"/>
                <w:szCs w:val="24"/>
                <w:highlight w:val="none"/>
                <w:lang w:val="en-US" w:eastAsia="zh-CN" w:bidi="ar-SA"/>
              </w:rPr>
              <w:t xml:space="preserve">作物正常生长。 </w:t>
            </w:r>
          </w:p>
          <w:p w14:paraId="37299E40">
            <w:pPr>
              <w:pStyle w:val="8"/>
              <w:spacing w:after="0" w:line="360" w:lineRule="auto"/>
              <w:ind w:left="0" w:lef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变电站施工营地、站外供水及排水管线等临时</w:t>
            </w:r>
            <w:r>
              <w:rPr>
                <w:rFonts w:hint="eastAsia" w:ascii="Times New Roman" w:hAnsi="Times New Roman" w:eastAsia="宋体" w:cs="Times New Roman"/>
                <w:color w:val="auto"/>
                <w:kern w:val="2"/>
                <w:sz w:val="24"/>
                <w:szCs w:val="24"/>
                <w:highlight w:val="none"/>
                <w:lang w:val="en-US" w:eastAsia="zh-CN" w:bidi="ar-SA"/>
              </w:rPr>
              <w:t>占用耕地</w:t>
            </w:r>
            <w:r>
              <w:rPr>
                <w:rFonts w:hint="eastAsia" w:cs="Times New Roman"/>
                <w:color w:val="auto"/>
                <w:kern w:val="2"/>
                <w:sz w:val="24"/>
                <w:szCs w:val="24"/>
                <w:highlight w:val="none"/>
                <w:lang w:val="en-US" w:eastAsia="zh-CN" w:bidi="ar-SA"/>
              </w:rPr>
              <w:t>面积</w:t>
            </w:r>
            <w:r>
              <w:rPr>
                <w:rFonts w:hint="eastAsia" w:ascii="Times New Roman" w:hAnsi="Times New Roman" w:eastAsia="宋体" w:cs="Times New Roman"/>
                <w:color w:val="auto"/>
                <w:kern w:val="2"/>
                <w:sz w:val="24"/>
                <w:szCs w:val="24"/>
                <w:highlight w:val="none"/>
                <w:lang w:val="en-US" w:eastAsia="zh-CN" w:bidi="ar-SA"/>
              </w:rPr>
              <w:t>共计</w:t>
            </w:r>
            <w:r>
              <w:rPr>
                <w:rFonts w:hint="eastAsia" w:cs="Times New Roman"/>
                <w:color w:val="auto"/>
                <w:kern w:val="2"/>
                <w:sz w:val="24"/>
                <w:szCs w:val="24"/>
                <w:highlight w:val="none"/>
                <w:lang w:val="en-US" w:eastAsia="zh-CN" w:bidi="ar-SA"/>
              </w:rPr>
              <w:t>1.3137</w:t>
            </w:r>
            <w:r>
              <w:rPr>
                <w:rFonts w:hint="eastAsia" w:ascii="Times New Roman" w:hAnsi="Times New Roman" w:eastAsia="宋体" w:cs="Times New Roman"/>
                <w:color w:val="auto"/>
                <w:kern w:val="2"/>
                <w:sz w:val="24"/>
                <w:szCs w:val="24"/>
                <w:highlight w:val="none"/>
                <w:lang w:val="en-US" w:eastAsia="zh-CN" w:bidi="ar-SA"/>
              </w:rPr>
              <w:t>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。临时占地不会大幅度减少耕地面积，也不会改变区域土地利用现状，临时占</w:t>
            </w:r>
            <w:r>
              <w:rPr>
                <w:rFonts w:hint="eastAsia" w:cs="Times New Roman"/>
                <w:color w:val="auto"/>
                <w:kern w:val="2"/>
                <w:sz w:val="24"/>
                <w:szCs w:val="24"/>
                <w:highlight w:val="none"/>
                <w:lang w:val="en-US" w:eastAsia="zh-CN" w:bidi="ar-SA"/>
              </w:rPr>
              <w:t>地在</w:t>
            </w:r>
            <w:r>
              <w:rPr>
                <w:rFonts w:hint="eastAsia" w:ascii="Times New Roman" w:hAnsi="Times New Roman" w:eastAsia="宋体" w:cs="Times New Roman"/>
                <w:color w:val="auto"/>
                <w:kern w:val="2"/>
                <w:sz w:val="24"/>
                <w:szCs w:val="24"/>
                <w:highlight w:val="none"/>
                <w:lang w:val="en-US" w:eastAsia="zh-CN" w:bidi="ar-SA"/>
              </w:rPr>
              <w:t>施工结束后，即可进行复耕，对区域农业生态产生的影响很小。</w:t>
            </w:r>
          </w:p>
          <w:p w14:paraId="1BB68817">
            <w:pPr>
              <w:pStyle w:val="8"/>
              <w:spacing w:after="0" w:line="360" w:lineRule="auto"/>
              <w:ind w:left="0" w:leftChars="0" w:firstLine="482" w:firstLineChars="200"/>
              <w:rPr>
                <w:b/>
                <w:bCs/>
                <w:color w:val="auto"/>
                <w:sz w:val="24"/>
                <w:highlight w:val="none"/>
              </w:rPr>
            </w:pPr>
            <w:r>
              <w:rPr>
                <w:b/>
                <w:bCs/>
                <w:color w:val="auto"/>
                <w:sz w:val="24"/>
                <w:highlight w:val="none"/>
              </w:rPr>
              <w:t>（</w:t>
            </w:r>
            <w:r>
              <w:rPr>
                <w:rFonts w:hint="eastAsia"/>
                <w:b/>
                <w:bCs/>
                <w:color w:val="auto"/>
                <w:sz w:val="24"/>
                <w:highlight w:val="none"/>
              </w:rPr>
              <w:t>2</w:t>
            </w:r>
            <w:r>
              <w:rPr>
                <w:b/>
                <w:bCs/>
                <w:color w:val="auto"/>
                <w:sz w:val="24"/>
                <w:highlight w:val="none"/>
              </w:rPr>
              <w:t>）输电线路工程</w:t>
            </w:r>
          </w:p>
          <w:p w14:paraId="1EA9100F">
            <w:pPr>
              <w:spacing w:line="360" w:lineRule="auto"/>
              <w:ind w:firstLine="480" w:firstLineChars="200"/>
              <w:rPr>
                <w:color w:val="auto"/>
                <w:highlight w:val="none"/>
              </w:rPr>
            </w:pPr>
            <w:r>
              <w:rPr>
                <w:color w:val="auto"/>
                <w:sz w:val="24"/>
                <w:highlight w:val="none"/>
              </w:rPr>
              <w:t>输电线路施工过程中要进行塔基施工区域</w:t>
            </w:r>
            <w:r>
              <w:rPr>
                <w:rFonts w:hint="eastAsia"/>
                <w:color w:val="auto"/>
                <w:sz w:val="24"/>
                <w:highlight w:val="none"/>
                <w:lang w:val="en-US" w:eastAsia="zh-CN"/>
              </w:rPr>
              <w:t>开挖</w:t>
            </w:r>
            <w:r>
              <w:rPr>
                <w:color w:val="auto"/>
                <w:sz w:val="24"/>
                <w:highlight w:val="none"/>
              </w:rPr>
              <w:t>、回填等工序，且有施工机械及人员活动。施工期对区域生态环境的影响主要表现为对施工作业区域土壤的扰动，堆压、碾压、踩踏破坏地表植被。</w:t>
            </w:r>
          </w:p>
          <w:p w14:paraId="4E2445A0">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①对土地利用的影响分析</w:t>
            </w:r>
          </w:p>
          <w:p w14:paraId="2968CEEE">
            <w:pPr>
              <w:pStyle w:val="8"/>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firstLine="480" w:firstLineChars="200"/>
              <w:textAlignment w:val="auto"/>
              <w:rPr>
                <w:rFonts w:hint="default" w:ascii="Times New Roman" w:hAnsi="Times New Roman" w:eastAsia="宋体" w:cs="Times New Roman"/>
                <w:snapToGrid w:val="0"/>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本项目输电线路占地类型为</w:t>
            </w:r>
            <w:r>
              <w:rPr>
                <w:rFonts w:hint="eastAsia"/>
                <w:bCs/>
                <w:color w:val="auto"/>
                <w:sz w:val="24"/>
                <w:highlight w:val="none"/>
                <w:lang w:val="en-US" w:eastAsia="zh-CN"/>
              </w:rPr>
              <w:t>旱地</w:t>
            </w:r>
            <w:r>
              <w:rPr>
                <w:rFonts w:hint="eastAsia"/>
                <w:bCs/>
                <w:color w:val="auto"/>
                <w:sz w:val="24"/>
                <w:highlight w:val="none"/>
              </w:rPr>
              <w:t>、乔木林地</w:t>
            </w:r>
            <w:r>
              <w:rPr>
                <w:rFonts w:hint="eastAsia"/>
                <w:bCs/>
                <w:color w:val="auto"/>
                <w:sz w:val="24"/>
                <w:highlight w:val="none"/>
                <w:lang w:eastAsia="zh-CN"/>
              </w:rPr>
              <w:t>、</w:t>
            </w:r>
            <w:r>
              <w:rPr>
                <w:rFonts w:hint="eastAsia"/>
                <w:bCs/>
                <w:color w:val="auto"/>
                <w:sz w:val="24"/>
                <w:highlight w:val="none"/>
                <w:lang w:val="en-US" w:eastAsia="zh-CN"/>
              </w:rPr>
              <w:t>灌木林地、其他林地、天然牧草地、其他草地、机关团体新闻出版用地、公路用地、农村道路、后备耕地</w:t>
            </w:r>
            <w:r>
              <w:rPr>
                <w:rFonts w:hint="default" w:ascii="Times New Roman" w:hAnsi="Times New Roman" w:eastAsia="宋体" w:cs="Times New Roman"/>
                <w:color w:val="auto"/>
                <w:spacing w:val="0"/>
                <w:w w:val="100"/>
                <w:position w:val="0"/>
                <w:sz w:val="24"/>
                <w:szCs w:val="24"/>
                <w:highlight w:val="none"/>
              </w:rPr>
              <w:t>。施工临时占地主要为</w:t>
            </w:r>
            <w:r>
              <w:rPr>
                <w:rFonts w:hint="default" w:ascii="Times New Roman" w:hAnsi="Times New Roman" w:cs="Times New Roman" w:eastAsiaTheme="minorEastAsia"/>
                <w:color w:val="auto"/>
                <w:sz w:val="24"/>
                <w:highlight w:val="none"/>
              </w:rPr>
              <w:t>塔基</w:t>
            </w:r>
            <w:r>
              <w:rPr>
                <w:rFonts w:hint="eastAsia" w:ascii="Times New Roman" w:hAnsi="Times New Roman" w:cs="Times New Roman" w:eastAsiaTheme="minorEastAsia"/>
                <w:color w:val="auto"/>
                <w:sz w:val="24"/>
                <w:highlight w:val="none"/>
                <w:lang w:val="en-US" w:eastAsia="zh-CN"/>
              </w:rPr>
              <w:t>临时</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区域</w:t>
            </w:r>
            <w:r>
              <w:rPr>
                <w:rFonts w:hint="eastAsia" w:cs="Times New Roman" w:eastAsiaTheme="minorEastAsia"/>
                <w:color w:val="auto"/>
                <w:sz w:val="24"/>
                <w:highlight w:val="none"/>
                <w:lang w:val="en-US" w:eastAsia="zh-CN"/>
              </w:rPr>
              <w:t>（含</w:t>
            </w:r>
            <w:r>
              <w:rPr>
                <w:rFonts w:hint="eastAsia" w:ascii="Times New Roman" w:hAnsi="Times New Roman" w:eastAsia="宋体" w:cs="Times New Roman"/>
                <w:color w:val="auto"/>
                <w:spacing w:val="0"/>
                <w:w w:val="100"/>
                <w:position w:val="0"/>
                <w:sz w:val="24"/>
                <w:szCs w:val="24"/>
                <w:highlight w:val="none"/>
                <w:lang w:val="en-US" w:eastAsia="zh-CN"/>
              </w:rPr>
              <w:t>10kV临时</w:t>
            </w:r>
            <w:r>
              <w:rPr>
                <w:rFonts w:hint="eastAsia" w:cs="Times New Roman"/>
                <w:color w:val="auto"/>
                <w:spacing w:val="0"/>
                <w:w w:val="100"/>
                <w:position w:val="0"/>
                <w:sz w:val="24"/>
                <w:szCs w:val="24"/>
                <w:highlight w:val="none"/>
                <w:lang w:val="en-US" w:eastAsia="zh-CN"/>
              </w:rPr>
              <w:t>施工电源线路</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rPr>
              <w:t>、牵张场、施工</w:t>
            </w:r>
            <w:r>
              <w:rPr>
                <w:rFonts w:hint="eastAsia" w:ascii="Times New Roman" w:hAnsi="Times New Roman" w:cs="Times New Roman" w:eastAsiaTheme="minorEastAsia"/>
                <w:color w:val="auto"/>
                <w:sz w:val="24"/>
                <w:highlight w:val="none"/>
                <w:lang w:val="en-US" w:eastAsia="zh-CN"/>
              </w:rPr>
              <w:t>便道</w:t>
            </w:r>
            <w:r>
              <w:rPr>
                <w:rFonts w:hint="default" w:ascii="Times New Roman" w:hAnsi="Times New Roman" w:eastAsia="宋体" w:cs="Times New Roman"/>
                <w:color w:val="auto"/>
                <w:spacing w:val="0"/>
                <w:w w:val="100"/>
                <w:position w:val="0"/>
                <w:sz w:val="24"/>
                <w:szCs w:val="24"/>
                <w:highlight w:val="none"/>
              </w:rPr>
              <w:t>等。</w:t>
            </w:r>
            <w:r>
              <w:rPr>
                <w:rFonts w:hint="eastAsia"/>
                <w:color w:val="auto"/>
                <w:sz w:val="24"/>
                <w:highlight w:val="none"/>
              </w:rPr>
              <w:t>本项目线路相对较短，占地面积较小</w:t>
            </w:r>
            <w:r>
              <w:rPr>
                <w:rFonts w:hint="eastAsia"/>
                <w:color w:val="auto"/>
                <w:sz w:val="24"/>
                <w:highlight w:val="none"/>
                <w:lang w:eastAsia="zh-CN"/>
              </w:rPr>
              <w:t>，</w:t>
            </w:r>
            <w:r>
              <w:rPr>
                <w:rFonts w:hint="eastAsia"/>
                <w:snapToGrid w:val="0"/>
                <w:color w:val="auto"/>
                <w:sz w:val="24"/>
                <w:highlight w:val="none"/>
              </w:rPr>
              <w:t>塔基</w:t>
            </w:r>
            <w:r>
              <w:rPr>
                <w:snapToGrid w:val="0"/>
                <w:color w:val="auto"/>
                <w:sz w:val="24"/>
                <w:highlight w:val="none"/>
              </w:rPr>
              <w:t>永久占地仅为</w:t>
            </w:r>
            <w:r>
              <w:rPr>
                <w:rFonts w:hint="eastAsia"/>
                <w:snapToGrid w:val="0"/>
                <w:color w:val="auto"/>
                <w:sz w:val="24"/>
                <w:highlight w:val="none"/>
                <w:lang w:val="en-US" w:eastAsia="zh-CN"/>
              </w:rPr>
              <w:t>0.1943h</w:t>
            </w:r>
            <w:r>
              <w:rPr>
                <w:snapToGrid w:val="0"/>
                <w:color w:val="auto"/>
                <w:sz w:val="24"/>
                <w:highlight w:val="none"/>
              </w:rPr>
              <w:t>m</w:t>
            </w:r>
            <w:r>
              <w:rPr>
                <w:snapToGrid w:val="0"/>
                <w:color w:val="auto"/>
                <w:sz w:val="24"/>
                <w:highlight w:val="none"/>
                <w:vertAlign w:val="superscript"/>
              </w:rPr>
              <w:t>2</w:t>
            </w:r>
            <w:r>
              <w:rPr>
                <w:snapToGrid w:val="0"/>
                <w:color w:val="auto"/>
                <w:sz w:val="24"/>
                <w:highlight w:val="none"/>
              </w:rPr>
              <w:t>，临时占地为</w:t>
            </w:r>
            <w:r>
              <w:rPr>
                <w:rFonts w:hint="eastAsia"/>
                <w:color w:val="auto"/>
                <w:sz w:val="24"/>
                <w:highlight w:val="none"/>
                <w:lang w:val="en-US" w:eastAsia="zh-CN"/>
              </w:rPr>
              <w:t>5.3383</w:t>
            </w:r>
            <w:r>
              <w:rPr>
                <w:rFonts w:hint="eastAsia"/>
                <w:color w:val="auto"/>
                <w:sz w:val="24"/>
                <w:highlight w:val="none"/>
              </w:rPr>
              <w:t>h</w:t>
            </w:r>
            <w:r>
              <w:rPr>
                <w:color w:val="auto"/>
                <w:sz w:val="24"/>
                <w:highlight w:val="none"/>
              </w:rPr>
              <w:t>m</w:t>
            </w:r>
            <w:r>
              <w:rPr>
                <w:color w:val="auto"/>
                <w:sz w:val="24"/>
                <w:highlight w:val="none"/>
                <w:vertAlign w:val="superscript"/>
              </w:rPr>
              <w:t>2</w:t>
            </w:r>
            <w:r>
              <w:rPr>
                <w:bCs/>
                <w:color w:val="auto"/>
                <w:sz w:val="24"/>
                <w:highlight w:val="none"/>
              </w:rPr>
              <w:t>，</w:t>
            </w:r>
            <w:r>
              <w:rPr>
                <w:rFonts w:hint="default" w:ascii="Times New Roman" w:hAnsi="Times New Roman" w:eastAsia="宋体" w:cs="Times New Roman"/>
                <w:bCs/>
                <w:color w:val="auto"/>
                <w:spacing w:val="0"/>
                <w:w w:val="100"/>
                <w:position w:val="0"/>
                <w:sz w:val="24"/>
                <w:szCs w:val="24"/>
                <w:highlight w:val="none"/>
                <w:lang w:val="en-US" w:eastAsia="zh-CN"/>
              </w:rPr>
              <w:t>整体</w:t>
            </w:r>
            <w:r>
              <w:rPr>
                <w:rFonts w:hint="default" w:ascii="Times New Roman" w:hAnsi="Times New Roman" w:eastAsia="宋体" w:cs="Times New Roman"/>
                <w:bCs/>
                <w:color w:val="auto"/>
                <w:spacing w:val="0"/>
                <w:w w:val="100"/>
                <w:position w:val="0"/>
                <w:sz w:val="24"/>
                <w:szCs w:val="24"/>
                <w:highlight w:val="none"/>
              </w:rPr>
              <w:t>占地</w:t>
            </w:r>
            <w:r>
              <w:rPr>
                <w:rFonts w:hint="default" w:ascii="Times New Roman" w:hAnsi="Times New Roman" w:eastAsia="宋体" w:cs="Times New Roman"/>
                <w:snapToGrid w:val="0"/>
                <w:color w:val="auto"/>
                <w:spacing w:val="0"/>
                <w:w w:val="100"/>
                <w:position w:val="0"/>
                <w:sz w:val="24"/>
                <w:szCs w:val="24"/>
                <w:highlight w:val="none"/>
              </w:rPr>
              <w:t>以临时占地为主，较为分散，输电线路不存在集中大量占用土地的情况，</w:t>
            </w:r>
            <w:r>
              <w:rPr>
                <w:rFonts w:hint="eastAsia"/>
                <w:snapToGrid w:val="0"/>
                <w:color w:val="auto"/>
                <w:sz w:val="24"/>
                <w:highlight w:val="none"/>
              </w:rPr>
              <w:t>不会改变土地性质，</w:t>
            </w:r>
            <w:r>
              <w:rPr>
                <w:rFonts w:hint="default" w:ascii="Times New Roman" w:hAnsi="Times New Roman" w:eastAsia="宋体" w:cs="Times New Roman"/>
                <w:snapToGrid w:val="0"/>
                <w:color w:val="auto"/>
                <w:spacing w:val="0"/>
                <w:w w:val="100"/>
                <w:position w:val="0"/>
                <w:sz w:val="24"/>
                <w:szCs w:val="24"/>
                <w:highlight w:val="none"/>
              </w:rPr>
              <w:t>对生态环境的影响较小，</w:t>
            </w:r>
            <w:r>
              <w:rPr>
                <w:rFonts w:hint="default" w:ascii="Times New Roman" w:hAnsi="Times New Roman" w:eastAsia="宋体" w:cs="Times New Roman"/>
                <w:color w:val="auto"/>
                <w:spacing w:val="0"/>
                <w:w w:val="100"/>
                <w:position w:val="0"/>
                <w:sz w:val="24"/>
                <w:szCs w:val="24"/>
                <w:highlight w:val="none"/>
              </w:rPr>
              <w:t>经过一定恢复期后，土地利用状况不会发生变化，仍可保持原有使用功能，</w:t>
            </w:r>
            <w:r>
              <w:rPr>
                <w:rFonts w:hint="default" w:ascii="Times New Roman" w:hAnsi="Times New Roman" w:eastAsia="宋体" w:cs="Times New Roman"/>
                <w:snapToGrid w:val="0"/>
                <w:color w:val="auto"/>
                <w:spacing w:val="0"/>
                <w:w w:val="100"/>
                <w:position w:val="0"/>
                <w:sz w:val="24"/>
                <w:szCs w:val="24"/>
                <w:highlight w:val="none"/>
              </w:rPr>
              <w:t>对区域土地利用几乎无影响。</w:t>
            </w:r>
          </w:p>
          <w:p w14:paraId="253682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②对植被的影响分析</w:t>
            </w:r>
          </w:p>
          <w:p w14:paraId="20A344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color w:val="auto"/>
                <w:kern w:val="0"/>
                <w:sz w:val="24"/>
                <w:highlight w:val="none"/>
              </w:rPr>
            </w:pPr>
            <w:r>
              <w:rPr>
                <w:rFonts w:hint="default" w:ascii="Times New Roman" w:hAnsi="Times New Roman" w:eastAsia="宋体" w:cs="Times New Roman"/>
                <w:color w:val="auto"/>
                <w:spacing w:val="0"/>
                <w:w w:val="100"/>
                <w:position w:val="0"/>
                <w:sz w:val="24"/>
                <w:szCs w:val="24"/>
                <w:highlight w:val="none"/>
              </w:rPr>
              <w:t>本项目评价范围内</w:t>
            </w:r>
            <w:r>
              <w:rPr>
                <w:rFonts w:hint="eastAsia" w:cs="Times New Roman"/>
                <w:color w:val="auto"/>
                <w:spacing w:val="0"/>
                <w:w w:val="100"/>
                <w:position w:val="0"/>
                <w:sz w:val="24"/>
                <w:szCs w:val="24"/>
                <w:highlight w:val="none"/>
                <w:lang w:val="en-US" w:eastAsia="zh-CN"/>
              </w:rPr>
              <w:t>不涉及</w:t>
            </w:r>
            <w:r>
              <w:rPr>
                <w:rFonts w:hint="default" w:ascii="Times New Roman" w:hAnsi="Times New Roman" w:eastAsia="宋体" w:cs="Times New Roman"/>
                <w:color w:val="auto"/>
                <w:spacing w:val="0"/>
                <w:w w:val="100"/>
                <w:position w:val="0"/>
                <w:sz w:val="24"/>
                <w:szCs w:val="24"/>
                <w:highlight w:val="none"/>
              </w:rPr>
              <w:t>受国家和地方重点保护的珍稀、濒危动植物等物种。</w:t>
            </w:r>
            <w:r>
              <w:rPr>
                <w:rFonts w:hint="default" w:ascii="Times New Roman" w:hAnsi="Times New Roman" w:cs="Times New Roman"/>
                <w:color w:val="auto"/>
                <w:sz w:val="24"/>
                <w:highlight w:val="none"/>
              </w:rPr>
              <w:t>经现场调查，</w:t>
            </w:r>
            <w:r>
              <w:rPr>
                <w:rFonts w:hint="eastAsia"/>
                <w:color w:val="auto"/>
                <w:sz w:val="24"/>
                <w:highlight w:val="none"/>
                <w:lang w:val="en-US" w:eastAsia="zh-CN"/>
              </w:rPr>
              <w:t>输电线路和生态保护红线评价范围内主要有农田栽培植被、人工种植林木和自然草本植被，农田栽培植被主要有小麦、玉米等，人工种植林木主要有杨树</w:t>
            </w:r>
            <w:r>
              <w:rPr>
                <w:rFonts w:hint="eastAsia"/>
                <w:color w:val="auto"/>
                <w:sz w:val="24"/>
                <w:highlight w:val="none"/>
                <w:lang w:eastAsia="zh-CN"/>
              </w:rPr>
              <w:t>、</w:t>
            </w:r>
            <w:r>
              <w:rPr>
                <w:rFonts w:hint="eastAsia"/>
                <w:color w:val="auto"/>
                <w:sz w:val="24"/>
                <w:highlight w:val="none"/>
                <w:lang w:val="en-US" w:eastAsia="zh-CN"/>
              </w:rPr>
              <w:t>柳树</w:t>
            </w:r>
            <w:r>
              <w:rPr>
                <w:color w:val="auto"/>
                <w:sz w:val="24"/>
                <w:highlight w:val="none"/>
              </w:rPr>
              <w:t>、</w:t>
            </w:r>
            <w:r>
              <w:rPr>
                <w:rFonts w:hint="eastAsia"/>
                <w:color w:val="auto"/>
                <w:sz w:val="24"/>
                <w:highlight w:val="none"/>
                <w:lang w:val="en-US" w:eastAsia="zh-CN"/>
              </w:rPr>
              <w:t>杏</w:t>
            </w:r>
            <w:r>
              <w:rPr>
                <w:rFonts w:hint="eastAsia"/>
                <w:color w:val="auto"/>
                <w:sz w:val="24"/>
                <w:highlight w:val="none"/>
              </w:rPr>
              <w:t>树</w:t>
            </w:r>
            <w:r>
              <w:rPr>
                <w:rFonts w:hint="eastAsia"/>
                <w:color w:val="auto"/>
                <w:sz w:val="24"/>
                <w:highlight w:val="none"/>
                <w:lang w:eastAsia="zh-CN"/>
              </w:rPr>
              <w:t>、</w:t>
            </w:r>
            <w:r>
              <w:rPr>
                <w:rFonts w:hint="eastAsia"/>
                <w:color w:val="auto"/>
                <w:sz w:val="24"/>
                <w:highlight w:val="none"/>
                <w:lang w:val="en-US" w:eastAsia="zh-CN"/>
              </w:rPr>
              <w:t>云杉等乔木及沙棘林、柠条林、山毛桃林等灌木，自然草本</w:t>
            </w:r>
            <w:r>
              <w:rPr>
                <w:rFonts w:hint="eastAsia"/>
                <w:color w:val="auto"/>
                <w:sz w:val="24"/>
                <w:highlight w:val="none"/>
              </w:rPr>
              <w:t>植被主要</w:t>
            </w:r>
            <w:r>
              <w:rPr>
                <w:rFonts w:hint="eastAsia"/>
                <w:color w:val="auto"/>
                <w:sz w:val="24"/>
                <w:highlight w:val="none"/>
                <w:lang w:val="en-US" w:eastAsia="zh-CN"/>
              </w:rPr>
              <w:t>有短花针茅、百里香、猪毛蒿、铁杆蒿、冰草、长芒草等，以上植被</w:t>
            </w:r>
            <w:r>
              <w:rPr>
                <w:color w:val="auto"/>
                <w:kern w:val="0"/>
                <w:sz w:val="24"/>
                <w:highlight w:val="none"/>
              </w:rPr>
              <w:t>均为</w:t>
            </w:r>
            <w:r>
              <w:rPr>
                <w:rFonts w:hint="eastAsia"/>
                <w:color w:val="auto"/>
                <w:kern w:val="0"/>
                <w:sz w:val="24"/>
                <w:highlight w:val="none"/>
                <w:lang w:val="en-US" w:eastAsia="zh-CN"/>
              </w:rPr>
              <w:t>当</w:t>
            </w:r>
            <w:r>
              <w:rPr>
                <w:color w:val="auto"/>
                <w:kern w:val="0"/>
                <w:sz w:val="24"/>
                <w:highlight w:val="none"/>
              </w:rPr>
              <w:t>地常见植物种类。</w:t>
            </w:r>
          </w:p>
          <w:p w14:paraId="527250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color w:val="auto"/>
                <w:sz w:val="24"/>
                <w:highlight w:val="none"/>
              </w:rPr>
            </w:pPr>
            <w:r>
              <w:rPr>
                <w:rFonts w:hint="eastAsia"/>
                <w:color w:val="auto"/>
                <w:kern w:val="0"/>
                <w:sz w:val="24"/>
                <w:highlight w:val="none"/>
                <w:lang w:val="en-US" w:eastAsia="zh-CN"/>
              </w:rPr>
              <w:t>本项目</w:t>
            </w:r>
            <w:r>
              <w:rPr>
                <w:rFonts w:hint="default" w:ascii="Times New Roman" w:hAnsi="Times New Roman" w:eastAsia="宋体" w:cs="Times New Roman"/>
                <w:color w:val="auto"/>
                <w:spacing w:val="0"/>
                <w:w w:val="100"/>
                <w:position w:val="0"/>
                <w:sz w:val="24"/>
                <w:szCs w:val="24"/>
                <w:highlight w:val="none"/>
                <w:lang w:val="en-US" w:eastAsia="zh-CN"/>
              </w:rPr>
              <w:t>架空线路</w:t>
            </w:r>
            <w:r>
              <w:rPr>
                <w:rFonts w:hint="default" w:ascii="Times New Roman" w:hAnsi="Times New Roman" w:eastAsia="宋体" w:cs="Times New Roman"/>
                <w:color w:val="auto"/>
                <w:spacing w:val="0"/>
                <w:w w:val="100"/>
                <w:position w:val="0"/>
                <w:sz w:val="24"/>
                <w:szCs w:val="24"/>
                <w:highlight w:val="none"/>
              </w:rPr>
              <w:t>永久占地会使线路沿线的植被受到破坏，架空线路对线下植被生长无影响。塔基基础占地面积较小，对植被的影响较小</w:t>
            </w:r>
            <w:r>
              <w:rPr>
                <w:rFonts w:hint="eastAsia" w:cs="Times New Roman"/>
                <w:color w:val="auto"/>
                <w:sz w:val="24"/>
                <w:highlight w:val="none"/>
                <w:lang w:val="en-US" w:eastAsia="zh-CN"/>
              </w:rPr>
              <w:t>，项目</w:t>
            </w:r>
            <w:r>
              <w:rPr>
                <w:rFonts w:hint="default" w:ascii="Times New Roman" w:hAnsi="Times New Roman" w:cs="Times New Roman"/>
                <w:color w:val="auto"/>
                <w:sz w:val="24"/>
                <w:highlight w:val="none"/>
              </w:rPr>
              <w:t>主要影响来自于临时占地</w:t>
            </w:r>
            <w:r>
              <w:rPr>
                <w:color w:val="auto"/>
                <w:sz w:val="24"/>
                <w:highlight w:val="none"/>
              </w:rPr>
              <w:t>。</w:t>
            </w:r>
            <w:r>
              <w:rPr>
                <w:rFonts w:hint="default" w:ascii="Times New Roman" w:hAnsi="Times New Roman" w:cs="Times New Roman"/>
                <w:color w:val="auto"/>
                <w:sz w:val="24"/>
                <w:highlight w:val="none"/>
              </w:rPr>
              <w:t>施工时，应</w:t>
            </w:r>
            <w:r>
              <w:rPr>
                <w:rFonts w:hint="default" w:ascii="Times New Roman" w:hAnsi="Times New Roman" w:cs="Times New Roman"/>
                <w:color w:val="auto"/>
                <w:sz w:val="24"/>
                <w:highlight w:val="none"/>
                <w:lang w:val="en-US" w:eastAsia="zh-CN"/>
              </w:rPr>
              <w:t>将</w:t>
            </w:r>
            <w:r>
              <w:rPr>
                <w:rFonts w:hint="default" w:ascii="Times New Roman" w:hAnsi="Times New Roman" w:cs="Times New Roman"/>
                <w:color w:val="auto"/>
                <w:sz w:val="24"/>
                <w:highlight w:val="none"/>
              </w:rPr>
              <w:t>临时占</w:t>
            </w:r>
            <w:r>
              <w:rPr>
                <w:rFonts w:hint="eastAsia" w:cs="Times New Roman"/>
                <w:color w:val="auto"/>
                <w:sz w:val="24"/>
                <w:highlight w:val="none"/>
                <w:lang w:val="en-US" w:eastAsia="zh-CN"/>
              </w:rPr>
              <w:t>用</w:t>
            </w:r>
            <w:r>
              <w:rPr>
                <w:rFonts w:hint="default" w:ascii="Times New Roman" w:hAnsi="Times New Roman" w:cs="Times New Roman"/>
                <w:color w:val="auto"/>
                <w:sz w:val="24"/>
                <w:highlight w:val="none"/>
              </w:rPr>
              <w:t>的施工场地设置于植被</w:t>
            </w:r>
            <w:r>
              <w:rPr>
                <w:rFonts w:hint="eastAsia" w:cs="Times New Roman"/>
                <w:color w:val="auto"/>
                <w:sz w:val="24"/>
                <w:highlight w:val="none"/>
                <w:lang w:val="en-US" w:eastAsia="zh-CN"/>
              </w:rPr>
              <w:t>相对</w:t>
            </w:r>
            <w:r>
              <w:rPr>
                <w:rFonts w:hint="default" w:ascii="Times New Roman" w:hAnsi="Times New Roman" w:cs="Times New Roman"/>
                <w:color w:val="auto"/>
                <w:sz w:val="24"/>
                <w:highlight w:val="none"/>
              </w:rPr>
              <w:t>稀少的地方</w:t>
            </w:r>
            <w:r>
              <w:rPr>
                <w:rFonts w:hint="eastAsia" w:cs="Times New Roman"/>
                <w:color w:val="auto"/>
                <w:sz w:val="24"/>
                <w:highlight w:val="none"/>
                <w:lang w:eastAsia="zh-CN"/>
              </w:rPr>
              <w:t>，</w:t>
            </w:r>
            <w:r>
              <w:rPr>
                <w:rFonts w:hint="default" w:ascii="Times New Roman" w:hAnsi="Times New Roman" w:eastAsia="宋体" w:cs="Times New Roman"/>
                <w:color w:val="auto"/>
                <w:spacing w:val="0"/>
                <w:w w:val="100"/>
                <w:position w:val="0"/>
                <w:sz w:val="24"/>
                <w:szCs w:val="24"/>
                <w:highlight w:val="none"/>
              </w:rPr>
              <w:t>施工</w:t>
            </w:r>
            <w:r>
              <w:rPr>
                <w:rFonts w:hint="eastAsia" w:cs="Times New Roman"/>
                <w:color w:val="auto"/>
                <w:spacing w:val="0"/>
                <w:w w:val="100"/>
                <w:position w:val="0"/>
                <w:sz w:val="24"/>
                <w:szCs w:val="24"/>
                <w:highlight w:val="none"/>
                <w:lang w:val="en-US" w:eastAsia="zh-CN"/>
              </w:rPr>
              <w:t>便道</w:t>
            </w:r>
            <w:r>
              <w:rPr>
                <w:rFonts w:hint="default" w:ascii="Times New Roman" w:hAnsi="Times New Roman" w:eastAsia="宋体" w:cs="Times New Roman"/>
                <w:color w:val="auto"/>
                <w:spacing w:val="0"/>
                <w:w w:val="100"/>
                <w:position w:val="0"/>
                <w:sz w:val="24"/>
                <w:szCs w:val="24"/>
                <w:highlight w:val="none"/>
              </w:rPr>
              <w:t>应充分利用现有道路，</w:t>
            </w:r>
            <w:r>
              <w:rPr>
                <w:rFonts w:hint="eastAsia"/>
                <w:color w:val="auto"/>
                <w:sz w:val="24"/>
                <w:highlight w:val="none"/>
                <w:lang w:val="en-US" w:eastAsia="zh-CN"/>
              </w:rPr>
              <w:t>新开辟的少量施工便道应</w:t>
            </w:r>
            <w:r>
              <w:rPr>
                <w:color w:val="auto"/>
                <w:sz w:val="24"/>
                <w:highlight w:val="none"/>
              </w:rPr>
              <w:t>避开植被较好处</w:t>
            </w:r>
            <w:r>
              <w:rPr>
                <w:rFonts w:hint="default" w:ascii="Times New Roman" w:hAnsi="Times New Roman" w:eastAsia="宋体" w:cs="Times New Roman"/>
                <w:color w:val="auto"/>
                <w:spacing w:val="0"/>
                <w:w w:val="100"/>
                <w:position w:val="0"/>
                <w:sz w:val="24"/>
                <w:szCs w:val="24"/>
                <w:highlight w:val="none"/>
              </w:rPr>
              <w:t>；牵张场等</w:t>
            </w:r>
            <w:r>
              <w:rPr>
                <w:color w:val="auto"/>
                <w:sz w:val="24"/>
                <w:highlight w:val="none"/>
              </w:rPr>
              <w:t>应铺设地表隔离设施，</w:t>
            </w:r>
            <w:r>
              <w:rPr>
                <w:rFonts w:hint="eastAsia"/>
                <w:color w:val="auto"/>
                <w:sz w:val="24"/>
                <w:highlight w:val="none"/>
                <w:lang w:val="en-US" w:eastAsia="zh-CN"/>
              </w:rPr>
              <w:t>不进行表土剥离，以减轻对植被的破坏；塔基永久占地区、塔基</w:t>
            </w:r>
            <w:r>
              <w:rPr>
                <w:color w:val="auto"/>
                <w:sz w:val="24"/>
                <w:highlight w:val="none"/>
              </w:rPr>
              <w:t>临时施工</w:t>
            </w:r>
            <w:r>
              <w:rPr>
                <w:rFonts w:hint="eastAsia"/>
                <w:color w:val="auto"/>
                <w:sz w:val="24"/>
                <w:highlight w:val="none"/>
                <w:lang w:val="en-US" w:eastAsia="zh-CN"/>
              </w:rPr>
              <w:t>区域</w:t>
            </w:r>
            <w:r>
              <w:rPr>
                <w:rFonts w:hint="eastAsia" w:cs="Times New Roman" w:eastAsiaTheme="minorEastAsia"/>
                <w:color w:val="auto"/>
                <w:sz w:val="24"/>
                <w:highlight w:val="none"/>
                <w:lang w:val="en-US" w:eastAsia="zh-CN"/>
              </w:rPr>
              <w:t>（含</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eastAsia" w:cs="Times New Roman" w:eastAsiaTheme="minorEastAsia"/>
                <w:color w:val="auto"/>
                <w:sz w:val="24"/>
                <w:highlight w:val="none"/>
                <w:lang w:val="en-US" w:eastAsia="zh-CN"/>
              </w:rPr>
              <w:t>）</w:t>
            </w:r>
            <w:r>
              <w:rPr>
                <w:rFonts w:hint="eastAsia"/>
                <w:color w:val="auto"/>
                <w:sz w:val="24"/>
                <w:highlight w:val="none"/>
                <w:lang w:val="en-US" w:eastAsia="zh-CN"/>
              </w:rPr>
              <w:t>、施工便道等施工时对旱地、乔木林地、灌木林地、其他林地、天然牧草地、</w:t>
            </w:r>
            <w:r>
              <w:rPr>
                <w:rFonts w:hint="eastAsia"/>
                <w:color w:val="auto"/>
                <w:kern w:val="0"/>
                <w:sz w:val="24"/>
                <w:highlight w:val="none"/>
                <w:lang w:val="en-US" w:eastAsia="zh-CN"/>
              </w:rPr>
              <w:t>其他</w:t>
            </w:r>
            <w:r>
              <w:rPr>
                <w:rFonts w:hint="eastAsia"/>
                <w:color w:val="auto"/>
                <w:kern w:val="0"/>
                <w:sz w:val="24"/>
                <w:highlight w:val="none"/>
              </w:rPr>
              <w:t>草地</w:t>
            </w:r>
            <w:r>
              <w:rPr>
                <w:rFonts w:hint="eastAsia"/>
                <w:color w:val="auto"/>
                <w:sz w:val="24"/>
                <w:highlight w:val="none"/>
                <w:lang w:val="en-US" w:eastAsia="zh-CN"/>
              </w:rPr>
              <w:t>占地区域进行表土剥离，</w:t>
            </w:r>
            <w:r>
              <w:rPr>
                <w:color w:val="auto"/>
                <w:sz w:val="24"/>
                <w:highlight w:val="none"/>
              </w:rPr>
              <w:t>施工结束后，</w:t>
            </w:r>
            <w:r>
              <w:rPr>
                <w:rFonts w:hint="eastAsia"/>
                <w:color w:val="auto"/>
                <w:sz w:val="24"/>
                <w:highlight w:val="none"/>
                <w:lang w:val="en-US" w:eastAsia="zh-CN"/>
              </w:rPr>
              <w:t>剥离的表土均用于临时占地恢复，以便于</w:t>
            </w:r>
            <w:r>
              <w:rPr>
                <w:color w:val="auto"/>
                <w:sz w:val="24"/>
                <w:highlight w:val="none"/>
              </w:rPr>
              <w:t>临时占地恢复其原有土地功能</w:t>
            </w:r>
            <w:r>
              <w:rPr>
                <w:rFonts w:hint="eastAsia"/>
                <w:color w:val="auto"/>
                <w:sz w:val="24"/>
                <w:highlight w:val="none"/>
                <w:lang w:eastAsia="zh-CN"/>
              </w:rPr>
              <w:t>；</w:t>
            </w:r>
            <w:r>
              <w:rPr>
                <w:color w:val="auto"/>
                <w:sz w:val="24"/>
                <w:highlight w:val="none"/>
              </w:rPr>
              <w:t>因此，临时占地对植被的影响只是暂时的，随着临时占地的恢复，对植被的影响将得到消除。因此</w:t>
            </w:r>
            <w:r>
              <w:rPr>
                <w:rFonts w:hint="eastAsia"/>
                <w:color w:val="auto"/>
                <w:sz w:val="24"/>
                <w:highlight w:val="none"/>
                <w:lang w:eastAsia="zh-CN"/>
              </w:rPr>
              <w:t>，</w:t>
            </w:r>
            <w:r>
              <w:rPr>
                <w:color w:val="auto"/>
                <w:sz w:val="24"/>
                <w:highlight w:val="none"/>
              </w:rPr>
              <w:t>本项目建设对区域植被影响较小。</w:t>
            </w:r>
          </w:p>
          <w:p w14:paraId="13626B3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③对野生动物的影响分析</w:t>
            </w:r>
          </w:p>
          <w:p w14:paraId="60DBFC93">
            <w:pPr>
              <w:spacing w:line="360" w:lineRule="auto"/>
              <w:ind w:firstLine="480" w:firstLineChars="200"/>
              <w:rPr>
                <w:bCs/>
                <w:color w:val="auto"/>
                <w:sz w:val="24"/>
                <w:highlight w:val="none"/>
              </w:rPr>
            </w:pPr>
            <w:r>
              <w:rPr>
                <w:rFonts w:hint="eastAsia" w:cs="Times New Roman"/>
                <w:color w:val="auto"/>
                <w:sz w:val="24"/>
                <w:highlight w:val="none"/>
                <w:lang w:val="en-US" w:eastAsia="zh-CN"/>
              </w:rPr>
              <w:t>本项目</w:t>
            </w:r>
            <w:r>
              <w:rPr>
                <w:rFonts w:hint="default"/>
                <w:color w:val="auto"/>
                <w:sz w:val="24"/>
                <w:szCs w:val="24"/>
                <w:highlight w:val="none"/>
                <w:lang w:val="en-US" w:eastAsia="zh-CN"/>
              </w:rPr>
              <w:t>评价范围内未发现</w:t>
            </w:r>
            <w:r>
              <w:rPr>
                <w:rFonts w:hint="eastAsia"/>
                <w:color w:val="auto"/>
                <w:sz w:val="24"/>
                <w:szCs w:val="24"/>
                <w:highlight w:val="none"/>
                <w:lang w:val="en-US" w:eastAsia="zh-CN"/>
              </w:rPr>
              <w:t>国家和地方珍稀濒危野生动物。</w:t>
            </w:r>
            <w:r>
              <w:rPr>
                <w:rFonts w:hint="default" w:ascii="Times New Roman" w:hAnsi="Times New Roman" w:cs="Times New Roman"/>
                <w:color w:val="auto"/>
                <w:sz w:val="24"/>
                <w:highlight w:val="none"/>
              </w:rPr>
              <w:t>经现场调查，</w:t>
            </w:r>
            <w:r>
              <w:rPr>
                <w:rFonts w:hint="default" w:ascii="Times New Roman" w:hAnsi="Times New Roman" w:cs="Times New Roman"/>
                <w:color w:val="auto"/>
                <w:sz w:val="24"/>
                <w:highlight w:val="none"/>
                <w:lang w:val="en-US" w:eastAsia="zh-CN"/>
              </w:rPr>
              <w:t>项目评价范围内</w:t>
            </w:r>
            <w:r>
              <w:rPr>
                <w:bCs/>
                <w:color w:val="auto"/>
                <w:sz w:val="24"/>
                <w:highlight w:val="none"/>
              </w:rPr>
              <w:t>动物</w:t>
            </w:r>
            <w:r>
              <w:rPr>
                <w:rFonts w:hint="eastAsia"/>
                <w:bCs/>
                <w:color w:val="auto"/>
                <w:sz w:val="24"/>
                <w:highlight w:val="none"/>
                <w:lang w:val="en-US" w:eastAsia="zh-CN"/>
              </w:rPr>
              <w:t>均</w:t>
            </w:r>
            <w:r>
              <w:rPr>
                <w:bCs/>
                <w:color w:val="auto"/>
                <w:sz w:val="24"/>
                <w:highlight w:val="none"/>
              </w:rPr>
              <w:t>为当地常见种，如鼠类、麻雀</w:t>
            </w:r>
            <w:r>
              <w:rPr>
                <w:rFonts w:hint="eastAsia"/>
                <w:bCs/>
                <w:color w:val="auto"/>
                <w:sz w:val="24"/>
                <w:highlight w:val="none"/>
                <w:lang w:eastAsia="zh-CN"/>
              </w:rPr>
              <w:t>、</w:t>
            </w:r>
            <w:r>
              <w:rPr>
                <w:rFonts w:hint="eastAsia"/>
                <w:bCs/>
                <w:color w:val="auto"/>
                <w:sz w:val="24"/>
                <w:highlight w:val="none"/>
                <w:lang w:val="en-US" w:eastAsia="zh-CN"/>
              </w:rPr>
              <w:t>野兔</w:t>
            </w:r>
            <w:r>
              <w:rPr>
                <w:bCs/>
                <w:color w:val="auto"/>
                <w:sz w:val="24"/>
                <w:highlight w:val="none"/>
              </w:rPr>
              <w:t>等常见种类。</w:t>
            </w:r>
          </w:p>
          <w:p w14:paraId="1DB9D735">
            <w:p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rPr>
              <w:t>项目施工对</w:t>
            </w:r>
            <w:r>
              <w:rPr>
                <w:rFonts w:hint="default" w:ascii="Times New Roman" w:hAnsi="Times New Roman" w:eastAsia="宋体" w:cs="Times New Roman"/>
                <w:color w:val="auto"/>
                <w:spacing w:val="0"/>
                <w:w w:val="100"/>
                <w:position w:val="0"/>
                <w:sz w:val="24"/>
                <w:szCs w:val="24"/>
                <w:highlight w:val="none"/>
                <w:lang w:val="en-US" w:eastAsia="zh-CN"/>
              </w:rPr>
              <w:t>野生动物</w:t>
            </w:r>
            <w:r>
              <w:rPr>
                <w:rFonts w:hint="default" w:ascii="Times New Roman" w:hAnsi="Times New Roman" w:eastAsia="宋体" w:cs="Times New Roman"/>
                <w:color w:val="auto"/>
                <w:spacing w:val="0"/>
                <w:w w:val="100"/>
                <w:position w:val="0"/>
                <w:sz w:val="24"/>
                <w:szCs w:val="24"/>
                <w:highlight w:val="none"/>
              </w:rPr>
              <w:t>的影响主要发生在塔基土石方工程、</w:t>
            </w:r>
            <w:r>
              <w:rPr>
                <w:rFonts w:hint="default" w:ascii="Times New Roman" w:hAnsi="Times New Roman" w:eastAsia="宋体" w:cs="Times New Roman"/>
                <w:color w:val="auto"/>
                <w:spacing w:val="0"/>
                <w:w w:val="100"/>
                <w:position w:val="0"/>
                <w:sz w:val="24"/>
                <w:szCs w:val="24"/>
                <w:highlight w:val="none"/>
                <w:lang w:eastAsia="zh-CN"/>
              </w:rPr>
              <w:t>施工便道</w:t>
            </w:r>
            <w:r>
              <w:rPr>
                <w:rFonts w:hint="default" w:ascii="Times New Roman" w:hAnsi="Times New Roman" w:eastAsia="宋体" w:cs="Times New Roman"/>
                <w:color w:val="auto"/>
                <w:spacing w:val="0"/>
                <w:w w:val="100"/>
                <w:position w:val="0"/>
                <w:sz w:val="24"/>
                <w:szCs w:val="24"/>
                <w:highlight w:val="none"/>
              </w:rPr>
              <w:t>、</w:t>
            </w:r>
            <w:r>
              <w:rPr>
                <w:rFonts w:hint="default" w:ascii="Times New Roman" w:hAnsi="Times New Roman" w:eastAsia="宋体" w:cs="Times New Roman"/>
                <w:color w:val="auto"/>
                <w:spacing w:val="0"/>
                <w:w w:val="100"/>
                <w:position w:val="0"/>
                <w:sz w:val="24"/>
                <w:szCs w:val="24"/>
                <w:highlight w:val="none"/>
                <w:lang w:val="en-US" w:eastAsia="zh-CN"/>
              </w:rPr>
              <w:t>牵张场等临时占地导致其</w:t>
            </w:r>
            <w:r>
              <w:rPr>
                <w:rFonts w:hint="default" w:ascii="Times New Roman" w:hAnsi="Times New Roman" w:eastAsia="宋体" w:cs="Times New Roman"/>
                <w:color w:val="auto"/>
                <w:spacing w:val="0"/>
                <w:w w:val="100"/>
                <w:position w:val="0"/>
                <w:sz w:val="24"/>
                <w:szCs w:val="24"/>
                <w:highlight w:val="none"/>
              </w:rPr>
              <w:t>生境</w:t>
            </w:r>
            <w:r>
              <w:rPr>
                <w:rFonts w:hint="default" w:ascii="Times New Roman" w:hAnsi="Times New Roman" w:eastAsia="宋体" w:cs="Times New Roman"/>
                <w:color w:val="auto"/>
                <w:spacing w:val="0"/>
                <w:w w:val="100"/>
                <w:position w:val="0"/>
                <w:sz w:val="24"/>
                <w:szCs w:val="24"/>
                <w:highlight w:val="none"/>
                <w:lang w:val="en-US" w:eastAsia="zh-CN"/>
              </w:rPr>
              <w:t>面积</w:t>
            </w:r>
            <w:r>
              <w:rPr>
                <w:rFonts w:hint="default" w:ascii="Times New Roman" w:hAnsi="Times New Roman" w:eastAsia="宋体" w:cs="Times New Roman"/>
                <w:color w:val="auto"/>
                <w:spacing w:val="0"/>
                <w:w w:val="100"/>
                <w:position w:val="0"/>
                <w:sz w:val="24"/>
                <w:szCs w:val="24"/>
                <w:highlight w:val="none"/>
              </w:rPr>
              <w:t>减少。</w:t>
            </w:r>
            <w:r>
              <w:rPr>
                <w:rFonts w:hint="default" w:ascii="Times New Roman" w:hAnsi="Times New Roman" w:eastAsia="宋体" w:cs="Times New Roman"/>
                <w:color w:val="auto"/>
                <w:spacing w:val="0"/>
                <w:w w:val="100"/>
                <w:position w:val="0"/>
                <w:sz w:val="24"/>
                <w:szCs w:val="24"/>
                <w:highlight w:val="none"/>
                <w:lang w:val="en-US" w:eastAsia="zh-CN"/>
              </w:rPr>
              <w:t>施工活动中，施工</w:t>
            </w:r>
            <w:r>
              <w:rPr>
                <w:rFonts w:hint="eastAsia" w:cs="Times New Roman"/>
                <w:color w:val="auto"/>
                <w:spacing w:val="0"/>
                <w:w w:val="100"/>
                <w:position w:val="0"/>
                <w:sz w:val="24"/>
                <w:szCs w:val="24"/>
                <w:highlight w:val="none"/>
                <w:lang w:val="en-US" w:eastAsia="zh-CN"/>
              </w:rPr>
              <w:t>固废</w:t>
            </w:r>
            <w:r>
              <w:rPr>
                <w:rFonts w:hint="default" w:ascii="Times New Roman" w:hAnsi="Times New Roman" w:eastAsia="宋体" w:cs="Times New Roman"/>
                <w:color w:val="auto"/>
                <w:spacing w:val="0"/>
                <w:w w:val="100"/>
                <w:position w:val="0"/>
                <w:sz w:val="24"/>
                <w:szCs w:val="24"/>
                <w:highlight w:val="none"/>
                <w:lang w:val="en-US" w:eastAsia="zh-CN"/>
              </w:rPr>
              <w:t>、施工噪声若未采用有效环境保护措施，对野生动物栖息环境、觅食、饮水、繁殖等活动的影响。</w:t>
            </w:r>
          </w:p>
          <w:p w14:paraId="3AE1F9A8">
            <w:p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lang w:val="en-US" w:eastAsia="zh-CN"/>
              </w:rPr>
            </w:pPr>
            <w:r>
              <w:rPr>
                <w:color w:val="auto"/>
                <w:sz w:val="24"/>
                <w:highlight w:val="none"/>
              </w:rPr>
              <w:t>本项目</w:t>
            </w:r>
            <w:r>
              <w:rPr>
                <w:rFonts w:hint="eastAsia"/>
                <w:color w:val="auto"/>
                <w:sz w:val="24"/>
                <w:highlight w:val="none"/>
                <w:lang w:val="en-US" w:eastAsia="zh-CN"/>
              </w:rPr>
              <w:t>为架空线路</w:t>
            </w:r>
            <w:r>
              <w:rPr>
                <w:rFonts w:hint="eastAsia"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施工</w:t>
            </w:r>
            <w:r>
              <w:rPr>
                <w:rFonts w:hint="default" w:ascii="Times New Roman" w:hAnsi="Times New Roman" w:eastAsia="宋体" w:cs="Times New Roman"/>
                <w:color w:val="auto"/>
                <w:spacing w:val="0"/>
                <w:w w:val="100"/>
                <w:position w:val="0"/>
                <w:sz w:val="24"/>
                <w:szCs w:val="24"/>
                <w:highlight w:val="none"/>
                <w:lang w:val="en-US" w:eastAsia="zh-CN"/>
              </w:rPr>
              <w:t>为点状施工，施工较为分散且单个塔基施工作业点</w:t>
            </w:r>
            <w:r>
              <w:rPr>
                <w:rFonts w:hint="default" w:ascii="Times New Roman" w:hAnsi="Times New Roman" w:eastAsia="宋体" w:cs="Times New Roman"/>
                <w:color w:val="auto"/>
                <w:spacing w:val="0"/>
                <w:w w:val="100"/>
                <w:position w:val="0"/>
                <w:sz w:val="24"/>
                <w:szCs w:val="24"/>
                <w:highlight w:val="none"/>
              </w:rPr>
              <w:t>工作量</w:t>
            </w:r>
            <w:r>
              <w:rPr>
                <w:rFonts w:hint="default" w:ascii="Times New Roman" w:hAnsi="Times New Roman" w:eastAsia="宋体" w:cs="Times New Roman"/>
                <w:color w:val="auto"/>
                <w:spacing w:val="0"/>
                <w:w w:val="100"/>
                <w:position w:val="0"/>
                <w:sz w:val="24"/>
                <w:szCs w:val="24"/>
                <w:highlight w:val="none"/>
                <w:lang w:val="en-US" w:eastAsia="zh-CN"/>
              </w:rPr>
              <w:t>较</w:t>
            </w:r>
            <w:r>
              <w:rPr>
                <w:rFonts w:hint="default" w:ascii="Times New Roman" w:hAnsi="Times New Roman" w:eastAsia="宋体" w:cs="Times New Roman"/>
                <w:color w:val="auto"/>
                <w:spacing w:val="0"/>
                <w:w w:val="100"/>
                <w:position w:val="0"/>
                <w:sz w:val="24"/>
                <w:szCs w:val="24"/>
                <w:highlight w:val="none"/>
              </w:rPr>
              <w:t>小，施工时间短，对野生动物的影响为间断性、暂时性的。施工过程中通过加强对施工人员保护野生动植物的宣传教育，提高施工人员自觉保护野生动植物的环保意识，</w:t>
            </w:r>
            <w:r>
              <w:rPr>
                <w:rFonts w:hint="eastAsia" w:ascii="Times New Roman" w:hAnsi="Times New Roman" w:eastAsia="宋体" w:cs="Times New Roman"/>
                <w:color w:val="auto"/>
                <w:spacing w:val="0"/>
                <w:w w:val="100"/>
                <w:position w:val="0"/>
                <w:sz w:val="24"/>
                <w:szCs w:val="24"/>
                <w:highlight w:val="none"/>
                <w:lang w:val="en-US" w:eastAsia="zh-CN"/>
              </w:rPr>
              <w:t>施工结束后对临时占地全部进行恢复，</w:t>
            </w:r>
            <w:r>
              <w:rPr>
                <w:rFonts w:hint="default" w:ascii="Times New Roman" w:hAnsi="Times New Roman" w:eastAsia="宋体" w:cs="Times New Roman"/>
                <w:color w:val="auto"/>
                <w:spacing w:val="0"/>
                <w:w w:val="100"/>
                <w:position w:val="0"/>
                <w:sz w:val="24"/>
                <w:szCs w:val="24"/>
                <w:highlight w:val="none"/>
              </w:rPr>
              <w:t>本项目施工不会对沿线野</w:t>
            </w:r>
            <w:r>
              <w:rPr>
                <w:rFonts w:hint="default" w:ascii="Times New Roman" w:hAnsi="Times New Roman" w:eastAsia="宋体" w:cs="Times New Roman"/>
                <w:color w:val="auto"/>
                <w:spacing w:val="0"/>
                <w:w w:val="100"/>
                <w:position w:val="0"/>
                <w:sz w:val="24"/>
                <w:szCs w:val="24"/>
                <w:highlight w:val="none"/>
                <w:lang w:val="en-US" w:eastAsia="zh-CN"/>
              </w:rPr>
              <w:t>生动物有明显的影响。</w:t>
            </w:r>
          </w:p>
          <w:p w14:paraId="0A336F96">
            <w:pPr>
              <w:spacing w:line="360" w:lineRule="auto"/>
              <w:ind w:firstLine="480" w:firstLineChars="200"/>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fldChar w:fldCharType="begin"/>
            </w:r>
            <w:r>
              <w:rPr>
                <w:rFonts w:hint="default" w:ascii="Times New Roman" w:hAnsi="Times New Roman" w:eastAsia="宋体" w:cs="Times New Roman"/>
                <w:color w:val="auto"/>
                <w:spacing w:val="0"/>
                <w:w w:val="100"/>
                <w:position w:val="0"/>
                <w:sz w:val="24"/>
                <w:szCs w:val="24"/>
                <w:highlight w:val="none"/>
                <w:lang w:val="en-US" w:eastAsia="zh-CN"/>
              </w:rPr>
              <w:instrText xml:space="preserve"> = 4 \* GB3 \* MERGEFORMAT </w:instrText>
            </w:r>
            <w:r>
              <w:rPr>
                <w:rFonts w:hint="default" w:ascii="Times New Roman" w:hAnsi="Times New Roman" w:eastAsia="宋体" w:cs="Times New Roman"/>
                <w:color w:val="auto"/>
                <w:spacing w:val="0"/>
                <w:w w:val="100"/>
                <w:position w:val="0"/>
                <w:sz w:val="24"/>
                <w:szCs w:val="24"/>
                <w:highlight w:val="none"/>
                <w:lang w:val="en-US" w:eastAsia="zh-CN"/>
              </w:rPr>
              <w:fldChar w:fldCharType="separate"/>
            </w:r>
            <w:r>
              <w:rPr>
                <w:rFonts w:hint="default" w:ascii="Times New Roman" w:hAnsi="Times New Roman" w:eastAsia="宋体" w:cs="Times New Roman"/>
                <w:color w:val="auto"/>
                <w:spacing w:val="0"/>
                <w:w w:val="100"/>
                <w:position w:val="0"/>
                <w:sz w:val="24"/>
                <w:szCs w:val="24"/>
                <w:highlight w:val="none"/>
                <w:lang w:val="en-US" w:eastAsia="zh-CN"/>
              </w:rPr>
              <w:t>④</w:t>
            </w:r>
            <w:r>
              <w:rPr>
                <w:rFonts w:hint="default" w:ascii="Times New Roman" w:hAnsi="Times New Roman" w:eastAsia="宋体" w:cs="Times New Roman"/>
                <w:color w:val="auto"/>
                <w:spacing w:val="0"/>
                <w:w w:val="100"/>
                <w:position w:val="0"/>
                <w:sz w:val="24"/>
                <w:szCs w:val="24"/>
                <w:highlight w:val="none"/>
                <w:lang w:val="en-US" w:eastAsia="zh-CN"/>
              </w:rPr>
              <w:fldChar w:fldCharType="end"/>
            </w:r>
            <w:r>
              <w:rPr>
                <w:rFonts w:hint="default" w:ascii="Times New Roman" w:hAnsi="Times New Roman" w:eastAsia="宋体" w:cs="Times New Roman"/>
                <w:color w:val="auto"/>
                <w:spacing w:val="0"/>
                <w:w w:val="100"/>
                <w:position w:val="0"/>
                <w:sz w:val="24"/>
                <w:szCs w:val="24"/>
                <w:highlight w:val="none"/>
                <w:lang w:val="en-US" w:eastAsia="zh-CN"/>
              </w:rPr>
              <w:t>对生物多样性的影响分析</w:t>
            </w:r>
          </w:p>
          <w:p w14:paraId="2F5872F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线路占地范围内植被在当地分布相对</w:t>
            </w:r>
            <w:r>
              <w:rPr>
                <w:rFonts w:hint="eastAsia" w:cs="Times New Roman"/>
                <w:color w:val="auto"/>
                <w:spacing w:val="0"/>
                <w:w w:val="100"/>
                <w:position w:val="0"/>
                <w:sz w:val="24"/>
                <w:szCs w:val="24"/>
                <w:highlight w:val="none"/>
                <w:lang w:val="en-US" w:eastAsia="zh-CN"/>
              </w:rPr>
              <w:t>常见</w:t>
            </w:r>
            <w:r>
              <w:rPr>
                <w:rFonts w:hint="default" w:ascii="Times New Roman" w:hAnsi="Times New Roman" w:eastAsia="宋体" w:cs="Times New Roman"/>
                <w:color w:val="auto"/>
                <w:spacing w:val="0"/>
                <w:w w:val="100"/>
                <w:position w:val="0"/>
                <w:sz w:val="24"/>
                <w:szCs w:val="24"/>
                <w:highlight w:val="none"/>
              </w:rPr>
              <w:t>，群落内都为常见的植物物种</w:t>
            </w:r>
            <w:r>
              <w:rPr>
                <w:rFonts w:hint="eastAsia" w:cs="Times New Roman"/>
                <w:color w:val="auto"/>
                <w:spacing w:val="0"/>
                <w:w w:val="100"/>
                <w:position w:val="0"/>
                <w:sz w:val="24"/>
                <w:szCs w:val="24"/>
                <w:highlight w:val="none"/>
                <w:lang w:eastAsia="zh-CN"/>
              </w:rPr>
              <w:t>，</w:t>
            </w:r>
            <w:r>
              <w:rPr>
                <w:rFonts w:hint="eastAsia"/>
                <w:color w:val="auto"/>
                <w:sz w:val="24"/>
                <w:highlight w:val="none"/>
                <w:lang w:val="en-US" w:eastAsia="zh-CN"/>
              </w:rPr>
              <w:t>农田栽培植被主要有小麦、玉米等，人工种植林木主要有杨树</w:t>
            </w:r>
            <w:r>
              <w:rPr>
                <w:color w:val="auto"/>
                <w:sz w:val="24"/>
                <w:highlight w:val="none"/>
              </w:rPr>
              <w:t>、</w:t>
            </w:r>
            <w:r>
              <w:rPr>
                <w:rFonts w:hint="eastAsia"/>
                <w:color w:val="auto"/>
                <w:sz w:val="24"/>
                <w:highlight w:val="none"/>
                <w:lang w:val="en-US" w:eastAsia="zh-CN"/>
              </w:rPr>
              <w:t>柳树</w:t>
            </w:r>
            <w:r>
              <w:rPr>
                <w:rFonts w:hint="eastAsia"/>
                <w:color w:val="auto"/>
                <w:sz w:val="24"/>
                <w:highlight w:val="none"/>
                <w:lang w:eastAsia="zh-CN"/>
              </w:rPr>
              <w:t>、</w:t>
            </w:r>
            <w:r>
              <w:rPr>
                <w:rFonts w:hint="eastAsia"/>
                <w:color w:val="auto"/>
                <w:sz w:val="24"/>
                <w:highlight w:val="none"/>
                <w:lang w:val="en-US" w:eastAsia="zh-CN"/>
              </w:rPr>
              <w:t>杏</w:t>
            </w:r>
            <w:r>
              <w:rPr>
                <w:rFonts w:hint="eastAsia"/>
                <w:color w:val="auto"/>
                <w:sz w:val="24"/>
                <w:highlight w:val="none"/>
              </w:rPr>
              <w:t>树</w:t>
            </w:r>
            <w:r>
              <w:rPr>
                <w:rFonts w:hint="eastAsia"/>
                <w:color w:val="auto"/>
                <w:sz w:val="24"/>
                <w:highlight w:val="none"/>
                <w:lang w:eastAsia="zh-CN"/>
              </w:rPr>
              <w:t>、</w:t>
            </w:r>
            <w:r>
              <w:rPr>
                <w:rFonts w:hint="eastAsia"/>
                <w:color w:val="auto"/>
                <w:sz w:val="24"/>
                <w:highlight w:val="none"/>
                <w:lang w:val="en-US" w:eastAsia="zh-CN"/>
              </w:rPr>
              <w:t>云杉等乔木及沙棘林、柠条林、山毛桃林等灌木，自然草本</w:t>
            </w:r>
            <w:r>
              <w:rPr>
                <w:rFonts w:hint="eastAsia"/>
                <w:color w:val="auto"/>
                <w:sz w:val="24"/>
                <w:highlight w:val="none"/>
              </w:rPr>
              <w:t>植被主要</w:t>
            </w:r>
            <w:r>
              <w:rPr>
                <w:rFonts w:hint="eastAsia"/>
                <w:color w:val="auto"/>
                <w:sz w:val="24"/>
                <w:highlight w:val="none"/>
                <w:lang w:val="en-US" w:eastAsia="zh-CN"/>
              </w:rPr>
              <w:t>有短花针茅、百里香、冷蒿、铁杆蒿、冰草、长芒草等</w:t>
            </w:r>
            <w:r>
              <w:rPr>
                <w:rFonts w:hint="eastAsia" w:cs="Times New Roman"/>
                <w:color w:val="auto"/>
                <w:sz w:val="24"/>
                <w:highlight w:val="none"/>
                <w:lang w:val="en-US" w:eastAsia="zh-CN"/>
              </w:rPr>
              <w:t>；</w:t>
            </w:r>
            <w:r>
              <w:rPr>
                <w:rFonts w:hint="default" w:ascii="Times New Roman" w:hAnsi="Times New Roman" w:eastAsia="宋体" w:cs="Times New Roman"/>
                <w:color w:val="auto"/>
                <w:spacing w:val="0"/>
                <w:w w:val="100"/>
                <w:position w:val="0"/>
                <w:sz w:val="24"/>
                <w:szCs w:val="24"/>
                <w:highlight w:val="none"/>
              </w:rPr>
              <w:t>动物以鼠类、麻雀</w:t>
            </w:r>
            <w:r>
              <w:rPr>
                <w:rFonts w:hint="default"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lang w:val="en-US" w:eastAsia="zh-CN"/>
              </w:rPr>
              <w:t>野兔</w:t>
            </w:r>
            <w:r>
              <w:rPr>
                <w:rFonts w:hint="default" w:ascii="Times New Roman" w:hAnsi="Times New Roman" w:eastAsia="宋体" w:cs="Times New Roman"/>
                <w:color w:val="auto"/>
                <w:spacing w:val="0"/>
                <w:w w:val="100"/>
                <w:position w:val="0"/>
                <w:sz w:val="24"/>
                <w:szCs w:val="24"/>
                <w:highlight w:val="none"/>
              </w:rPr>
              <w:t>为主，在</w:t>
            </w:r>
            <w:r>
              <w:rPr>
                <w:rFonts w:hint="default" w:ascii="Times New Roman" w:hAnsi="Times New Roman" w:eastAsia="宋体" w:cs="Times New Roman"/>
                <w:color w:val="auto"/>
                <w:spacing w:val="0"/>
                <w:w w:val="100"/>
                <w:position w:val="0"/>
                <w:sz w:val="24"/>
                <w:szCs w:val="24"/>
                <w:highlight w:val="none"/>
                <w:lang w:val="en-US" w:eastAsia="zh-CN"/>
              </w:rPr>
              <w:t>所在区域</w:t>
            </w:r>
            <w:r>
              <w:rPr>
                <w:rFonts w:hint="default" w:ascii="Times New Roman" w:hAnsi="Times New Roman" w:eastAsia="宋体" w:cs="Times New Roman"/>
                <w:color w:val="auto"/>
                <w:spacing w:val="0"/>
                <w:w w:val="100"/>
                <w:position w:val="0"/>
                <w:sz w:val="24"/>
                <w:szCs w:val="24"/>
                <w:highlight w:val="none"/>
              </w:rPr>
              <w:t>分布相对</w:t>
            </w:r>
            <w:r>
              <w:rPr>
                <w:rFonts w:hint="eastAsia" w:cs="Times New Roman"/>
                <w:color w:val="auto"/>
                <w:spacing w:val="0"/>
                <w:w w:val="100"/>
                <w:position w:val="0"/>
                <w:sz w:val="24"/>
                <w:szCs w:val="24"/>
                <w:highlight w:val="none"/>
                <w:lang w:val="en-US" w:eastAsia="zh-CN"/>
              </w:rPr>
              <w:t>常见</w:t>
            </w:r>
            <w:r>
              <w:rPr>
                <w:rFonts w:hint="default" w:ascii="Times New Roman" w:hAnsi="Times New Roman" w:eastAsia="宋体" w:cs="Times New Roman"/>
                <w:color w:val="auto"/>
                <w:spacing w:val="0"/>
                <w:w w:val="100"/>
                <w:position w:val="0"/>
                <w:sz w:val="24"/>
                <w:szCs w:val="24"/>
                <w:highlight w:val="none"/>
              </w:rPr>
              <w:t>。</w:t>
            </w:r>
            <w:r>
              <w:rPr>
                <w:rFonts w:hint="default" w:ascii="Times New Roman" w:hAnsi="Times New Roman" w:eastAsia="宋体" w:cs="Times New Roman"/>
                <w:color w:val="auto"/>
                <w:spacing w:val="0"/>
                <w:w w:val="100"/>
                <w:position w:val="0"/>
                <w:sz w:val="24"/>
                <w:szCs w:val="24"/>
                <w:highlight w:val="none"/>
                <w:lang w:val="en-US" w:eastAsia="zh-CN"/>
              </w:rPr>
              <w:t>项目占地以临时占地为主，</w:t>
            </w:r>
            <w:r>
              <w:rPr>
                <w:rFonts w:hint="default" w:ascii="Times New Roman" w:hAnsi="Times New Roman" w:eastAsia="宋体" w:cs="Times New Roman"/>
                <w:color w:val="auto"/>
                <w:spacing w:val="0"/>
                <w:w w:val="100"/>
                <w:position w:val="0"/>
                <w:sz w:val="24"/>
                <w:szCs w:val="24"/>
                <w:highlight w:val="none"/>
              </w:rPr>
              <w:t>项目施工期</w:t>
            </w:r>
            <w:r>
              <w:rPr>
                <w:rFonts w:hint="default" w:ascii="Times New Roman" w:hAnsi="Times New Roman" w:eastAsia="宋体" w:cs="Times New Roman"/>
                <w:color w:val="auto"/>
                <w:spacing w:val="0"/>
                <w:w w:val="100"/>
                <w:position w:val="0"/>
                <w:sz w:val="24"/>
                <w:szCs w:val="24"/>
                <w:highlight w:val="none"/>
                <w:lang w:val="en-US" w:eastAsia="zh-CN"/>
              </w:rPr>
              <w:t>占地</w:t>
            </w:r>
            <w:r>
              <w:rPr>
                <w:rFonts w:hint="default" w:ascii="Times New Roman" w:hAnsi="Times New Roman" w:eastAsia="宋体" w:cs="Times New Roman"/>
                <w:color w:val="auto"/>
                <w:spacing w:val="0"/>
                <w:w w:val="100"/>
                <w:position w:val="0"/>
                <w:sz w:val="24"/>
                <w:szCs w:val="24"/>
                <w:highlight w:val="none"/>
              </w:rPr>
              <w:t>会造成植物数量减少，野生动物生活会受到干扰，但施工结束后，临时占地可恢复原有土地功能</w:t>
            </w:r>
            <w:r>
              <w:rPr>
                <w:rFonts w:hint="eastAsia" w:cs="Times New Roman"/>
                <w:color w:val="auto"/>
                <w:spacing w:val="0"/>
                <w:w w:val="100"/>
                <w:position w:val="0"/>
                <w:sz w:val="24"/>
                <w:szCs w:val="24"/>
                <w:highlight w:val="none"/>
                <w:lang w:val="en-US" w:eastAsia="zh-CN"/>
              </w:rPr>
              <w:t>及植被</w:t>
            </w:r>
            <w:r>
              <w:rPr>
                <w:rFonts w:hint="default" w:ascii="Times New Roman" w:hAnsi="Times New Roman" w:eastAsia="宋体" w:cs="Times New Roman"/>
                <w:color w:val="auto"/>
                <w:spacing w:val="0"/>
                <w:w w:val="100"/>
                <w:position w:val="0"/>
                <w:sz w:val="24"/>
                <w:szCs w:val="24"/>
                <w:highlight w:val="none"/>
              </w:rPr>
              <w:t>，对野生动物及植物的影响很小。因此，本项目的建设对评价区域内生物多样性的影响是很轻微的。</w:t>
            </w:r>
          </w:p>
          <w:p w14:paraId="613D25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⑤对耕地（含基本农田）的影响分析</w:t>
            </w:r>
          </w:p>
          <w:p w14:paraId="350EA0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部分输电线路需要在旱地中穿过，不可避免要对农业生态带来一定影响。塔基基础开挖中，使农作物产量减少；另外塔基</w:t>
            </w:r>
            <w:r>
              <w:rPr>
                <w:rFonts w:hint="eastAsia" w:cs="Times New Roman"/>
                <w:color w:val="auto"/>
                <w:kern w:val="2"/>
                <w:sz w:val="24"/>
                <w:szCs w:val="24"/>
                <w:highlight w:val="none"/>
                <w:lang w:val="en-US" w:eastAsia="zh-CN" w:bidi="ar-SA"/>
              </w:rPr>
              <w:t>开挖</w:t>
            </w:r>
            <w:r>
              <w:rPr>
                <w:rFonts w:hint="eastAsia" w:ascii="Times New Roman" w:hAnsi="Times New Roman" w:eastAsia="宋体" w:cs="Times New Roman"/>
                <w:color w:val="auto"/>
                <w:kern w:val="2"/>
                <w:sz w:val="24"/>
                <w:szCs w:val="24"/>
                <w:highlight w:val="none"/>
                <w:lang w:val="en-US" w:eastAsia="zh-CN" w:bidi="ar-SA"/>
              </w:rPr>
              <w:t>土石的堆放、人员践踏、施工机具碾压，可能会伤害部分农作物，同时还可能会伤及附近植物的根系，影响农作物正常生长；此外，塔基开挖将扰乱土壤耕作层，除开挖部分受到直接破坏以外，土石方混合回填后，改变了土壤层次、紧实度和质地，影响土壤发育，降低土壤耕作性能，可能会造成土壤肥力的降低，影响</w:t>
            </w:r>
            <w:r>
              <w:rPr>
                <w:rFonts w:hint="eastAsia" w:cs="Times New Roman"/>
                <w:color w:val="auto"/>
                <w:kern w:val="2"/>
                <w:sz w:val="24"/>
                <w:szCs w:val="24"/>
                <w:highlight w:val="none"/>
                <w:lang w:val="en-US" w:eastAsia="zh-CN" w:bidi="ar-SA"/>
              </w:rPr>
              <w:t>农</w:t>
            </w:r>
            <w:r>
              <w:rPr>
                <w:rFonts w:hint="eastAsia" w:ascii="Times New Roman" w:hAnsi="Times New Roman" w:eastAsia="宋体" w:cs="Times New Roman"/>
                <w:color w:val="auto"/>
                <w:kern w:val="2"/>
                <w:sz w:val="24"/>
                <w:szCs w:val="24"/>
                <w:highlight w:val="none"/>
                <w:lang w:val="en-US" w:eastAsia="zh-CN" w:bidi="ar-SA"/>
              </w:rPr>
              <w:t xml:space="preserve">作物正常生长。 </w:t>
            </w:r>
          </w:p>
          <w:p w14:paraId="3D7E79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塔基永久占</w:t>
            </w:r>
            <w:r>
              <w:rPr>
                <w:rFonts w:hint="eastAsia" w:cs="Times New Roman"/>
                <w:color w:val="auto"/>
                <w:kern w:val="2"/>
                <w:sz w:val="24"/>
                <w:szCs w:val="24"/>
                <w:highlight w:val="none"/>
                <w:lang w:val="en-US" w:eastAsia="zh-CN" w:bidi="ar-SA"/>
              </w:rPr>
              <w:t>用</w:t>
            </w:r>
            <w:r>
              <w:rPr>
                <w:rFonts w:hint="eastAsia" w:ascii="Times New Roman" w:hAnsi="Times New Roman" w:eastAsia="宋体" w:cs="Times New Roman"/>
                <w:color w:val="auto"/>
                <w:kern w:val="2"/>
                <w:sz w:val="24"/>
                <w:szCs w:val="24"/>
                <w:highlight w:val="none"/>
                <w:lang w:val="en-US" w:eastAsia="zh-CN" w:bidi="ar-SA"/>
              </w:rPr>
              <w:t>耕地面积共计0.1569hm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，临时占用耕地</w:t>
            </w:r>
            <w:r>
              <w:rPr>
                <w:rFonts w:hint="eastAsia" w:cs="Times New Roman"/>
                <w:color w:val="auto"/>
                <w:kern w:val="2"/>
                <w:sz w:val="24"/>
                <w:szCs w:val="24"/>
                <w:highlight w:val="none"/>
                <w:lang w:val="en-US" w:eastAsia="zh-CN" w:bidi="ar-SA"/>
              </w:rPr>
              <w:t>面积</w:t>
            </w:r>
            <w:r>
              <w:rPr>
                <w:rFonts w:hint="eastAsia" w:ascii="Times New Roman" w:hAnsi="Times New Roman" w:eastAsia="宋体" w:cs="Times New Roman"/>
                <w:color w:val="auto"/>
                <w:kern w:val="2"/>
                <w:sz w:val="24"/>
                <w:szCs w:val="24"/>
                <w:highlight w:val="none"/>
                <w:lang w:val="en-US" w:eastAsia="zh-CN" w:bidi="ar-SA"/>
              </w:rPr>
              <w:t>共计</w:t>
            </w:r>
            <w:r>
              <w:rPr>
                <w:rFonts w:hint="eastAsia" w:cs="Times New Roman"/>
                <w:color w:val="auto"/>
                <w:kern w:val="2"/>
                <w:sz w:val="24"/>
                <w:szCs w:val="24"/>
                <w:highlight w:val="none"/>
                <w:lang w:val="en-US" w:eastAsia="zh-CN" w:bidi="ar-SA"/>
              </w:rPr>
              <w:t>4.3971</w:t>
            </w:r>
            <w:r>
              <w:rPr>
                <w:rFonts w:hint="eastAsia" w:ascii="Times New Roman" w:hAnsi="Times New Roman" w:eastAsia="宋体" w:cs="Times New Roman"/>
                <w:color w:val="auto"/>
                <w:kern w:val="2"/>
                <w:sz w:val="24"/>
                <w:szCs w:val="24"/>
                <w:highlight w:val="none"/>
                <w:lang w:val="en-US" w:eastAsia="zh-CN" w:bidi="ar-SA"/>
              </w:rPr>
              <w:t>hm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塔基永久占地会使原有耕地被占用，降低原有土地生产能力，会对农业生态系统的物质、能量的流动产生轻微影响。由于塔基占地面积小且分散，占地主要以临时占地为主，不会大幅度减少耕地面积，也不会改变区域土地利用现状。临时占</w:t>
            </w:r>
            <w:r>
              <w:rPr>
                <w:rFonts w:hint="eastAsia" w:cs="Times New Roman"/>
                <w:color w:val="auto"/>
                <w:kern w:val="2"/>
                <w:sz w:val="24"/>
                <w:szCs w:val="24"/>
                <w:highlight w:val="none"/>
                <w:lang w:val="en-US" w:eastAsia="zh-CN" w:bidi="ar-SA"/>
              </w:rPr>
              <w:t>地在</w:t>
            </w:r>
            <w:r>
              <w:rPr>
                <w:rFonts w:hint="eastAsia" w:ascii="Times New Roman" w:hAnsi="Times New Roman" w:eastAsia="宋体" w:cs="Times New Roman"/>
                <w:color w:val="auto"/>
                <w:kern w:val="2"/>
                <w:sz w:val="24"/>
                <w:szCs w:val="24"/>
                <w:highlight w:val="none"/>
                <w:lang w:val="en-US" w:eastAsia="zh-CN" w:bidi="ar-SA"/>
              </w:rPr>
              <w:t>施工结束后，即可进行复耕，对区域农业生态产生的影响很小。</w:t>
            </w:r>
          </w:p>
          <w:p w14:paraId="205A6D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⑥对</w:t>
            </w:r>
            <w:r>
              <w:rPr>
                <w:rFonts w:hint="default" w:ascii="Times New Roman" w:hAnsi="Times New Roman" w:eastAsia="宋体" w:cs="Times New Roman"/>
                <w:color w:val="auto"/>
                <w:kern w:val="2"/>
                <w:sz w:val="24"/>
                <w:szCs w:val="24"/>
                <w:highlight w:val="none"/>
                <w:lang w:val="en-US" w:eastAsia="zh-CN" w:bidi="ar-SA"/>
              </w:rPr>
              <w:t>生态系统的影响</w:t>
            </w:r>
            <w:r>
              <w:rPr>
                <w:rFonts w:hint="eastAsia" w:cs="Times New Roman"/>
                <w:color w:val="auto"/>
                <w:kern w:val="2"/>
                <w:sz w:val="24"/>
                <w:szCs w:val="24"/>
                <w:highlight w:val="none"/>
                <w:lang w:val="en-US" w:eastAsia="zh-CN" w:bidi="ar-SA"/>
              </w:rPr>
              <w:t>分析</w:t>
            </w:r>
          </w:p>
          <w:p w14:paraId="285FB43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eastAsia" w:cs="Times New Roman"/>
                <w:color w:val="auto"/>
                <w:spacing w:val="0"/>
                <w:w w:val="100"/>
                <w:kern w:val="0"/>
                <w:position w:val="0"/>
                <w:sz w:val="24"/>
                <w:szCs w:val="24"/>
                <w:highlight w:val="none"/>
                <w:lang w:val="en-US" w:eastAsia="zh-CN" w:bidi="ar"/>
              </w:rPr>
              <w:t>本项目</w:t>
            </w:r>
            <w:r>
              <w:rPr>
                <w:rFonts w:hint="default" w:ascii="Times New Roman" w:hAnsi="Times New Roman" w:eastAsia="宋体" w:cs="Times New Roman"/>
                <w:color w:val="auto"/>
                <w:spacing w:val="0"/>
                <w:w w:val="100"/>
                <w:kern w:val="0"/>
                <w:position w:val="0"/>
                <w:sz w:val="24"/>
                <w:szCs w:val="24"/>
                <w:highlight w:val="none"/>
                <w:lang w:bidi="ar"/>
              </w:rPr>
              <w:t>评价范围内主要有</w:t>
            </w:r>
            <w:r>
              <w:rPr>
                <w:rFonts w:hint="eastAsia" w:ascii="Times New Roman" w:hAnsi="Times New Roman" w:eastAsia="宋体" w:cs="Times New Roman"/>
                <w:color w:val="auto"/>
                <w:spacing w:val="0"/>
                <w:w w:val="100"/>
                <w:kern w:val="0"/>
                <w:position w:val="0"/>
                <w:sz w:val="24"/>
                <w:szCs w:val="24"/>
                <w:highlight w:val="none"/>
                <w:lang w:val="en-US" w:eastAsia="zh-CN" w:bidi="ar"/>
              </w:rPr>
              <w:t>森林生态系统、</w:t>
            </w:r>
            <w:r>
              <w:rPr>
                <w:rFonts w:hint="default" w:ascii="Times New Roman" w:hAnsi="Times New Roman" w:eastAsia="宋体" w:cs="Times New Roman"/>
                <w:color w:val="auto"/>
                <w:spacing w:val="0"/>
                <w:w w:val="100"/>
                <w:kern w:val="0"/>
                <w:position w:val="0"/>
                <w:sz w:val="24"/>
                <w:szCs w:val="24"/>
                <w:highlight w:val="none"/>
                <w:lang w:bidi="ar"/>
              </w:rPr>
              <w:t>灌丛生态系统、</w:t>
            </w:r>
            <w:r>
              <w:rPr>
                <w:rFonts w:hint="default" w:ascii="Times New Roman" w:hAnsi="Times New Roman" w:eastAsia="宋体" w:cs="Times New Roman"/>
                <w:color w:val="auto"/>
                <w:spacing w:val="0"/>
                <w:w w:val="100"/>
                <w:kern w:val="0"/>
                <w:position w:val="0"/>
                <w:sz w:val="24"/>
                <w:szCs w:val="24"/>
                <w:highlight w:val="none"/>
                <w:lang w:eastAsia="zh-CN" w:bidi="ar"/>
              </w:rPr>
              <w:t>草地生态系统、农田生态系统、</w:t>
            </w:r>
            <w:r>
              <w:rPr>
                <w:rFonts w:hint="eastAsia" w:cs="Times New Roman"/>
                <w:color w:val="auto"/>
                <w:spacing w:val="0"/>
                <w:w w:val="100"/>
                <w:kern w:val="0"/>
                <w:position w:val="0"/>
                <w:sz w:val="24"/>
                <w:szCs w:val="24"/>
                <w:highlight w:val="none"/>
                <w:lang w:val="en-US" w:eastAsia="zh-CN" w:bidi="ar"/>
              </w:rPr>
              <w:t>湿地生态系统、</w:t>
            </w:r>
            <w:r>
              <w:rPr>
                <w:rFonts w:hint="default" w:ascii="Times New Roman" w:hAnsi="Times New Roman" w:eastAsia="宋体" w:cs="Times New Roman"/>
                <w:color w:val="auto"/>
                <w:spacing w:val="0"/>
                <w:w w:val="100"/>
                <w:kern w:val="0"/>
                <w:position w:val="0"/>
                <w:sz w:val="24"/>
                <w:szCs w:val="24"/>
                <w:highlight w:val="none"/>
                <w:lang w:bidi="ar"/>
              </w:rPr>
              <w:t>城镇生态系统</w:t>
            </w:r>
            <w:r>
              <w:rPr>
                <w:rFonts w:hint="default" w:ascii="Times New Roman" w:hAnsi="Times New Roman" w:eastAsia="宋体" w:cs="Times New Roman"/>
                <w:color w:val="auto"/>
                <w:spacing w:val="0"/>
                <w:w w:val="100"/>
                <w:kern w:val="0"/>
                <w:position w:val="0"/>
                <w:sz w:val="24"/>
                <w:szCs w:val="24"/>
                <w:highlight w:val="none"/>
                <w:lang w:eastAsia="zh-CN" w:bidi="ar"/>
              </w:rPr>
              <w:t>和其他</w:t>
            </w:r>
            <w:r>
              <w:rPr>
                <w:rFonts w:hint="default" w:ascii="Times New Roman" w:hAnsi="Times New Roman" w:eastAsia="宋体" w:cs="Times New Roman"/>
                <w:color w:val="auto"/>
                <w:spacing w:val="0"/>
                <w:w w:val="100"/>
                <w:kern w:val="0"/>
                <w:position w:val="0"/>
                <w:sz w:val="24"/>
                <w:szCs w:val="24"/>
                <w:highlight w:val="none"/>
                <w:lang w:bidi="ar"/>
              </w:rPr>
              <w:t>，它们具有生境支持、生物多样性维持等多种功能。</w:t>
            </w:r>
            <w:r>
              <w:rPr>
                <w:rFonts w:hint="default" w:ascii="Times New Roman" w:hAnsi="Times New Roman" w:eastAsia="宋体" w:cs="Times New Roman"/>
                <w:color w:val="auto"/>
                <w:spacing w:val="0"/>
                <w:w w:val="100"/>
                <w:position w:val="0"/>
                <w:sz w:val="24"/>
                <w:szCs w:val="24"/>
                <w:highlight w:val="none"/>
                <w:lang w:val="en-US" w:eastAsia="zh-CN"/>
              </w:rPr>
              <w:t>项目建设将对其面积及组成等产生一定影响，主要影响因素为塔基占地</w:t>
            </w:r>
            <w:r>
              <w:rPr>
                <w:rFonts w:hint="eastAsia" w:cs="Times New Roman"/>
                <w:color w:val="auto"/>
                <w:spacing w:val="0"/>
                <w:w w:val="100"/>
                <w:position w:val="0"/>
                <w:sz w:val="24"/>
                <w:szCs w:val="24"/>
                <w:highlight w:val="none"/>
                <w:lang w:val="en-US" w:eastAsia="zh-CN"/>
              </w:rPr>
              <w:t>影响</w:t>
            </w:r>
            <w:r>
              <w:rPr>
                <w:rFonts w:hint="default" w:ascii="Times New Roman" w:hAnsi="Times New Roman" w:eastAsia="宋体" w:cs="Times New Roman"/>
                <w:color w:val="auto"/>
                <w:spacing w:val="0"/>
                <w:w w:val="100"/>
                <w:position w:val="0"/>
                <w:sz w:val="24"/>
                <w:szCs w:val="24"/>
                <w:highlight w:val="none"/>
                <w:lang w:val="en-US" w:eastAsia="zh-CN"/>
              </w:rPr>
              <w:t>，</w:t>
            </w:r>
            <w:r>
              <w:rPr>
                <w:rFonts w:hint="eastAsia" w:cs="Times New Roman"/>
                <w:color w:val="auto"/>
                <w:spacing w:val="0"/>
                <w:w w:val="100"/>
                <w:position w:val="0"/>
                <w:sz w:val="24"/>
                <w:szCs w:val="24"/>
                <w:highlight w:val="none"/>
                <w:lang w:val="en-US" w:eastAsia="zh-CN"/>
              </w:rPr>
              <w:t>塔基</w:t>
            </w:r>
            <w:r>
              <w:rPr>
                <w:rFonts w:hint="default" w:ascii="Times New Roman" w:hAnsi="Times New Roman" w:eastAsia="宋体" w:cs="Times New Roman"/>
                <w:color w:val="auto"/>
                <w:spacing w:val="0"/>
                <w:w w:val="100"/>
                <w:position w:val="0"/>
                <w:sz w:val="24"/>
                <w:szCs w:val="24"/>
                <w:highlight w:val="none"/>
                <w:lang w:val="en-US" w:eastAsia="zh-CN"/>
              </w:rPr>
              <w:t>永久占地仅为</w:t>
            </w:r>
            <w:r>
              <w:rPr>
                <w:rFonts w:hint="eastAsia" w:ascii="Times New Roman" w:hAnsi="Times New Roman" w:eastAsia="宋体" w:cs="Times New Roman"/>
                <w:color w:val="auto"/>
                <w:spacing w:val="0"/>
                <w:w w:val="100"/>
                <w:position w:val="0"/>
                <w:sz w:val="24"/>
                <w:szCs w:val="24"/>
                <w:highlight w:val="none"/>
                <w:lang w:val="en-US" w:eastAsia="zh-CN"/>
              </w:rPr>
              <w:t>0.</w:t>
            </w:r>
            <w:r>
              <w:rPr>
                <w:rFonts w:hint="eastAsia" w:cs="Times New Roman"/>
                <w:color w:val="auto"/>
                <w:spacing w:val="0"/>
                <w:w w:val="100"/>
                <w:position w:val="0"/>
                <w:sz w:val="24"/>
                <w:szCs w:val="24"/>
                <w:highlight w:val="none"/>
                <w:lang w:val="en-US" w:eastAsia="zh-CN"/>
              </w:rPr>
              <w:t>1943</w:t>
            </w:r>
            <w:r>
              <w:rPr>
                <w:rFonts w:hint="default" w:ascii="Times New Roman" w:hAnsi="Times New Roman" w:eastAsia="宋体" w:cs="Times New Roman"/>
                <w:color w:val="auto"/>
                <w:spacing w:val="0"/>
                <w:w w:val="100"/>
                <w:position w:val="0"/>
                <w:sz w:val="24"/>
                <w:szCs w:val="24"/>
                <w:highlight w:val="none"/>
                <w:lang w:val="en-US" w:eastAsia="zh-CN"/>
              </w:rPr>
              <w:t>hm</w:t>
            </w:r>
            <w:r>
              <w:rPr>
                <w:rFonts w:hint="default" w:ascii="Times New Roman" w:hAnsi="Times New Roman" w:eastAsia="宋体" w:cs="Times New Roman"/>
                <w:color w:val="auto"/>
                <w:spacing w:val="0"/>
                <w:w w:val="100"/>
                <w:position w:val="0"/>
                <w:sz w:val="24"/>
                <w:szCs w:val="24"/>
                <w:highlight w:val="none"/>
                <w:vertAlign w:val="superscript"/>
                <w:lang w:val="en-US" w:eastAsia="zh-CN"/>
              </w:rPr>
              <w:t>2</w:t>
            </w:r>
            <w:r>
              <w:rPr>
                <w:rFonts w:hint="default" w:ascii="Times New Roman" w:hAnsi="Times New Roman" w:eastAsia="宋体" w:cs="Times New Roman"/>
                <w:color w:val="auto"/>
                <w:spacing w:val="0"/>
                <w:w w:val="100"/>
                <w:position w:val="0"/>
                <w:sz w:val="24"/>
                <w:szCs w:val="24"/>
                <w:highlight w:val="none"/>
                <w:lang w:val="en-US" w:eastAsia="zh-CN"/>
              </w:rPr>
              <w:t>，占用区域生态系统比例很小。因此，不会造成</w:t>
            </w:r>
            <w:r>
              <w:rPr>
                <w:rFonts w:hint="default" w:ascii="Times New Roman" w:hAnsi="Times New Roman" w:eastAsia="宋体" w:cs="Times New Roman"/>
                <w:color w:val="auto"/>
                <w:spacing w:val="0"/>
                <w:w w:val="100"/>
                <w:position w:val="0"/>
                <w:sz w:val="24"/>
                <w:szCs w:val="24"/>
                <w:highlight w:val="none"/>
              </w:rPr>
              <w:t>区域</w:t>
            </w:r>
            <w:r>
              <w:rPr>
                <w:rFonts w:hint="default" w:ascii="Times New Roman" w:hAnsi="Times New Roman" w:eastAsia="宋体" w:cs="Times New Roman"/>
                <w:color w:val="auto"/>
                <w:spacing w:val="0"/>
                <w:w w:val="100"/>
                <w:position w:val="0"/>
                <w:sz w:val="24"/>
                <w:szCs w:val="24"/>
                <w:highlight w:val="none"/>
                <w:lang w:val="en-US" w:eastAsia="zh-CN"/>
              </w:rPr>
              <w:t>生态系统面积的</w:t>
            </w:r>
            <w:r>
              <w:rPr>
                <w:rFonts w:hint="default" w:ascii="Times New Roman" w:hAnsi="Times New Roman" w:eastAsia="宋体" w:cs="Times New Roman"/>
                <w:color w:val="auto"/>
                <w:spacing w:val="0"/>
                <w:w w:val="100"/>
                <w:position w:val="0"/>
                <w:sz w:val="24"/>
                <w:szCs w:val="24"/>
                <w:highlight w:val="none"/>
              </w:rPr>
              <w:t>明显变化</w:t>
            </w:r>
            <w:r>
              <w:rPr>
                <w:rFonts w:hint="default" w:ascii="Times New Roman" w:hAnsi="Times New Roman" w:eastAsia="宋体"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lang w:val="en-US" w:eastAsia="zh-CN"/>
              </w:rPr>
              <w:t>对生态系统影响较小</w:t>
            </w:r>
            <w:r>
              <w:rPr>
                <w:rFonts w:hint="default" w:ascii="Times New Roman" w:hAnsi="Times New Roman" w:eastAsia="宋体" w:cs="Times New Roman"/>
                <w:color w:val="auto"/>
                <w:spacing w:val="0"/>
                <w:w w:val="100"/>
                <w:position w:val="0"/>
                <w:sz w:val="24"/>
                <w:szCs w:val="24"/>
                <w:highlight w:val="none"/>
              </w:rPr>
              <w:t>。</w:t>
            </w:r>
          </w:p>
          <w:p w14:paraId="7C3E5F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lang w:val="en-US" w:eastAsia="zh-CN"/>
              </w:rPr>
            </w:pPr>
            <w:r>
              <w:rPr>
                <w:rFonts w:hint="eastAsia" w:ascii="Times New Roman" w:hAnsi="Times New Roman" w:eastAsia="宋体" w:cs="Times New Roman"/>
                <w:color w:val="auto"/>
                <w:spacing w:val="0"/>
                <w:w w:val="100"/>
                <w:position w:val="0"/>
                <w:sz w:val="24"/>
                <w:szCs w:val="24"/>
                <w:highlight w:val="none"/>
                <w:lang w:val="en-US" w:eastAsia="zh-CN"/>
              </w:rPr>
              <w:t>⑦对</w:t>
            </w:r>
            <w:r>
              <w:rPr>
                <w:rFonts w:hint="default" w:ascii="Times New Roman" w:hAnsi="Times New Roman" w:eastAsia="宋体" w:cs="Times New Roman"/>
                <w:color w:val="auto"/>
                <w:spacing w:val="0"/>
                <w:w w:val="100"/>
                <w:position w:val="0"/>
                <w:sz w:val="24"/>
                <w:szCs w:val="24"/>
                <w:highlight w:val="none"/>
                <w:lang w:val="en-US" w:eastAsia="zh-CN"/>
              </w:rPr>
              <w:t>生态环境质量的影响</w:t>
            </w:r>
          </w:p>
          <w:p w14:paraId="28A423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lang w:val="en-US" w:eastAsia="zh-CN"/>
              </w:rPr>
              <w:t>通过对生态环境植被生产力、植被生物量、土壤侵蚀状况、生态环境状况指数、景观结构景观优势度影响预测分析可知，本项目对区域环境质量的影响较小，不会导致区域环境质量降低。</w:t>
            </w:r>
          </w:p>
          <w:p w14:paraId="143AC9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bCs/>
                <w:color w:val="auto"/>
                <w:spacing w:val="0"/>
                <w:w w:val="100"/>
                <w:position w:val="0"/>
                <w:sz w:val="24"/>
                <w:szCs w:val="24"/>
                <w:highlight w:val="none"/>
                <w:lang w:val="en-US" w:eastAsia="zh-CN"/>
              </w:rPr>
            </w:pPr>
            <w:r>
              <w:rPr>
                <w:rFonts w:hint="default" w:ascii="Times New Roman" w:hAnsi="Times New Roman" w:eastAsia="宋体" w:cs="Times New Roman"/>
                <w:b/>
                <w:bCs/>
                <w:color w:val="auto"/>
                <w:spacing w:val="0"/>
                <w:w w:val="100"/>
                <w:position w:val="0"/>
                <w:sz w:val="24"/>
                <w:szCs w:val="24"/>
                <w:highlight w:val="none"/>
                <w:lang w:val="en-US" w:eastAsia="zh-CN"/>
              </w:rPr>
              <w:t>（3）对生态保护红线的影响分析</w:t>
            </w:r>
          </w:p>
          <w:p w14:paraId="3131F6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color w:val="auto"/>
                <w:sz w:val="24"/>
                <w:szCs w:val="24"/>
                <w:highlight w:val="none"/>
                <w:lang w:val="en-US" w:eastAsia="zh-CN"/>
              </w:rPr>
            </w:pPr>
            <w:r>
              <w:rPr>
                <w:rFonts w:hint="default" w:ascii="Times New Roman" w:hAnsi="Times New Roman" w:eastAsia="宋体" w:cs="Times New Roman"/>
                <w:b w:val="0"/>
                <w:bCs/>
                <w:color w:val="auto"/>
                <w:spacing w:val="0"/>
                <w:w w:val="100"/>
                <w:position w:val="0"/>
                <w:sz w:val="24"/>
                <w:szCs w:val="24"/>
                <w:highlight w:val="none"/>
              </w:rPr>
              <w:t>本项目</w:t>
            </w:r>
            <w:r>
              <w:rPr>
                <w:rFonts w:hint="default" w:ascii="Times New Roman" w:hAnsi="Times New Roman" w:eastAsia="宋体" w:cs="Times New Roman"/>
                <w:b w:val="0"/>
                <w:bCs/>
                <w:color w:val="auto"/>
                <w:spacing w:val="0"/>
                <w:w w:val="100"/>
                <w:position w:val="0"/>
                <w:sz w:val="24"/>
                <w:szCs w:val="24"/>
                <w:highlight w:val="none"/>
                <w:lang w:val="en-US" w:eastAsia="zh-CN"/>
              </w:rPr>
              <w:t>输电线路一档跨越******，跨越线路长度约13m，最近铁塔距离该生态保护红线约46m</w:t>
            </w:r>
            <w:r>
              <w:rPr>
                <w:rFonts w:hint="eastAsia" w:cs="Times New Roman"/>
                <w:b w:val="0"/>
                <w:bCs/>
                <w:color w:val="auto"/>
                <w:spacing w:val="0"/>
                <w:w w:val="100"/>
                <w:position w:val="0"/>
                <w:sz w:val="24"/>
                <w:szCs w:val="24"/>
                <w:highlight w:val="none"/>
                <w:lang w:val="en-US" w:eastAsia="zh-CN"/>
              </w:rPr>
              <w:t>，在生态保护红线范围内无永久、临时占地。</w:t>
            </w:r>
          </w:p>
          <w:p w14:paraId="7A386C6A">
            <w:pPr>
              <w:spacing w:line="360" w:lineRule="auto"/>
              <w:ind w:firstLine="480" w:firstLineChars="200"/>
              <w:rPr>
                <w:rFonts w:hint="eastAsia" w:ascii="Times New Roman" w:hAnsi="Times New Roman" w:cs="Times New Roman"/>
                <w:color w:val="auto"/>
                <w:kern w:val="0"/>
                <w:sz w:val="24"/>
                <w:highlight w:val="none"/>
                <w:lang w:val="en-US" w:eastAsia="zh-CN" w:bidi="ar"/>
              </w:rPr>
            </w:pPr>
            <w:r>
              <w:rPr>
                <w:rFonts w:hint="eastAsia" w:ascii="Times New Roman" w:hAnsi="Times New Roman" w:eastAsia="宋体" w:cs="Times New Roman"/>
                <w:b w:val="0"/>
                <w:bCs/>
                <w:color w:val="auto"/>
                <w:spacing w:val="0"/>
                <w:w w:val="100"/>
                <w:position w:val="0"/>
                <w:sz w:val="24"/>
                <w:szCs w:val="24"/>
                <w:highlight w:val="none"/>
                <w:lang w:val="en-US" w:eastAsia="zh-CN"/>
              </w:rPr>
              <w:t>施</w:t>
            </w:r>
            <w:r>
              <w:rPr>
                <w:rFonts w:hint="eastAsia" w:ascii="Times New Roman" w:hAnsi="Times New Roman" w:eastAsia="宋体" w:cs="Times New Roman"/>
                <w:color w:val="auto"/>
                <w:spacing w:val="0"/>
                <w:w w:val="100"/>
                <w:position w:val="0"/>
                <w:sz w:val="24"/>
                <w:szCs w:val="24"/>
                <w:highlight w:val="none"/>
                <w:lang w:val="en-US" w:eastAsia="zh-CN"/>
              </w:rPr>
              <w:t>工期对生态保护红线的影响主要来自</w:t>
            </w:r>
            <w:r>
              <w:rPr>
                <w:rFonts w:hint="eastAsia" w:ascii="Times New Roman" w:hAnsi="Times New Roman" w:eastAsia="宋体" w:cs="Times New Roman"/>
                <w:color w:val="auto"/>
                <w:sz w:val="24"/>
                <w:highlight w:val="none"/>
                <w:lang w:val="en-US" w:eastAsia="zh-CN"/>
              </w:rPr>
              <w:t>‌施工期间的噪声、‌振动等可能对周边生物造成一定程度的干扰。</w:t>
            </w:r>
            <w:r>
              <w:rPr>
                <w:rFonts w:hint="default" w:ascii="Times New Roman" w:hAnsi="Times New Roman" w:eastAsia="宋体" w:cs="Times New Roman"/>
                <w:b w:val="0"/>
                <w:bCs/>
                <w:color w:val="auto"/>
                <w:spacing w:val="0"/>
                <w:w w:val="100"/>
                <w:position w:val="0"/>
                <w:sz w:val="24"/>
                <w:szCs w:val="24"/>
                <w:highlight w:val="none"/>
              </w:rPr>
              <w:t>本项目</w:t>
            </w:r>
            <w:r>
              <w:rPr>
                <w:rFonts w:hint="default" w:ascii="Times New Roman" w:hAnsi="Times New Roman" w:eastAsia="宋体" w:cs="Times New Roman"/>
                <w:b w:val="0"/>
                <w:bCs/>
                <w:color w:val="auto"/>
                <w:spacing w:val="0"/>
                <w:w w:val="100"/>
                <w:position w:val="0"/>
                <w:sz w:val="24"/>
                <w:szCs w:val="24"/>
                <w:highlight w:val="none"/>
                <w:lang w:val="en-US" w:eastAsia="zh-CN"/>
              </w:rPr>
              <w:t>输电线路一档跨越******</w:t>
            </w:r>
            <w:r>
              <w:rPr>
                <w:rFonts w:hint="eastAsia" w:cs="Times New Roman"/>
                <w:b w:val="0"/>
                <w:bCs/>
                <w:color w:val="auto"/>
                <w:spacing w:val="0"/>
                <w:w w:val="100"/>
                <w:position w:val="0"/>
                <w:sz w:val="24"/>
                <w:szCs w:val="24"/>
                <w:highlight w:val="none"/>
                <w:lang w:val="en-US" w:eastAsia="zh-CN"/>
              </w:rPr>
              <w:t>，在生态保护红线范围内无永久、临时占地，且红线内不进行施工活动，</w:t>
            </w:r>
            <w:r>
              <w:rPr>
                <w:rFonts w:hint="eastAsia" w:ascii="Times New Roman" w:hAnsi="Times New Roman" w:eastAsia="宋体" w:cs="Times New Roman"/>
                <w:color w:val="auto"/>
                <w:sz w:val="24"/>
                <w:highlight w:val="none"/>
                <w:lang w:val="en-US" w:eastAsia="zh-CN"/>
              </w:rPr>
              <w:t>施工持续时间很短，施工期间不会对周边生态环境造成持久性影响</w:t>
            </w:r>
            <w:r>
              <w:rPr>
                <w:rFonts w:hint="eastAsia" w:cs="Times New Roman"/>
                <w:b w:val="0"/>
                <w:bCs/>
                <w:color w:val="auto"/>
                <w:spacing w:val="0"/>
                <w:w w:val="100"/>
                <w:position w:val="0"/>
                <w:sz w:val="24"/>
                <w:szCs w:val="24"/>
                <w:highlight w:val="none"/>
                <w:lang w:val="en-US" w:eastAsia="zh-CN"/>
              </w:rPr>
              <w:t>。</w:t>
            </w:r>
            <w:r>
              <w:rPr>
                <w:rFonts w:hint="eastAsia" w:ascii="Times New Roman" w:hAnsi="Times New Roman" w:eastAsia="宋体" w:cs="Times New Roman"/>
                <w:color w:val="auto"/>
                <w:sz w:val="24"/>
                <w:highlight w:val="none"/>
                <w:lang w:val="en-US" w:eastAsia="zh-CN"/>
              </w:rPr>
              <w:t>施工期前组织专业人员对施工人员进行环保宣传教育</w:t>
            </w:r>
            <w:r>
              <w:rPr>
                <w:rFonts w:hint="eastAsia" w:cs="Times New Roman"/>
                <w:color w:val="auto"/>
                <w:sz w:val="24"/>
                <w:highlight w:val="none"/>
                <w:lang w:val="en-US" w:eastAsia="zh-CN"/>
              </w:rPr>
              <w:t>；塔基靠近生态保护红线一侧设置施工围挡，</w:t>
            </w:r>
            <w:r>
              <w:rPr>
                <w:rFonts w:hint="eastAsia" w:ascii="Times New Roman" w:hAnsi="Times New Roman" w:eastAsia="宋体" w:cs="Times New Roman"/>
                <w:color w:val="auto"/>
                <w:sz w:val="24"/>
                <w:highlight w:val="none"/>
                <w:lang w:val="en-US" w:eastAsia="zh-CN"/>
              </w:rPr>
              <w:t>严格控制施工车辆、施工人员的活动范围，禁止施工车辆、人员进入</w:t>
            </w:r>
            <w:r>
              <w:rPr>
                <w:rFonts w:hint="eastAsia" w:eastAsia="宋体" w:cs="Times New Roman"/>
                <w:color w:val="auto"/>
                <w:sz w:val="24"/>
                <w:highlight w:val="none"/>
                <w:lang w:val="en-US" w:eastAsia="zh-CN"/>
              </w:rPr>
              <w:t>生态保护红线</w:t>
            </w:r>
            <w:r>
              <w:rPr>
                <w:rFonts w:hint="eastAsia" w:cs="Times New Roman"/>
                <w:color w:val="auto"/>
                <w:sz w:val="24"/>
                <w:highlight w:val="none"/>
                <w:lang w:val="en-US" w:eastAsia="zh-CN"/>
              </w:rPr>
              <w:t>，</w:t>
            </w:r>
            <w:r>
              <w:rPr>
                <w:rFonts w:hint="default"/>
                <w:color w:val="auto"/>
                <w:sz w:val="24"/>
                <w:szCs w:val="24"/>
                <w:highlight w:val="none"/>
                <w:lang w:val="en-US" w:eastAsia="zh-CN"/>
              </w:rPr>
              <w:t>所有施工设施均</w:t>
            </w:r>
            <w:r>
              <w:rPr>
                <w:rFonts w:hint="eastAsia"/>
                <w:color w:val="auto"/>
                <w:sz w:val="24"/>
                <w:szCs w:val="24"/>
                <w:highlight w:val="none"/>
                <w:lang w:val="en-US" w:eastAsia="zh-CN"/>
              </w:rPr>
              <w:t>须</w:t>
            </w:r>
            <w:r>
              <w:rPr>
                <w:rFonts w:hint="default"/>
                <w:color w:val="auto"/>
                <w:sz w:val="24"/>
                <w:szCs w:val="24"/>
                <w:highlight w:val="none"/>
                <w:lang w:val="en-US" w:eastAsia="zh-CN"/>
              </w:rPr>
              <w:t>远离</w:t>
            </w:r>
            <w:r>
              <w:rPr>
                <w:rFonts w:hint="eastAsia"/>
                <w:color w:val="auto"/>
                <w:sz w:val="24"/>
                <w:szCs w:val="24"/>
                <w:highlight w:val="none"/>
                <w:lang w:val="en-US" w:eastAsia="zh-CN"/>
              </w:rPr>
              <w:t>生态保护红线布置；对</w:t>
            </w:r>
            <w:r>
              <w:rPr>
                <w:rFonts w:hint="eastAsia" w:ascii="Times New Roman" w:hAnsi="Times New Roman" w:eastAsia="宋体" w:cs="Times New Roman"/>
                <w:color w:val="auto"/>
                <w:sz w:val="24"/>
                <w:highlight w:val="none"/>
                <w:lang w:val="en-US" w:eastAsia="zh-CN"/>
              </w:rPr>
              <w:t>施工</w:t>
            </w:r>
            <w:r>
              <w:rPr>
                <w:rFonts w:hint="eastAsia" w:cs="Times New Roman"/>
                <w:color w:val="auto"/>
                <w:sz w:val="24"/>
                <w:highlight w:val="none"/>
                <w:lang w:val="en-US" w:eastAsia="zh-CN"/>
              </w:rPr>
              <w:t>现场</w:t>
            </w:r>
            <w:r>
              <w:rPr>
                <w:rFonts w:hint="eastAsia" w:ascii="Times New Roman" w:hAnsi="Times New Roman" w:eastAsia="宋体" w:cs="Times New Roman"/>
                <w:color w:val="auto"/>
                <w:sz w:val="24"/>
                <w:highlight w:val="none"/>
                <w:lang w:val="en-US" w:eastAsia="zh-CN"/>
              </w:rPr>
              <w:t>采取适时洒水、对塔基开挖的土方及时苫盖等措施，防止扬尘污染</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施工期选用低噪声施工设备，加强施工机械维护和保养，避免噪声源强较大的机械同时进行施工作业</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施工过程产生的建筑垃圾、生活垃圾进行分类集中收集，严禁弃置在</w:t>
            </w:r>
            <w:r>
              <w:rPr>
                <w:rFonts w:hint="eastAsia" w:eastAsia="宋体" w:cs="Times New Roman"/>
                <w:color w:val="auto"/>
                <w:sz w:val="24"/>
                <w:highlight w:val="none"/>
                <w:lang w:val="en-US" w:eastAsia="zh-CN"/>
              </w:rPr>
              <w:t>生态保护红线</w:t>
            </w:r>
            <w:r>
              <w:rPr>
                <w:rFonts w:hint="eastAsia" w:ascii="Times New Roman" w:hAnsi="Times New Roman" w:eastAsia="宋体" w:cs="Times New Roman"/>
                <w:color w:val="auto"/>
                <w:sz w:val="24"/>
                <w:highlight w:val="none"/>
                <w:lang w:val="en-US" w:eastAsia="zh-CN"/>
              </w:rPr>
              <w:t>范围内</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施工结束后及时清理施工作业现场并及时进行植被恢复</w:t>
            </w:r>
            <w:r>
              <w:rPr>
                <w:rFonts w:hint="default"/>
                <w:color w:val="auto"/>
                <w:sz w:val="24"/>
                <w:szCs w:val="24"/>
                <w:highlight w:val="none"/>
                <w:lang w:val="en-US" w:eastAsia="zh-CN"/>
              </w:rPr>
              <w:t>。</w:t>
            </w:r>
            <w:r>
              <w:rPr>
                <w:rFonts w:hint="default" w:ascii="Times New Roman" w:hAnsi="Times New Roman" w:cs="Times New Roman"/>
                <w:color w:val="auto"/>
                <w:kern w:val="0"/>
                <w:sz w:val="24"/>
                <w:highlight w:val="none"/>
                <w:lang w:val="en-US" w:eastAsia="zh-CN" w:bidi="ar"/>
              </w:rPr>
              <w:t>在采取以上措施后，</w:t>
            </w:r>
            <w:r>
              <w:rPr>
                <w:rFonts w:hint="eastAsia" w:ascii="Times New Roman" w:hAnsi="Times New Roman" w:cs="Times New Roman"/>
                <w:color w:val="auto"/>
                <w:kern w:val="0"/>
                <w:sz w:val="24"/>
                <w:highlight w:val="none"/>
                <w:lang w:val="en-US" w:eastAsia="zh-CN" w:bidi="ar"/>
              </w:rPr>
              <w:t>本项目输电线路工程施工对生态保护红线的影响很小。</w:t>
            </w:r>
          </w:p>
          <w:p w14:paraId="119B695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项目生态影响分析</w:t>
            </w:r>
            <w:r>
              <w:rPr>
                <w:rFonts w:hint="eastAsia"/>
                <w:b w:val="0"/>
                <w:bCs w:val="0"/>
                <w:color w:val="auto"/>
                <w:sz w:val="24"/>
                <w:szCs w:val="24"/>
                <w:highlight w:val="none"/>
                <w:lang w:val="en-US" w:eastAsia="zh-CN"/>
              </w:rPr>
              <w:t>具体内容详见</w:t>
            </w:r>
            <w:r>
              <w:rPr>
                <w:rFonts w:hint="eastAsia"/>
                <w:b/>
                <w:bCs/>
                <w:color w:val="auto"/>
                <w:sz w:val="24"/>
                <w:szCs w:val="24"/>
                <w:highlight w:val="none"/>
                <w:lang w:val="en-US" w:eastAsia="zh-CN"/>
              </w:rPr>
              <w:t>生态专题评价</w:t>
            </w:r>
            <w:r>
              <w:rPr>
                <w:rFonts w:hint="default" w:ascii="Times New Roman" w:hAnsi="Times New Roman" w:eastAsia="宋体" w:cs="Times New Roman"/>
                <w:color w:val="auto"/>
                <w:spacing w:val="0"/>
                <w:w w:val="100"/>
                <w:position w:val="0"/>
                <w:sz w:val="24"/>
                <w:szCs w:val="24"/>
                <w:highlight w:val="none"/>
                <w:lang w:val="en-US" w:eastAsia="zh-CN"/>
              </w:rPr>
              <w:t>。</w:t>
            </w:r>
          </w:p>
          <w:p w14:paraId="7BF99BE4">
            <w:pPr>
              <w:pStyle w:val="8"/>
              <w:keepNext w:val="0"/>
              <w:keepLines w:val="0"/>
              <w:pageBreakBefore w:val="0"/>
              <w:kinsoku/>
              <w:wordWrap/>
              <w:overflowPunct/>
              <w:topLinePunct w:val="0"/>
              <w:autoSpaceDE/>
              <w:autoSpaceDN/>
              <w:bidi w:val="0"/>
              <w:adjustRightInd/>
              <w:snapToGrid/>
              <w:spacing w:after="0" w:line="360" w:lineRule="auto"/>
              <w:ind w:left="0" w:leftChars="0" w:firstLine="482" w:firstLineChars="200"/>
              <w:textAlignment w:val="auto"/>
              <w:rPr>
                <w:b/>
                <w:bCs/>
                <w:color w:val="auto"/>
                <w:sz w:val="24"/>
                <w:highlight w:val="none"/>
              </w:rPr>
            </w:pPr>
            <w:r>
              <w:rPr>
                <w:b/>
                <w:bCs/>
                <w:color w:val="auto"/>
                <w:sz w:val="24"/>
                <w:highlight w:val="none"/>
              </w:rPr>
              <w:t>2、声环境影响分析</w:t>
            </w:r>
          </w:p>
          <w:p w14:paraId="75A94AD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本项目施工期主要的噪声源为材料运输车辆产生的运输噪声以及变电站基础、杆塔基础、杆塔架线等施工过程中各类机具产生的机械噪声，在一定范围内会对周围声环境产生影响，但这些影响是小范围的、短暂的，随着施工的结束，其对声环境的影响也将随之消失。 </w:t>
            </w:r>
          </w:p>
          <w:p w14:paraId="2288E1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施工场地内机械设备大多属于移动声源，难以预测施工场地各场界噪声值，因此，本次仅针对各噪声源强单独作用时噪声贡献值进行预测。本项目施工均要求采用低噪声设备，参照《低噪声施工设备指导名录（</w:t>
            </w:r>
            <w:r>
              <w:rPr>
                <w:rFonts w:hint="default" w:ascii="Times New Roman" w:hAnsi="Times New Roman" w:eastAsia="宋体" w:cs="Times New Roman"/>
                <w:color w:val="auto"/>
                <w:kern w:val="2"/>
                <w:sz w:val="24"/>
                <w:szCs w:val="24"/>
                <w:highlight w:val="none"/>
                <w:lang w:val="en-US" w:eastAsia="zh-CN" w:bidi="ar-SA"/>
              </w:rPr>
              <w:t>2024</w:t>
            </w:r>
            <w:r>
              <w:rPr>
                <w:rFonts w:hint="eastAsia" w:ascii="Times New Roman" w:hAnsi="Times New Roman" w:eastAsia="宋体" w:cs="Times New Roman"/>
                <w:color w:val="auto"/>
                <w:kern w:val="2"/>
                <w:sz w:val="24"/>
                <w:szCs w:val="24"/>
                <w:highlight w:val="none"/>
                <w:lang w:val="en-US" w:eastAsia="zh-CN" w:bidi="ar-SA"/>
              </w:rPr>
              <w:t xml:space="preserve">年版）》（工业和信息化部 生态环境部住房和城乡建设部 市场监管总局 四部门公告 </w:t>
            </w:r>
            <w:r>
              <w:rPr>
                <w:rFonts w:hint="default" w:ascii="Times New Roman" w:hAnsi="Times New Roman" w:eastAsia="宋体" w:cs="Times New Roman"/>
                <w:color w:val="auto"/>
                <w:kern w:val="2"/>
                <w:sz w:val="24"/>
                <w:szCs w:val="24"/>
                <w:highlight w:val="none"/>
                <w:lang w:val="en-US" w:eastAsia="zh-CN" w:bidi="ar-SA"/>
              </w:rPr>
              <w:t>2024</w:t>
            </w:r>
            <w:r>
              <w:rPr>
                <w:rFonts w:hint="eastAsia" w:ascii="Times New Roman" w:hAnsi="Times New Roman" w:eastAsia="宋体" w:cs="Times New Roman"/>
                <w:color w:val="auto"/>
                <w:kern w:val="2"/>
                <w:sz w:val="24"/>
                <w:szCs w:val="24"/>
                <w:highlight w:val="none"/>
                <w:lang w:val="en-US" w:eastAsia="zh-CN" w:bidi="ar-SA"/>
              </w:rPr>
              <w:t>年</w:t>
            </w:r>
            <w:r>
              <w:rPr>
                <w:rFonts w:hint="default" w:ascii="Times New Roman" w:hAnsi="Times New Roman" w:eastAsia="宋体" w:cs="Times New Roman"/>
                <w:color w:val="auto"/>
                <w:kern w:val="2"/>
                <w:sz w:val="24"/>
                <w:szCs w:val="24"/>
                <w:highlight w:val="none"/>
                <w:lang w:val="en-US" w:eastAsia="zh-CN" w:bidi="ar-SA"/>
              </w:rPr>
              <w:t>40</w:t>
            </w:r>
            <w:r>
              <w:rPr>
                <w:rFonts w:hint="eastAsia" w:ascii="Times New Roman" w:hAnsi="Times New Roman" w:eastAsia="宋体" w:cs="Times New Roman"/>
                <w:color w:val="auto"/>
                <w:kern w:val="2"/>
                <w:sz w:val="24"/>
                <w:szCs w:val="24"/>
                <w:highlight w:val="none"/>
                <w:lang w:val="en-US" w:eastAsia="zh-CN" w:bidi="ar-SA"/>
              </w:rPr>
              <w:t>号），常见施工设备噪声源强见表4</w:t>
            </w:r>
            <w:r>
              <w:rPr>
                <w:rFonts w:hint="default" w:ascii="Times New Roman" w:hAnsi="Times New Roman" w:eastAsia="宋体"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所示。</w:t>
            </w:r>
          </w:p>
          <w:p w14:paraId="5E39E809">
            <w:pPr>
              <w:keepNext w:val="0"/>
              <w:keepLines w:val="0"/>
              <w:pageBreakBefore w:val="0"/>
              <w:widowControl w:val="0"/>
              <w:kinsoku/>
              <w:wordWrap/>
              <w:overflowPunct/>
              <w:topLinePunct w:val="0"/>
              <w:autoSpaceDE/>
              <w:autoSpaceDN/>
              <w:bidi w:val="0"/>
              <w:adjustRightInd/>
              <w:snapToGrid/>
              <w:spacing w:line="360" w:lineRule="auto"/>
              <w:ind w:firstLine="482"/>
              <w:jc w:val="right"/>
              <w:textAlignment w:val="auto"/>
              <w:rPr>
                <w:rFonts w:hint="eastAsia" w:ascii="Times New Roman" w:hAnsi="Times New Roman" w:eastAsia="黑体" w:cs="Times New Roman"/>
                <w:b/>
                <w:bCs/>
                <w:color w:val="000000"/>
                <w:sz w:val="24"/>
                <w:szCs w:val="24"/>
                <w:highlight w:val="none"/>
                <w:lang w:eastAsia="zh-CN"/>
              </w:rPr>
            </w:pPr>
            <w:r>
              <w:rPr>
                <w:rFonts w:hint="default" w:ascii="Times New Roman" w:hAnsi="Times New Roman" w:eastAsia="黑体" w:cs="Times New Roman"/>
                <w:b/>
                <w:bCs/>
                <w:color w:val="000000"/>
                <w:sz w:val="24"/>
                <w:szCs w:val="24"/>
                <w:highlight w:val="none"/>
              </w:rPr>
              <w:t>表</w:t>
            </w:r>
            <w:r>
              <w:rPr>
                <w:rFonts w:hint="eastAsia" w:ascii="Times New Roman" w:hAnsi="Times New Roman" w:eastAsia="黑体" w:cs="Times New Roman"/>
                <w:b/>
                <w:bCs/>
                <w:color w:val="000000"/>
                <w:sz w:val="24"/>
                <w:szCs w:val="24"/>
                <w:highlight w:val="none"/>
                <w:lang w:val="en-US" w:eastAsia="zh-CN"/>
              </w:rPr>
              <w:t>4</w:t>
            </w:r>
            <w:r>
              <w:rPr>
                <w:rFonts w:hint="default" w:ascii="Times New Roman" w:hAnsi="Times New Roman" w:eastAsia="黑体" w:cs="Times New Roman"/>
                <w:b/>
                <w:bCs/>
                <w:color w:val="000000"/>
                <w:sz w:val="24"/>
                <w:szCs w:val="24"/>
                <w:highlight w:val="none"/>
                <w:lang w:val="en-US" w:eastAsia="zh-CN"/>
              </w:rPr>
              <w:t xml:space="preserve">-1 </w:t>
            </w:r>
            <w:r>
              <w:rPr>
                <w:rFonts w:hint="default" w:ascii="Times New Roman" w:hAnsi="Times New Roman" w:eastAsia="黑体" w:cs="Times New Roman"/>
                <w:b/>
                <w:bCs/>
                <w:color w:val="000000"/>
                <w:sz w:val="24"/>
                <w:szCs w:val="24"/>
                <w:highlight w:val="none"/>
              </w:rPr>
              <w:t xml:space="preserve"> </w:t>
            </w:r>
            <w:r>
              <w:rPr>
                <w:rFonts w:hint="default" w:ascii="Times New Roman" w:hAnsi="Times New Roman" w:eastAsia="黑体" w:cs="Times New Roman"/>
                <w:b/>
                <w:bCs/>
                <w:color w:val="000000"/>
                <w:sz w:val="24"/>
                <w:szCs w:val="24"/>
                <w:highlight w:val="none"/>
                <w:lang w:val="en-US" w:eastAsia="zh-CN"/>
              </w:rPr>
              <w:t>常见施工设备噪声源强</w:t>
            </w:r>
            <w:r>
              <w:rPr>
                <w:rFonts w:hint="eastAsia" w:ascii="Times New Roman" w:hAnsi="Times New Roman" w:eastAsia="黑体" w:cs="Times New Roman"/>
                <w:b/>
                <w:bCs/>
                <w:color w:val="000000"/>
                <w:sz w:val="24"/>
                <w:szCs w:val="24"/>
                <w:highlight w:val="none"/>
                <w:lang w:val="en-US" w:eastAsia="zh-CN"/>
              </w:rPr>
              <w:t xml:space="preserve">一览表         </w:t>
            </w:r>
            <w:r>
              <w:rPr>
                <w:rFonts w:hint="default" w:ascii="Times New Roman" w:hAnsi="Times New Roman" w:eastAsia="黑体" w:cs="Times New Roman"/>
                <w:b w:val="0"/>
                <w:bCs w:val="0"/>
                <w:color w:val="000000"/>
                <w:sz w:val="24"/>
                <w:szCs w:val="24"/>
                <w:highlight w:val="none"/>
              </w:rPr>
              <w:t>单位：dB</w:t>
            </w:r>
            <w:r>
              <w:rPr>
                <w:rFonts w:hint="eastAsia" w:ascii="Times New Roman" w:hAnsi="Times New Roman" w:eastAsia="黑体" w:cs="Times New Roman"/>
                <w:b w:val="0"/>
                <w:bCs w:val="0"/>
                <w:color w:val="000000"/>
                <w:sz w:val="24"/>
                <w:szCs w:val="24"/>
                <w:highlight w:val="none"/>
                <w:lang w:val="en-US" w:eastAsia="zh-CN"/>
              </w:rPr>
              <w:t>(</w:t>
            </w:r>
            <w:r>
              <w:rPr>
                <w:rFonts w:hint="default" w:ascii="Times New Roman" w:hAnsi="Times New Roman" w:eastAsia="黑体" w:cs="Times New Roman"/>
                <w:b w:val="0"/>
                <w:bCs w:val="0"/>
                <w:color w:val="000000"/>
                <w:sz w:val="24"/>
                <w:szCs w:val="24"/>
                <w:highlight w:val="none"/>
              </w:rPr>
              <w:t>A</w:t>
            </w:r>
            <w:r>
              <w:rPr>
                <w:rFonts w:hint="eastAsia" w:ascii="Times New Roman" w:hAnsi="Times New Roman" w:eastAsia="黑体" w:cs="Times New Roman"/>
                <w:b w:val="0"/>
                <w:bCs w:val="0"/>
                <w:color w:val="000000"/>
                <w:sz w:val="24"/>
                <w:szCs w:val="24"/>
                <w:highlight w:val="none"/>
                <w:lang w:val="en-US" w:eastAsia="zh-CN"/>
              </w:rPr>
              <w:t>)</w:t>
            </w:r>
          </w:p>
          <w:tbl>
            <w:tblPr>
              <w:tblStyle w:val="29"/>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743"/>
              <w:gridCol w:w="1237"/>
              <w:gridCol w:w="1050"/>
              <w:gridCol w:w="1782"/>
              <w:gridCol w:w="1879"/>
            </w:tblGrid>
            <w:tr w14:paraId="06FA5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429521B2">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743" w:type="dxa"/>
                  <w:tcBorders>
                    <w:tl2br w:val="nil"/>
                    <w:tr2bl w:val="nil"/>
                  </w:tcBorders>
                  <w:noWrap w:val="0"/>
                  <w:vAlign w:val="center"/>
                </w:tcPr>
                <w:p w14:paraId="13C31AC8">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设备名称</w:t>
                  </w:r>
                </w:p>
              </w:tc>
              <w:tc>
                <w:tcPr>
                  <w:tcW w:w="1237" w:type="dxa"/>
                  <w:tcBorders>
                    <w:tl2br w:val="nil"/>
                    <w:tr2bl w:val="nil"/>
                  </w:tcBorders>
                  <w:noWrap w:val="0"/>
                  <w:vAlign w:val="center"/>
                </w:tcPr>
                <w:p w14:paraId="7308B9AE">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rPr>
                    <w:t>距设备距离（m）</w:t>
                  </w:r>
                </w:p>
              </w:tc>
              <w:tc>
                <w:tcPr>
                  <w:tcW w:w="1050" w:type="dxa"/>
                  <w:tcBorders>
                    <w:tl2br w:val="nil"/>
                    <w:tr2bl w:val="nil"/>
                  </w:tcBorders>
                  <w:noWrap w:val="0"/>
                  <w:vAlign w:val="center"/>
                </w:tcPr>
                <w:p w14:paraId="2A29EB87">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噪声源强</w:t>
                  </w:r>
                </w:p>
              </w:tc>
              <w:tc>
                <w:tcPr>
                  <w:tcW w:w="1782" w:type="dxa"/>
                  <w:tcBorders>
                    <w:tl2br w:val="nil"/>
                    <w:tr2bl w:val="nil"/>
                  </w:tcBorders>
                  <w:noWrap w:val="0"/>
                  <w:vAlign w:val="center"/>
                </w:tcPr>
                <w:p w14:paraId="0E75B303">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本次噪声源强取值（取最大值）</w:t>
                  </w:r>
                </w:p>
              </w:tc>
              <w:tc>
                <w:tcPr>
                  <w:tcW w:w="1879" w:type="dxa"/>
                  <w:tcBorders>
                    <w:tl2br w:val="nil"/>
                    <w:tr2bl w:val="nil"/>
                  </w:tcBorders>
                  <w:noWrap w:val="0"/>
                  <w:vAlign w:val="center"/>
                </w:tcPr>
                <w:p w14:paraId="1E40840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施工区域</w:t>
                  </w:r>
                </w:p>
              </w:tc>
            </w:tr>
            <w:tr w14:paraId="2439D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3F6FC84C">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743" w:type="dxa"/>
                  <w:tcBorders>
                    <w:tl2br w:val="nil"/>
                    <w:tr2bl w:val="nil"/>
                  </w:tcBorders>
                  <w:noWrap w:val="0"/>
                  <w:vAlign w:val="center"/>
                </w:tcPr>
                <w:p w14:paraId="5CEAAF63">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挖掘机</w:t>
                  </w:r>
                </w:p>
              </w:tc>
              <w:tc>
                <w:tcPr>
                  <w:tcW w:w="1237" w:type="dxa"/>
                  <w:tcBorders>
                    <w:tl2br w:val="nil"/>
                    <w:tr2bl w:val="nil"/>
                  </w:tcBorders>
                  <w:noWrap w:val="0"/>
                  <w:vAlign w:val="center"/>
                </w:tcPr>
                <w:p w14:paraId="4A1DF623">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50" w:type="dxa"/>
                  <w:tcBorders>
                    <w:tl2br w:val="nil"/>
                    <w:tr2bl w:val="nil"/>
                  </w:tcBorders>
                  <w:noWrap w:val="0"/>
                  <w:vAlign w:val="center"/>
                </w:tcPr>
                <w:p w14:paraId="3BF91317">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66-73</w:t>
                  </w:r>
                </w:p>
              </w:tc>
              <w:tc>
                <w:tcPr>
                  <w:tcW w:w="1782" w:type="dxa"/>
                  <w:tcBorders>
                    <w:tl2br w:val="nil"/>
                    <w:tr2bl w:val="nil"/>
                  </w:tcBorders>
                  <w:noWrap w:val="0"/>
                  <w:vAlign w:val="center"/>
                </w:tcPr>
                <w:p w14:paraId="5A99593F">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w:t>
                  </w:r>
                </w:p>
              </w:tc>
              <w:tc>
                <w:tcPr>
                  <w:tcW w:w="1879" w:type="dxa"/>
                  <w:tcBorders>
                    <w:tl2br w:val="nil"/>
                    <w:tr2bl w:val="nil"/>
                  </w:tcBorders>
                  <w:noWrap w:val="0"/>
                  <w:vAlign w:val="center"/>
                </w:tcPr>
                <w:p w14:paraId="1D3AE9AF">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变电站、输电线路</w:t>
                  </w:r>
                </w:p>
              </w:tc>
            </w:tr>
            <w:tr w14:paraId="14AC7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0E078F64">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743" w:type="dxa"/>
                  <w:tcBorders>
                    <w:tl2br w:val="nil"/>
                    <w:tr2bl w:val="nil"/>
                  </w:tcBorders>
                  <w:noWrap w:val="0"/>
                  <w:vAlign w:val="center"/>
                </w:tcPr>
                <w:p w14:paraId="2D4085C9">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覆带式推土机</w:t>
                  </w:r>
                </w:p>
              </w:tc>
              <w:tc>
                <w:tcPr>
                  <w:tcW w:w="1237" w:type="dxa"/>
                  <w:tcBorders>
                    <w:tl2br w:val="nil"/>
                    <w:tr2bl w:val="nil"/>
                  </w:tcBorders>
                  <w:noWrap w:val="0"/>
                  <w:vAlign w:val="center"/>
                </w:tcPr>
                <w:p w14:paraId="0B0CFF48">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50" w:type="dxa"/>
                  <w:tcBorders>
                    <w:tl2br w:val="nil"/>
                    <w:tr2bl w:val="nil"/>
                  </w:tcBorders>
                  <w:noWrap w:val="0"/>
                  <w:vAlign w:val="center"/>
                </w:tcPr>
                <w:p w14:paraId="04F8CBCE">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78-89</w:t>
                  </w:r>
                </w:p>
              </w:tc>
              <w:tc>
                <w:tcPr>
                  <w:tcW w:w="1782" w:type="dxa"/>
                  <w:tcBorders>
                    <w:tl2br w:val="nil"/>
                    <w:tr2bl w:val="nil"/>
                  </w:tcBorders>
                  <w:noWrap w:val="0"/>
                  <w:vAlign w:val="center"/>
                </w:tcPr>
                <w:p w14:paraId="05D7769D">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89</w:t>
                  </w:r>
                </w:p>
              </w:tc>
              <w:tc>
                <w:tcPr>
                  <w:tcW w:w="1879" w:type="dxa"/>
                  <w:tcBorders>
                    <w:tl2br w:val="nil"/>
                    <w:tr2bl w:val="nil"/>
                  </w:tcBorders>
                  <w:noWrap w:val="0"/>
                  <w:vAlign w:val="center"/>
                </w:tcPr>
                <w:p w14:paraId="6A49B137">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w:t>
                  </w:r>
                </w:p>
              </w:tc>
            </w:tr>
            <w:tr w14:paraId="5A075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3A6BF326">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743" w:type="dxa"/>
                  <w:tcBorders>
                    <w:tl2br w:val="nil"/>
                    <w:tr2bl w:val="nil"/>
                  </w:tcBorders>
                  <w:noWrap w:val="0"/>
                  <w:vAlign w:val="center"/>
                </w:tcPr>
                <w:p w14:paraId="4EB7692D">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 xml:space="preserve">混凝土泵车 </w:t>
                  </w:r>
                </w:p>
              </w:tc>
              <w:tc>
                <w:tcPr>
                  <w:tcW w:w="1237" w:type="dxa"/>
                  <w:tcBorders>
                    <w:tl2br w:val="nil"/>
                    <w:tr2bl w:val="nil"/>
                  </w:tcBorders>
                  <w:noWrap w:val="0"/>
                  <w:vAlign w:val="center"/>
                </w:tcPr>
                <w:p w14:paraId="4229195F">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50" w:type="dxa"/>
                  <w:tcBorders>
                    <w:tl2br w:val="nil"/>
                    <w:tr2bl w:val="nil"/>
                  </w:tcBorders>
                  <w:noWrap w:val="0"/>
                  <w:vAlign w:val="center"/>
                </w:tcPr>
                <w:p w14:paraId="58C54724">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68.8-71.8</w:t>
                  </w:r>
                </w:p>
              </w:tc>
              <w:tc>
                <w:tcPr>
                  <w:tcW w:w="1782" w:type="dxa"/>
                  <w:tcBorders>
                    <w:tl2br w:val="nil"/>
                    <w:tr2bl w:val="nil"/>
                  </w:tcBorders>
                  <w:noWrap w:val="0"/>
                  <w:vAlign w:val="center"/>
                </w:tcPr>
                <w:p w14:paraId="213940AA">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71.8</w:t>
                  </w:r>
                </w:p>
              </w:tc>
              <w:tc>
                <w:tcPr>
                  <w:tcW w:w="1879" w:type="dxa"/>
                  <w:tcBorders>
                    <w:tl2br w:val="nil"/>
                    <w:tr2bl w:val="nil"/>
                  </w:tcBorders>
                  <w:noWrap w:val="0"/>
                  <w:vAlign w:val="center"/>
                </w:tcPr>
                <w:p w14:paraId="066C1508">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变电站、输电线路</w:t>
                  </w:r>
                </w:p>
              </w:tc>
            </w:tr>
            <w:tr w14:paraId="326DF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7B6F3B35">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743" w:type="dxa"/>
                  <w:tcBorders>
                    <w:tl2br w:val="nil"/>
                    <w:tr2bl w:val="nil"/>
                  </w:tcBorders>
                  <w:noWrap w:val="0"/>
                  <w:vAlign w:val="center"/>
                </w:tcPr>
                <w:p w14:paraId="0F58FD61">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轮胎式装载机</w:t>
                  </w:r>
                </w:p>
              </w:tc>
              <w:tc>
                <w:tcPr>
                  <w:tcW w:w="1237" w:type="dxa"/>
                  <w:tcBorders>
                    <w:tl2br w:val="nil"/>
                    <w:tr2bl w:val="nil"/>
                  </w:tcBorders>
                  <w:noWrap w:val="0"/>
                  <w:vAlign w:val="center"/>
                </w:tcPr>
                <w:p w14:paraId="604E398F">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50" w:type="dxa"/>
                  <w:tcBorders>
                    <w:tl2br w:val="nil"/>
                    <w:tr2bl w:val="nil"/>
                  </w:tcBorders>
                  <w:noWrap w:val="0"/>
                  <w:vAlign w:val="center"/>
                </w:tcPr>
                <w:p w14:paraId="10F5DBB8">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70-75.2</w:t>
                  </w:r>
                </w:p>
              </w:tc>
              <w:tc>
                <w:tcPr>
                  <w:tcW w:w="1782" w:type="dxa"/>
                  <w:tcBorders>
                    <w:tl2br w:val="nil"/>
                    <w:tr2bl w:val="nil"/>
                  </w:tcBorders>
                  <w:noWrap w:val="0"/>
                  <w:vAlign w:val="center"/>
                </w:tcPr>
                <w:p w14:paraId="7098B358">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75.2</w:t>
                  </w:r>
                </w:p>
              </w:tc>
              <w:tc>
                <w:tcPr>
                  <w:tcW w:w="1879" w:type="dxa"/>
                  <w:tcBorders>
                    <w:tl2br w:val="nil"/>
                    <w:tr2bl w:val="nil"/>
                  </w:tcBorders>
                  <w:noWrap w:val="0"/>
                  <w:vAlign w:val="center"/>
                </w:tcPr>
                <w:p w14:paraId="2850D233">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w:t>
                  </w:r>
                </w:p>
              </w:tc>
            </w:tr>
            <w:tr w14:paraId="04DA3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1" w:type="dxa"/>
                  <w:tcBorders>
                    <w:tl2br w:val="nil"/>
                    <w:tr2bl w:val="nil"/>
                  </w:tcBorders>
                  <w:noWrap w:val="0"/>
                  <w:vAlign w:val="center"/>
                </w:tcPr>
                <w:p w14:paraId="27DB7582">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743" w:type="dxa"/>
                  <w:tcBorders>
                    <w:tl2br w:val="nil"/>
                    <w:tr2bl w:val="nil"/>
                  </w:tcBorders>
                  <w:noWrap w:val="0"/>
                  <w:vAlign w:val="center"/>
                </w:tcPr>
                <w:p w14:paraId="27ADA0B2">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振动压路机</w:t>
                  </w:r>
                </w:p>
              </w:tc>
              <w:tc>
                <w:tcPr>
                  <w:tcW w:w="1237" w:type="dxa"/>
                  <w:tcBorders>
                    <w:tl2br w:val="nil"/>
                    <w:tr2bl w:val="nil"/>
                  </w:tcBorders>
                  <w:noWrap w:val="0"/>
                  <w:vAlign w:val="center"/>
                </w:tcPr>
                <w:p w14:paraId="1CEDCF8A">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50" w:type="dxa"/>
                  <w:tcBorders>
                    <w:tl2br w:val="nil"/>
                    <w:tr2bl w:val="nil"/>
                  </w:tcBorders>
                  <w:noWrap w:val="0"/>
                  <w:vAlign w:val="center"/>
                </w:tcPr>
                <w:p w14:paraId="2D609011">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72~81</w:t>
                  </w:r>
                </w:p>
              </w:tc>
              <w:tc>
                <w:tcPr>
                  <w:tcW w:w="1782" w:type="dxa"/>
                  <w:tcBorders>
                    <w:tl2br w:val="nil"/>
                    <w:tr2bl w:val="nil"/>
                  </w:tcBorders>
                  <w:noWrap w:val="0"/>
                  <w:vAlign w:val="center"/>
                </w:tcPr>
                <w:p w14:paraId="16230E5E">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81</w:t>
                  </w:r>
                </w:p>
              </w:tc>
              <w:tc>
                <w:tcPr>
                  <w:tcW w:w="1879" w:type="dxa"/>
                  <w:tcBorders>
                    <w:tl2br w:val="nil"/>
                    <w:tr2bl w:val="nil"/>
                  </w:tcBorders>
                  <w:noWrap w:val="0"/>
                  <w:vAlign w:val="center"/>
                </w:tcPr>
                <w:p w14:paraId="7B1135D6">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变电站</w:t>
                  </w:r>
                </w:p>
              </w:tc>
            </w:tr>
            <w:tr w14:paraId="4EB12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62" w:type="dxa"/>
                  <w:gridSpan w:val="6"/>
                  <w:tcBorders>
                    <w:tl2br w:val="nil"/>
                    <w:tr2bl w:val="nil"/>
                  </w:tcBorders>
                  <w:noWrap w:val="0"/>
                  <w:vAlign w:val="center"/>
                </w:tcPr>
                <w:p w14:paraId="7D6CB5BE">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注：</w:t>
                  </w:r>
                  <w:r>
                    <w:rPr>
                      <w:rFonts w:hint="eastAsia" w:cs="Times New Roman"/>
                      <w:b w:val="0"/>
                      <w:bCs w:val="0"/>
                      <w:color w:val="auto"/>
                      <w:sz w:val="21"/>
                      <w:szCs w:val="21"/>
                      <w:highlight w:val="none"/>
                      <w:vertAlign w:val="baseline"/>
                      <w:lang w:val="en-US" w:eastAsia="zh-CN"/>
                    </w:rPr>
                    <w:t>①</w:t>
                  </w:r>
                  <w:r>
                    <w:rPr>
                      <w:rFonts w:hint="default" w:ascii="Times New Roman" w:hAnsi="Times New Roman" w:eastAsia="宋体" w:cs="Times New Roman"/>
                      <w:color w:val="auto"/>
                      <w:sz w:val="21"/>
                      <w:szCs w:val="21"/>
                      <w:highlight w:val="none"/>
                      <w:vertAlign w:val="baseline"/>
                      <w:lang w:val="en-US" w:eastAsia="zh-CN"/>
                    </w:rPr>
                    <w:t>仅考虑动力源为内燃机的设备；</w:t>
                  </w:r>
                  <w:r>
                    <w:rPr>
                      <w:rFonts w:hint="eastAsia" w:cs="Times New Roman"/>
                      <w:color w:val="auto"/>
                      <w:sz w:val="21"/>
                      <w:szCs w:val="21"/>
                      <w:highlight w:val="none"/>
                      <w:vertAlign w:val="baseline"/>
                      <w:lang w:val="en-US" w:eastAsia="zh-CN"/>
                    </w:rPr>
                    <w:t>②</w:t>
                  </w:r>
                  <w:r>
                    <w:rPr>
                      <w:rFonts w:hint="default" w:ascii="Times New Roman" w:hAnsi="Times New Roman" w:eastAsia="宋体" w:cs="Times New Roman"/>
                      <w:color w:val="auto"/>
                      <w:sz w:val="21"/>
                      <w:szCs w:val="21"/>
                      <w:highlight w:val="none"/>
                      <w:vertAlign w:val="baseline"/>
                      <w:lang w:val="en-US" w:eastAsia="zh-CN"/>
                    </w:rPr>
                    <w:t>常见施工设备噪声源位置与操作者位置距离在0.5m-3m，本次预测噪声源位置与操作者位置按5m计，源强按最大值计，预测结果相对保守。</w:t>
                  </w:r>
                </w:p>
              </w:tc>
            </w:tr>
          </w:tbl>
          <w:p w14:paraId="1747471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b/>
                <w:bCs/>
                <w:color w:val="auto"/>
                <w:sz w:val="24"/>
                <w:highlight w:val="none"/>
              </w:rPr>
              <w:t>（1）变电站工程</w:t>
            </w:r>
          </w:p>
          <w:p w14:paraId="09E299B5">
            <w:pPr>
              <w:keepNext w:val="0"/>
              <w:keepLines w:val="0"/>
              <w:pageBreakBefore w:val="0"/>
              <w:widowControl w:val="0"/>
              <w:kinsoku/>
              <w:wordWrap/>
              <w:overflowPunct/>
              <w:topLinePunct w:val="0"/>
              <w:autoSpaceDE/>
              <w:autoSpaceDN w:val="0"/>
              <w:bidi w:val="0"/>
              <w:adjustRightInd/>
              <w:snapToGrid/>
              <w:spacing w:line="360" w:lineRule="auto"/>
              <w:ind w:firstLine="480" w:firstLineChars="200"/>
              <w:jc w:val="left"/>
              <w:textAlignment w:val="baseline"/>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①预测模式</w:t>
            </w:r>
          </w:p>
          <w:p w14:paraId="57F1463E">
            <w:pPr>
              <w:spacing w:line="360" w:lineRule="auto"/>
              <w:ind w:firstLine="480" w:firstLineChars="200"/>
              <w:jc w:val="left"/>
              <w:rPr>
                <w:rFonts w:hint="default"/>
                <w:color w:val="auto"/>
                <w:sz w:val="24"/>
                <w:highlight w:val="none"/>
              </w:rPr>
            </w:pPr>
            <w:r>
              <w:rPr>
                <w:rFonts w:hint="default"/>
                <w:color w:val="auto"/>
                <w:sz w:val="24"/>
                <w:highlight w:val="none"/>
                <w:lang w:val="en-US" w:eastAsia="zh-CN"/>
              </w:rPr>
              <w:t>施工机械的噪声可视为点声源处理，根据点声源噪声衰减模式，估算距离声源不同距离处的噪声值，预测模式采用《环境影响评价技术导则 声环境》（HJ2.4-2021）中工业噪声室外点声源预测模式，计算时不考虑地面效应引起的附加隔声量和空气吸收引起的衰减量。</w:t>
            </w:r>
          </w:p>
          <w:p w14:paraId="12A444AA">
            <w:pPr>
              <w:spacing w:line="360" w:lineRule="auto"/>
              <w:ind w:firstLine="480" w:firstLineChars="200"/>
              <w:jc w:val="left"/>
              <w:rPr>
                <w:rFonts w:hint="default"/>
                <w:color w:val="auto"/>
                <w:sz w:val="24"/>
                <w:highlight w:val="none"/>
              </w:rPr>
            </w:pPr>
            <w:r>
              <w:rPr>
                <w:rFonts w:hint="default"/>
                <w:color w:val="auto"/>
                <w:sz w:val="24"/>
                <w:highlight w:val="none"/>
                <w:lang w:val="en-US" w:eastAsia="zh-CN"/>
              </w:rPr>
              <w:t>点声源随传播衰减按下式计算：</w:t>
            </w:r>
          </w:p>
          <w:p w14:paraId="19F49FF8">
            <w:pPr>
              <w:spacing w:line="360" w:lineRule="auto"/>
              <w:jc w:val="center"/>
              <w:rPr>
                <w:color w:val="auto"/>
                <w:sz w:val="24"/>
                <w:highlight w:val="none"/>
              </w:rPr>
            </w:pPr>
            <w:r>
              <w:rPr>
                <w:color w:val="auto"/>
                <w:sz w:val="24"/>
                <w:highlight w:val="none"/>
              </w:rPr>
              <w:drawing>
                <wp:inline distT="0" distB="0" distL="114300" distR="114300">
                  <wp:extent cx="2336800" cy="334645"/>
                  <wp:effectExtent l="0" t="0" r="6350" b="8255"/>
                  <wp:docPr id="32" name="图片 9" descr="1597216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1597216138(1)"/>
                          <pic:cNvPicPr>
                            <a:picLocks noChangeAspect="1"/>
                          </pic:cNvPicPr>
                        </pic:nvPicPr>
                        <pic:blipFill>
                          <a:blip r:embed="rId8"/>
                          <a:stretch>
                            <a:fillRect/>
                          </a:stretch>
                        </pic:blipFill>
                        <pic:spPr>
                          <a:xfrm>
                            <a:off x="0" y="0"/>
                            <a:ext cx="2336800" cy="334645"/>
                          </a:xfrm>
                          <a:prstGeom prst="rect">
                            <a:avLst/>
                          </a:prstGeom>
                          <a:noFill/>
                          <a:ln>
                            <a:noFill/>
                          </a:ln>
                        </pic:spPr>
                      </pic:pic>
                    </a:graphicData>
                  </a:graphic>
                </wp:inline>
              </w:drawing>
            </w:r>
          </w:p>
          <w:p w14:paraId="0378809E">
            <w:pPr>
              <w:spacing w:line="360" w:lineRule="auto"/>
              <w:ind w:firstLine="480" w:firstLineChars="200"/>
              <w:rPr>
                <w:color w:val="auto"/>
                <w:sz w:val="24"/>
                <w:highlight w:val="none"/>
              </w:rPr>
            </w:pPr>
            <w:r>
              <w:rPr>
                <w:color w:val="auto"/>
                <w:sz w:val="24"/>
                <w:highlight w:val="none"/>
              </w:rPr>
              <w:t>式中：Lp(r)---预测点的声压级，dB；</w:t>
            </w:r>
          </w:p>
          <w:p w14:paraId="5EB6C019">
            <w:pPr>
              <w:spacing w:line="360" w:lineRule="auto"/>
              <w:ind w:firstLine="1200" w:firstLineChars="500"/>
              <w:rPr>
                <w:color w:val="auto"/>
                <w:sz w:val="24"/>
                <w:highlight w:val="none"/>
              </w:rPr>
            </w:pPr>
            <w:r>
              <w:rPr>
                <w:color w:val="auto"/>
                <w:sz w:val="24"/>
                <w:highlight w:val="none"/>
              </w:rPr>
              <w:t>Lp(r</w:t>
            </w:r>
            <w:r>
              <w:rPr>
                <w:color w:val="auto"/>
                <w:sz w:val="24"/>
                <w:highlight w:val="none"/>
                <w:vertAlign w:val="subscript"/>
              </w:rPr>
              <w:t>0</w:t>
            </w:r>
            <w:r>
              <w:rPr>
                <w:color w:val="auto"/>
                <w:sz w:val="24"/>
                <w:highlight w:val="none"/>
              </w:rPr>
              <w:t>)---参考位置r</w:t>
            </w:r>
            <w:r>
              <w:rPr>
                <w:color w:val="auto"/>
                <w:sz w:val="24"/>
                <w:highlight w:val="none"/>
                <w:vertAlign w:val="subscript"/>
              </w:rPr>
              <w:t>0</w:t>
            </w:r>
            <w:r>
              <w:rPr>
                <w:color w:val="auto"/>
                <w:sz w:val="24"/>
                <w:highlight w:val="none"/>
              </w:rPr>
              <w:t>处的声压级，dB；</w:t>
            </w:r>
          </w:p>
          <w:p w14:paraId="79F2E29C">
            <w:pPr>
              <w:spacing w:line="360" w:lineRule="auto"/>
              <w:ind w:firstLine="1200" w:firstLineChars="500"/>
              <w:rPr>
                <w:color w:val="auto"/>
                <w:sz w:val="24"/>
                <w:highlight w:val="none"/>
              </w:rPr>
            </w:pPr>
            <w:r>
              <w:rPr>
                <w:color w:val="auto"/>
                <w:sz w:val="24"/>
                <w:highlight w:val="none"/>
              </w:rPr>
              <w:t>r---预测点</w:t>
            </w:r>
            <w:r>
              <w:rPr>
                <w:rFonts w:hint="eastAsia"/>
                <w:color w:val="auto"/>
                <w:sz w:val="24"/>
                <w:highlight w:val="none"/>
                <w:lang w:val="en-US" w:eastAsia="zh-CN"/>
              </w:rPr>
              <w:t>距</w:t>
            </w:r>
            <w:r>
              <w:rPr>
                <w:color w:val="auto"/>
                <w:sz w:val="24"/>
                <w:highlight w:val="none"/>
              </w:rPr>
              <w:t>声源的距离，m；</w:t>
            </w:r>
          </w:p>
          <w:p w14:paraId="0ADD8086">
            <w:pPr>
              <w:spacing w:line="360" w:lineRule="auto"/>
              <w:ind w:firstLine="1200" w:firstLineChars="500"/>
              <w:rPr>
                <w:color w:val="auto"/>
                <w:sz w:val="24"/>
                <w:highlight w:val="none"/>
              </w:rPr>
            </w:pPr>
            <w:r>
              <w:rPr>
                <w:color w:val="auto"/>
                <w:sz w:val="24"/>
                <w:highlight w:val="none"/>
              </w:rPr>
              <w:t>r</w:t>
            </w:r>
            <w:r>
              <w:rPr>
                <w:color w:val="auto"/>
                <w:sz w:val="24"/>
                <w:highlight w:val="none"/>
                <w:vertAlign w:val="subscript"/>
              </w:rPr>
              <w:t>0</w:t>
            </w:r>
            <w:r>
              <w:rPr>
                <w:color w:val="auto"/>
                <w:sz w:val="24"/>
                <w:highlight w:val="none"/>
              </w:rPr>
              <w:t>---参考位置距声源的距离，m；</w:t>
            </w:r>
          </w:p>
          <w:p w14:paraId="2A422C31">
            <w:pPr>
              <w:spacing w:line="360" w:lineRule="auto"/>
              <w:ind w:firstLine="1200" w:firstLineChars="500"/>
              <w:rPr>
                <w:color w:val="auto"/>
                <w:sz w:val="24"/>
                <w:highlight w:val="none"/>
              </w:rPr>
            </w:pPr>
            <w:r>
              <w:rPr>
                <w:rFonts w:ascii="Cambria Math" w:hAnsi="Cambria Math" w:cs="Cambria Math"/>
                <w:color w:val="auto"/>
                <w:sz w:val="24"/>
                <w:highlight w:val="none"/>
              </w:rPr>
              <w:t>△</w:t>
            </w:r>
            <w:r>
              <w:rPr>
                <w:color w:val="auto"/>
                <w:sz w:val="24"/>
                <w:highlight w:val="none"/>
              </w:rPr>
              <w:t>L---各种因素引起的声衰减量（如遮挡物，空气吸收，地面吸收等引起的声衰减）</w:t>
            </w:r>
            <w:r>
              <w:rPr>
                <w:rFonts w:hint="eastAsia"/>
                <w:color w:val="auto"/>
                <w:sz w:val="24"/>
                <w:highlight w:val="none"/>
                <w:lang w:eastAsia="zh-CN"/>
              </w:rPr>
              <w:t>，</w:t>
            </w:r>
            <w:r>
              <w:rPr>
                <w:rFonts w:hint="eastAsia" w:ascii="Times New Roman" w:hAnsi="Times New Roman" w:eastAsia="宋体" w:cs="Times New Roman"/>
                <w:color w:val="auto"/>
                <w:sz w:val="24"/>
                <w:highlight w:val="none"/>
                <w:lang w:val="en-US" w:eastAsia="zh-CN"/>
              </w:rPr>
              <w:t>本项目主要为变电站围墙</w:t>
            </w:r>
            <w:r>
              <w:rPr>
                <w:rFonts w:hint="eastAsia" w:eastAsia="宋体" w:cs="Times New Roman"/>
                <w:color w:val="auto"/>
                <w:sz w:val="24"/>
                <w:highlight w:val="none"/>
                <w:lang w:val="en-US" w:eastAsia="zh-CN"/>
              </w:rPr>
              <w:t>及施工围挡</w:t>
            </w:r>
            <w:r>
              <w:rPr>
                <w:rFonts w:hint="eastAsia" w:ascii="Times New Roman" w:hAnsi="Times New Roman" w:eastAsia="宋体" w:cs="Times New Roman"/>
                <w:color w:val="auto"/>
                <w:sz w:val="24"/>
                <w:highlight w:val="none"/>
                <w:lang w:val="en-US" w:eastAsia="zh-CN"/>
              </w:rPr>
              <w:t>引起的衰减，</w:t>
            </w:r>
            <w:r>
              <w:rPr>
                <w:rFonts w:hint="eastAsia" w:cs="Times New Roman"/>
                <w:color w:val="auto"/>
                <w:sz w:val="24"/>
                <w:highlight w:val="none"/>
                <w:lang w:val="en-US" w:eastAsia="zh-CN"/>
              </w:rPr>
              <w:t>本次</w:t>
            </w:r>
            <w:r>
              <w:rPr>
                <w:rFonts w:hint="eastAsia" w:eastAsia="宋体" w:cs="Times New Roman"/>
                <w:color w:val="auto"/>
                <w:sz w:val="24"/>
                <w:highlight w:val="none"/>
                <w:lang w:val="en-US" w:eastAsia="zh-CN"/>
              </w:rPr>
              <w:t>按</w:t>
            </w:r>
            <w:r>
              <w:rPr>
                <w:rFonts w:hint="eastAsia"/>
                <w:color w:val="auto"/>
                <w:sz w:val="24"/>
                <w:highlight w:val="none"/>
                <w:lang w:val="en-US" w:eastAsia="zh-CN"/>
              </w:rPr>
              <w:t>5</w:t>
            </w:r>
            <w:r>
              <w:rPr>
                <w:color w:val="auto"/>
                <w:sz w:val="24"/>
                <w:highlight w:val="none"/>
              </w:rPr>
              <w:t>dB(A)</w:t>
            </w:r>
            <w:r>
              <w:rPr>
                <w:rFonts w:hint="eastAsia" w:ascii="Times New Roman" w:hAnsi="Times New Roman" w:eastAsia="宋体" w:cs="Times New Roman"/>
                <w:color w:val="auto"/>
                <w:sz w:val="24"/>
                <w:highlight w:val="none"/>
                <w:lang w:val="en-US" w:eastAsia="zh-CN"/>
              </w:rPr>
              <w:t>计</w:t>
            </w:r>
            <w:r>
              <w:rPr>
                <w:color w:val="auto"/>
                <w:sz w:val="24"/>
                <w:highlight w:val="none"/>
              </w:rPr>
              <w:t>。</w:t>
            </w:r>
          </w:p>
          <w:p w14:paraId="0ECD1B17">
            <w:pPr>
              <w:spacing w:line="360" w:lineRule="auto"/>
              <w:ind w:firstLine="480" w:firstLineChars="200"/>
              <w:rPr>
                <w:rFonts w:hint="eastAsia"/>
                <w:color w:val="auto"/>
                <w:sz w:val="24"/>
                <w:highlight w:val="none"/>
                <w:lang w:eastAsia="zh-CN"/>
              </w:rPr>
            </w:pPr>
            <w:r>
              <w:rPr>
                <w:rFonts w:hint="eastAsia" w:ascii="宋体" w:hAnsi="宋体" w:cs="宋体"/>
                <w:color w:val="auto"/>
                <w:sz w:val="24"/>
                <w:highlight w:val="none"/>
                <w:lang w:val="en-US" w:eastAsia="zh-CN"/>
              </w:rPr>
              <w:t>②</w:t>
            </w:r>
            <w:r>
              <w:rPr>
                <w:rFonts w:hint="eastAsia"/>
                <w:color w:val="auto"/>
                <w:sz w:val="24"/>
                <w:highlight w:val="none"/>
                <w:lang w:eastAsia="zh-CN"/>
              </w:rPr>
              <w:t>预测内容</w:t>
            </w:r>
          </w:p>
          <w:p w14:paraId="35DCBF43">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施工期噪声影响预测内容为预测施工单台设备噪声声源水平衰减影响值。</w:t>
            </w:r>
            <w:r>
              <w:rPr>
                <w:color w:val="auto"/>
                <w:sz w:val="24"/>
                <w:highlight w:val="none"/>
              </w:rPr>
              <w:t>常见施工设备噪声源强</w:t>
            </w:r>
            <w:r>
              <w:rPr>
                <w:rFonts w:hint="eastAsia"/>
                <w:color w:val="auto"/>
                <w:sz w:val="24"/>
                <w:highlight w:val="none"/>
                <w:lang w:val="en-US" w:eastAsia="zh-CN"/>
              </w:rPr>
              <w:t>不同距离声压级</w:t>
            </w:r>
            <w:r>
              <w:rPr>
                <w:color w:val="auto"/>
                <w:sz w:val="24"/>
                <w:highlight w:val="none"/>
              </w:rPr>
              <w:t>见表4-</w:t>
            </w:r>
            <w:r>
              <w:rPr>
                <w:rFonts w:hint="eastAsia"/>
                <w:color w:val="auto"/>
                <w:sz w:val="24"/>
                <w:highlight w:val="none"/>
                <w:lang w:val="en-US" w:eastAsia="zh-CN"/>
              </w:rPr>
              <w:t>2</w:t>
            </w:r>
            <w:r>
              <w:rPr>
                <w:color w:val="auto"/>
                <w:sz w:val="24"/>
                <w:highlight w:val="none"/>
              </w:rPr>
              <w:t>所示。</w:t>
            </w:r>
            <w:r>
              <w:rPr>
                <w:rFonts w:hint="default" w:ascii="Times New Roman" w:hAnsi="Times New Roman" w:eastAsia="宋体" w:cs="Times New Roman"/>
                <w:color w:val="auto"/>
                <w:kern w:val="0"/>
                <w:sz w:val="24"/>
                <w:szCs w:val="24"/>
                <w:highlight w:val="none"/>
                <w:lang w:val="en-US" w:eastAsia="zh-CN" w:bidi="ar"/>
              </w:rPr>
              <w:t xml:space="preserve"> </w:t>
            </w:r>
          </w:p>
          <w:p w14:paraId="7F3EDA5B">
            <w:pPr>
              <w:keepNext w:val="0"/>
              <w:keepLines w:val="0"/>
              <w:widowControl/>
              <w:suppressLineNumbers w:val="0"/>
              <w:spacing w:line="360" w:lineRule="auto"/>
              <w:jc w:val="right"/>
              <w:rPr>
                <w:rFonts w:hint="default" w:ascii="Times New Roman" w:hAnsi="Times New Roman" w:eastAsia="黑体" w:cs="Times New Roman"/>
                <w:b/>
                <w:bCs/>
                <w:color w:val="auto"/>
                <w:kern w:val="0"/>
                <w:sz w:val="24"/>
                <w:szCs w:val="24"/>
                <w:highlight w:val="none"/>
                <w:lang w:val="en-US" w:eastAsia="zh-CN" w:bidi="ar"/>
              </w:rPr>
            </w:pPr>
            <w:r>
              <w:rPr>
                <w:rFonts w:hint="default" w:ascii="Times New Roman" w:hAnsi="Times New Roman" w:eastAsia="黑体" w:cs="Times New Roman"/>
                <w:b/>
                <w:bCs/>
                <w:color w:val="auto"/>
                <w:kern w:val="0"/>
                <w:sz w:val="24"/>
                <w:szCs w:val="24"/>
                <w:highlight w:val="none"/>
                <w:lang w:val="en-US" w:eastAsia="zh-CN" w:bidi="ar"/>
              </w:rPr>
              <w:t>表</w:t>
            </w:r>
            <w:r>
              <w:rPr>
                <w:rFonts w:hint="eastAsia" w:ascii="Times New Roman" w:hAnsi="Times New Roman" w:eastAsia="黑体" w:cs="Times New Roman"/>
                <w:b/>
                <w:bCs/>
                <w:color w:val="auto"/>
                <w:kern w:val="0"/>
                <w:sz w:val="24"/>
                <w:szCs w:val="24"/>
                <w:highlight w:val="none"/>
                <w:lang w:val="en-US" w:eastAsia="zh-CN" w:bidi="ar"/>
              </w:rPr>
              <w:t>4</w:t>
            </w:r>
            <w:r>
              <w:rPr>
                <w:rFonts w:hint="default" w:ascii="Times New Roman" w:hAnsi="Times New Roman" w:eastAsia="黑体" w:cs="Times New Roman"/>
                <w:b/>
                <w:bCs/>
                <w:color w:val="auto"/>
                <w:kern w:val="0"/>
                <w:sz w:val="24"/>
                <w:szCs w:val="24"/>
                <w:highlight w:val="none"/>
                <w:lang w:val="en-US" w:eastAsia="zh-CN" w:bidi="ar"/>
              </w:rPr>
              <w:t xml:space="preserve">-2 </w:t>
            </w:r>
            <w:r>
              <w:rPr>
                <w:rFonts w:hint="eastAsia" w:ascii="Times New Roman" w:hAnsi="Times New Roman" w:eastAsia="黑体" w:cs="Times New Roman"/>
                <w:b/>
                <w:bCs/>
                <w:color w:val="auto"/>
                <w:kern w:val="0"/>
                <w:sz w:val="24"/>
                <w:szCs w:val="24"/>
                <w:highlight w:val="none"/>
                <w:lang w:val="en-US" w:eastAsia="zh-CN" w:bidi="ar"/>
              </w:rPr>
              <w:t xml:space="preserve"> </w:t>
            </w:r>
            <w:r>
              <w:rPr>
                <w:rFonts w:hint="default" w:ascii="Times New Roman" w:hAnsi="Times New Roman" w:eastAsia="黑体" w:cs="Times New Roman"/>
                <w:b/>
                <w:bCs/>
                <w:color w:val="auto"/>
                <w:kern w:val="0"/>
                <w:sz w:val="24"/>
                <w:szCs w:val="24"/>
                <w:highlight w:val="none"/>
                <w:lang w:val="en-US" w:eastAsia="zh-CN" w:bidi="ar"/>
              </w:rPr>
              <w:t xml:space="preserve">单台施工设备噪声源强不同距离声压级 </w:t>
            </w:r>
            <w:r>
              <w:rPr>
                <w:rFonts w:hint="eastAsia" w:ascii="Times New Roman" w:hAnsi="Times New Roman" w:eastAsia="黑体" w:cs="Times New Roman"/>
                <w:b/>
                <w:bCs/>
                <w:color w:val="auto"/>
                <w:kern w:val="0"/>
                <w:sz w:val="24"/>
                <w:szCs w:val="24"/>
                <w:highlight w:val="none"/>
                <w:lang w:val="en-US" w:eastAsia="zh-CN" w:bidi="ar"/>
              </w:rPr>
              <w:t xml:space="preserve">    </w:t>
            </w:r>
            <w:r>
              <w:rPr>
                <w:rFonts w:hint="default" w:ascii="Times New Roman" w:hAnsi="Times New Roman" w:eastAsia="黑体" w:cs="Times New Roman"/>
                <w:b w:val="0"/>
                <w:bCs w:val="0"/>
                <w:color w:val="auto"/>
                <w:kern w:val="0"/>
                <w:sz w:val="24"/>
                <w:szCs w:val="24"/>
                <w:highlight w:val="none"/>
                <w:lang w:val="en-US" w:eastAsia="zh-CN" w:bidi="ar"/>
              </w:rPr>
              <w:t>单位：dB(A)</w:t>
            </w:r>
          </w:p>
          <w:tbl>
            <w:tblPr>
              <w:tblStyle w:val="29"/>
              <w:tblW w:w="83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765"/>
              <w:gridCol w:w="750"/>
              <w:gridCol w:w="690"/>
              <w:gridCol w:w="702"/>
              <w:gridCol w:w="615"/>
              <w:gridCol w:w="677"/>
              <w:gridCol w:w="741"/>
              <w:gridCol w:w="712"/>
              <w:gridCol w:w="663"/>
            </w:tblGrid>
            <w:tr w14:paraId="7876E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074" w:type="dxa"/>
                  <w:vMerge w:val="restart"/>
                  <w:tcBorders>
                    <w:tl2br w:val="nil"/>
                    <w:tr2bl w:val="nil"/>
                  </w:tcBorders>
                  <w:noWrap w:val="0"/>
                  <w:vAlign w:val="center"/>
                </w:tcPr>
                <w:p w14:paraId="7E5E60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b/>
                      <w:bCs/>
                      <w:color w:val="auto"/>
                      <w:kern w:val="0"/>
                      <w:sz w:val="21"/>
                      <w:szCs w:val="21"/>
                      <w:highlight w:val="none"/>
                      <w:vertAlign w:val="baseline"/>
                      <w:lang w:val="en-US" w:eastAsia="zh-CN" w:bidi="ar"/>
                    </w:rPr>
                    <w:t>施工设备名称</w:t>
                  </w:r>
                </w:p>
              </w:tc>
              <w:tc>
                <w:tcPr>
                  <w:tcW w:w="6315" w:type="dxa"/>
                  <w:gridSpan w:val="9"/>
                  <w:tcBorders>
                    <w:tl2br w:val="nil"/>
                    <w:tr2bl w:val="nil"/>
                  </w:tcBorders>
                  <w:noWrap w:val="0"/>
                  <w:vAlign w:val="center"/>
                </w:tcPr>
                <w:p w14:paraId="6017A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与施工点距离（m）</w:t>
                  </w:r>
                </w:p>
              </w:tc>
            </w:tr>
            <w:tr w14:paraId="14B80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Merge w:val="continue"/>
                  <w:tcBorders>
                    <w:tl2br w:val="nil"/>
                    <w:tr2bl w:val="nil"/>
                  </w:tcBorders>
                  <w:noWrap w:val="0"/>
                  <w:vAlign w:val="center"/>
                </w:tcPr>
                <w:p w14:paraId="2EC3E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p>
              </w:tc>
              <w:tc>
                <w:tcPr>
                  <w:tcW w:w="765" w:type="dxa"/>
                  <w:tcBorders>
                    <w:tl2br w:val="nil"/>
                    <w:tr2bl w:val="nil"/>
                  </w:tcBorders>
                  <w:noWrap w:val="0"/>
                  <w:vAlign w:val="center"/>
                </w:tcPr>
                <w:p w14:paraId="6F1DBA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5</w:t>
                  </w:r>
                </w:p>
              </w:tc>
              <w:tc>
                <w:tcPr>
                  <w:tcW w:w="750" w:type="dxa"/>
                  <w:tcBorders>
                    <w:tl2br w:val="nil"/>
                    <w:tr2bl w:val="nil"/>
                  </w:tcBorders>
                  <w:noWrap w:val="0"/>
                  <w:vAlign w:val="center"/>
                </w:tcPr>
                <w:p w14:paraId="0318B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kern w:val="0"/>
                      <w:sz w:val="21"/>
                      <w:szCs w:val="21"/>
                      <w:highlight w:val="none"/>
                      <w:vertAlign w:val="baseline"/>
                      <w:lang w:val="en-US" w:eastAsia="zh-CN" w:bidi="ar"/>
                    </w:rPr>
                  </w:pPr>
                  <w:r>
                    <w:rPr>
                      <w:rFonts w:hint="eastAsia" w:ascii="Times New Roman" w:hAnsi="Times New Roman" w:cs="Times New Roman"/>
                      <w:b/>
                      <w:bCs/>
                      <w:color w:val="auto"/>
                      <w:kern w:val="0"/>
                      <w:sz w:val="21"/>
                      <w:szCs w:val="21"/>
                      <w:highlight w:val="none"/>
                      <w:vertAlign w:val="baseline"/>
                      <w:lang w:val="en-US" w:eastAsia="zh-CN" w:bidi="ar"/>
                    </w:rPr>
                    <w:t>10</w:t>
                  </w:r>
                </w:p>
              </w:tc>
              <w:tc>
                <w:tcPr>
                  <w:tcW w:w="690" w:type="dxa"/>
                  <w:tcBorders>
                    <w:tl2br w:val="nil"/>
                    <w:tr2bl w:val="nil"/>
                  </w:tcBorders>
                  <w:noWrap w:val="0"/>
                  <w:vAlign w:val="center"/>
                </w:tcPr>
                <w:p w14:paraId="51DFE9D4">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cs="Times New Roman"/>
                      <w:b/>
                      <w:bCs/>
                      <w:color w:val="auto"/>
                      <w:kern w:val="2"/>
                      <w:sz w:val="21"/>
                      <w:szCs w:val="21"/>
                      <w:highlight w:val="none"/>
                      <w:vertAlign w:val="baseline"/>
                      <w:lang w:val="en-US" w:eastAsia="zh-CN" w:bidi="ar-SA"/>
                    </w:rPr>
                    <w:t>20</w:t>
                  </w:r>
                </w:p>
              </w:tc>
              <w:tc>
                <w:tcPr>
                  <w:tcW w:w="702" w:type="dxa"/>
                  <w:tcBorders>
                    <w:tl2br w:val="nil"/>
                    <w:tr2bl w:val="nil"/>
                  </w:tcBorders>
                  <w:noWrap w:val="0"/>
                  <w:vAlign w:val="center"/>
                </w:tcPr>
                <w:p w14:paraId="75A19D50">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40</w:t>
                  </w:r>
                </w:p>
              </w:tc>
              <w:tc>
                <w:tcPr>
                  <w:tcW w:w="615" w:type="dxa"/>
                  <w:tcBorders>
                    <w:tl2br w:val="nil"/>
                    <w:tr2bl w:val="nil"/>
                  </w:tcBorders>
                  <w:noWrap w:val="0"/>
                  <w:vAlign w:val="center"/>
                </w:tcPr>
                <w:p w14:paraId="0EFE04DA">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50</w:t>
                  </w:r>
                </w:p>
              </w:tc>
              <w:tc>
                <w:tcPr>
                  <w:tcW w:w="677" w:type="dxa"/>
                  <w:tcBorders>
                    <w:tl2br w:val="nil"/>
                    <w:tr2bl w:val="nil"/>
                  </w:tcBorders>
                  <w:noWrap w:val="0"/>
                  <w:vAlign w:val="center"/>
                </w:tcPr>
                <w:p w14:paraId="5CF0D96B">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100</w:t>
                  </w:r>
                </w:p>
              </w:tc>
              <w:tc>
                <w:tcPr>
                  <w:tcW w:w="741" w:type="dxa"/>
                  <w:tcBorders>
                    <w:tl2br w:val="nil"/>
                    <w:tr2bl w:val="nil"/>
                  </w:tcBorders>
                  <w:noWrap w:val="0"/>
                  <w:vAlign w:val="center"/>
                </w:tcPr>
                <w:p w14:paraId="5BE1E9B1">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150</w:t>
                  </w:r>
                </w:p>
              </w:tc>
              <w:tc>
                <w:tcPr>
                  <w:tcW w:w="712" w:type="dxa"/>
                  <w:tcBorders>
                    <w:tl2br w:val="nil"/>
                    <w:tr2bl w:val="nil"/>
                  </w:tcBorders>
                  <w:noWrap w:val="0"/>
                  <w:vAlign w:val="center"/>
                </w:tcPr>
                <w:p w14:paraId="516B6542">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200</w:t>
                  </w:r>
                </w:p>
              </w:tc>
              <w:tc>
                <w:tcPr>
                  <w:tcW w:w="663" w:type="dxa"/>
                  <w:tcBorders>
                    <w:tl2br w:val="nil"/>
                    <w:tr2bl w:val="nil"/>
                  </w:tcBorders>
                  <w:noWrap w:val="0"/>
                  <w:vAlign w:val="center"/>
                </w:tcPr>
                <w:p w14:paraId="293E2D77">
                  <w:pPr>
                    <w:pStyle w:val="12"/>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b/>
                      <w:bCs/>
                      <w:color w:val="auto"/>
                      <w:sz w:val="21"/>
                      <w:szCs w:val="21"/>
                      <w:highlight w:val="none"/>
                      <w:vertAlign w:val="baseline"/>
                      <w:lang w:val="en-US" w:eastAsia="zh-CN"/>
                    </w:rPr>
                    <w:t>250</w:t>
                  </w:r>
                </w:p>
              </w:tc>
            </w:tr>
            <w:tr w14:paraId="45D91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nil"/>
                    <w:tr2bl w:val="nil"/>
                  </w:tcBorders>
                  <w:noWrap w:val="0"/>
                  <w:vAlign w:val="center"/>
                </w:tcPr>
                <w:p w14:paraId="336D35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cs="Times New Roman"/>
                      <w:color w:val="auto"/>
                      <w:kern w:val="0"/>
                      <w:sz w:val="21"/>
                      <w:szCs w:val="21"/>
                      <w:highlight w:val="none"/>
                      <w:vertAlign w:val="baseline"/>
                      <w:lang w:val="en-US" w:eastAsia="zh-CN" w:bidi="ar"/>
                    </w:rPr>
                    <w:t>挖掘机</w:t>
                  </w:r>
                </w:p>
              </w:tc>
              <w:tc>
                <w:tcPr>
                  <w:tcW w:w="765" w:type="dxa"/>
                  <w:tcBorders>
                    <w:tl2br w:val="nil"/>
                    <w:tr2bl w:val="nil"/>
                  </w:tcBorders>
                  <w:noWrap w:val="0"/>
                  <w:vAlign w:val="center"/>
                </w:tcPr>
                <w:p w14:paraId="5CDFA7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73</w:t>
                  </w:r>
                </w:p>
              </w:tc>
              <w:tc>
                <w:tcPr>
                  <w:tcW w:w="750" w:type="dxa"/>
                  <w:tcBorders>
                    <w:tl2br w:val="nil"/>
                    <w:tr2bl w:val="nil"/>
                  </w:tcBorders>
                  <w:noWrap w:val="0"/>
                  <w:vAlign w:val="center"/>
                </w:tcPr>
                <w:p w14:paraId="2F7856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67</w:t>
                  </w:r>
                </w:p>
              </w:tc>
              <w:tc>
                <w:tcPr>
                  <w:tcW w:w="690" w:type="dxa"/>
                  <w:tcBorders>
                    <w:tl2br w:val="nil"/>
                    <w:tr2bl w:val="nil"/>
                  </w:tcBorders>
                  <w:noWrap w:val="0"/>
                  <w:vAlign w:val="center"/>
                </w:tcPr>
                <w:p w14:paraId="27F57D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61</w:t>
                  </w:r>
                </w:p>
              </w:tc>
              <w:tc>
                <w:tcPr>
                  <w:tcW w:w="702" w:type="dxa"/>
                  <w:tcBorders>
                    <w:tl2br w:val="nil"/>
                    <w:tr2bl w:val="nil"/>
                  </w:tcBorders>
                  <w:noWrap w:val="0"/>
                  <w:vAlign w:val="center"/>
                </w:tcPr>
                <w:p w14:paraId="34F297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55</w:t>
                  </w:r>
                </w:p>
              </w:tc>
              <w:tc>
                <w:tcPr>
                  <w:tcW w:w="615" w:type="dxa"/>
                  <w:tcBorders>
                    <w:tl2br w:val="nil"/>
                    <w:tr2bl w:val="nil"/>
                  </w:tcBorders>
                  <w:noWrap w:val="0"/>
                  <w:vAlign w:val="center"/>
                </w:tcPr>
                <w:p w14:paraId="041A2C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53</w:t>
                  </w:r>
                </w:p>
              </w:tc>
              <w:tc>
                <w:tcPr>
                  <w:tcW w:w="677" w:type="dxa"/>
                  <w:tcBorders>
                    <w:tl2br w:val="nil"/>
                    <w:tr2bl w:val="nil"/>
                  </w:tcBorders>
                  <w:noWrap w:val="0"/>
                  <w:vAlign w:val="center"/>
                </w:tcPr>
                <w:p w14:paraId="7C5333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47</w:t>
                  </w:r>
                </w:p>
              </w:tc>
              <w:tc>
                <w:tcPr>
                  <w:tcW w:w="741" w:type="dxa"/>
                  <w:tcBorders>
                    <w:tl2br w:val="nil"/>
                    <w:tr2bl w:val="nil"/>
                  </w:tcBorders>
                  <w:noWrap w:val="0"/>
                  <w:vAlign w:val="center"/>
                </w:tcPr>
                <w:p w14:paraId="0D45D6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43</w:t>
                  </w:r>
                </w:p>
              </w:tc>
              <w:tc>
                <w:tcPr>
                  <w:tcW w:w="712" w:type="dxa"/>
                  <w:tcBorders>
                    <w:tl2br w:val="nil"/>
                    <w:tr2bl w:val="nil"/>
                  </w:tcBorders>
                  <w:noWrap w:val="0"/>
                  <w:vAlign w:val="center"/>
                </w:tcPr>
                <w:p w14:paraId="6FBCD0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41</w:t>
                  </w:r>
                </w:p>
              </w:tc>
              <w:tc>
                <w:tcPr>
                  <w:tcW w:w="663" w:type="dxa"/>
                  <w:tcBorders>
                    <w:tl2br w:val="nil"/>
                    <w:tr2bl w:val="nil"/>
                  </w:tcBorders>
                  <w:noWrap w:val="0"/>
                  <w:vAlign w:val="center"/>
                </w:tcPr>
                <w:p w14:paraId="5D6C6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39</w:t>
                  </w:r>
                </w:p>
              </w:tc>
            </w:tr>
            <w:tr w14:paraId="711DE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nil"/>
                    <w:tr2bl w:val="nil"/>
                  </w:tcBorders>
                  <w:noWrap w:val="0"/>
                  <w:vAlign w:val="center"/>
                </w:tcPr>
                <w:p w14:paraId="56B06D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履带式推土机</w:t>
                  </w:r>
                </w:p>
              </w:tc>
              <w:tc>
                <w:tcPr>
                  <w:tcW w:w="765" w:type="dxa"/>
                  <w:tcBorders>
                    <w:tl2br w:val="nil"/>
                    <w:tr2bl w:val="nil"/>
                  </w:tcBorders>
                  <w:noWrap w:val="0"/>
                  <w:vAlign w:val="center"/>
                </w:tcPr>
                <w:p w14:paraId="477F2E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89</w:t>
                  </w:r>
                </w:p>
              </w:tc>
              <w:tc>
                <w:tcPr>
                  <w:tcW w:w="750" w:type="dxa"/>
                  <w:tcBorders>
                    <w:tl2br w:val="nil"/>
                    <w:tr2bl w:val="nil"/>
                  </w:tcBorders>
                  <w:noWrap w:val="0"/>
                  <w:vAlign w:val="center"/>
                </w:tcPr>
                <w:p w14:paraId="41CD3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83</w:t>
                  </w:r>
                </w:p>
              </w:tc>
              <w:tc>
                <w:tcPr>
                  <w:tcW w:w="690" w:type="dxa"/>
                  <w:tcBorders>
                    <w:tl2br w:val="nil"/>
                    <w:tr2bl w:val="nil"/>
                  </w:tcBorders>
                  <w:noWrap w:val="0"/>
                  <w:vAlign w:val="center"/>
                </w:tcPr>
                <w:p w14:paraId="315F48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77</w:t>
                  </w:r>
                </w:p>
              </w:tc>
              <w:tc>
                <w:tcPr>
                  <w:tcW w:w="702" w:type="dxa"/>
                  <w:tcBorders>
                    <w:tl2br w:val="nil"/>
                    <w:tr2bl w:val="nil"/>
                  </w:tcBorders>
                  <w:noWrap w:val="0"/>
                  <w:vAlign w:val="center"/>
                </w:tcPr>
                <w:p w14:paraId="6EB539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71</w:t>
                  </w:r>
                </w:p>
              </w:tc>
              <w:tc>
                <w:tcPr>
                  <w:tcW w:w="615" w:type="dxa"/>
                  <w:tcBorders>
                    <w:tl2br w:val="nil"/>
                    <w:tr2bl w:val="nil"/>
                  </w:tcBorders>
                  <w:noWrap w:val="0"/>
                  <w:vAlign w:val="center"/>
                </w:tcPr>
                <w:p w14:paraId="60EB2A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69</w:t>
                  </w:r>
                </w:p>
              </w:tc>
              <w:tc>
                <w:tcPr>
                  <w:tcW w:w="677" w:type="dxa"/>
                  <w:tcBorders>
                    <w:tl2br w:val="nil"/>
                    <w:tr2bl w:val="nil"/>
                  </w:tcBorders>
                  <w:noWrap w:val="0"/>
                  <w:vAlign w:val="center"/>
                </w:tcPr>
                <w:p w14:paraId="2CACDB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63</w:t>
                  </w:r>
                </w:p>
              </w:tc>
              <w:tc>
                <w:tcPr>
                  <w:tcW w:w="741" w:type="dxa"/>
                  <w:tcBorders>
                    <w:tl2br w:val="nil"/>
                    <w:tr2bl w:val="nil"/>
                  </w:tcBorders>
                  <w:noWrap w:val="0"/>
                  <w:vAlign w:val="center"/>
                </w:tcPr>
                <w:p w14:paraId="362560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59</w:t>
                  </w:r>
                </w:p>
              </w:tc>
              <w:tc>
                <w:tcPr>
                  <w:tcW w:w="712" w:type="dxa"/>
                  <w:tcBorders>
                    <w:tl2br w:val="nil"/>
                    <w:tr2bl w:val="nil"/>
                  </w:tcBorders>
                  <w:noWrap w:val="0"/>
                  <w:vAlign w:val="center"/>
                </w:tcPr>
                <w:p w14:paraId="4C5694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57</w:t>
                  </w:r>
                </w:p>
              </w:tc>
              <w:tc>
                <w:tcPr>
                  <w:tcW w:w="663" w:type="dxa"/>
                  <w:tcBorders>
                    <w:tl2br w:val="nil"/>
                    <w:tr2bl w:val="nil"/>
                  </w:tcBorders>
                  <w:noWrap w:val="0"/>
                  <w:vAlign w:val="center"/>
                </w:tcPr>
                <w:p w14:paraId="24F254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55</w:t>
                  </w:r>
                </w:p>
              </w:tc>
            </w:tr>
            <w:tr w14:paraId="613EC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nil"/>
                    <w:tr2bl w:val="nil"/>
                  </w:tcBorders>
                  <w:noWrap w:val="0"/>
                  <w:vAlign w:val="center"/>
                </w:tcPr>
                <w:p w14:paraId="72CC0750">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振动压路机</w:t>
                  </w:r>
                </w:p>
              </w:tc>
              <w:tc>
                <w:tcPr>
                  <w:tcW w:w="765" w:type="dxa"/>
                  <w:tcBorders>
                    <w:tl2br w:val="nil"/>
                    <w:tr2bl w:val="nil"/>
                  </w:tcBorders>
                  <w:noWrap w:val="0"/>
                  <w:vAlign w:val="center"/>
                </w:tcPr>
                <w:p w14:paraId="64E3B5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81</w:t>
                  </w:r>
                </w:p>
              </w:tc>
              <w:tc>
                <w:tcPr>
                  <w:tcW w:w="750" w:type="dxa"/>
                  <w:tcBorders>
                    <w:tl2br w:val="nil"/>
                    <w:tr2bl w:val="nil"/>
                  </w:tcBorders>
                  <w:noWrap w:val="0"/>
                  <w:vAlign w:val="center"/>
                </w:tcPr>
                <w:p w14:paraId="23848B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75</w:t>
                  </w:r>
                </w:p>
              </w:tc>
              <w:tc>
                <w:tcPr>
                  <w:tcW w:w="690" w:type="dxa"/>
                  <w:tcBorders>
                    <w:tl2br w:val="nil"/>
                    <w:tr2bl w:val="nil"/>
                  </w:tcBorders>
                  <w:noWrap w:val="0"/>
                  <w:vAlign w:val="center"/>
                </w:tcPr>
                <w:p w14:paraId="78E629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69</w:t>
                  </w:r>
                </w:p>
              </w:tc>
              <w:tc>
                <w:tcPr>
                  <w:tcW w:w="702" w:type="dxa"/>
                  <w:tcBorders>
                    <w:tl2br w:val="nil"/>
                    <w:tr2bl w:val="nil"/>
                  </w:tcBorders>
                  <w:noWrap w:val="0"/>
                  <w:vAlign w:val="center"/>
                </w:tcPr>
                <w:p w14:paraId="6170F9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63</w:t>
                  </w:r>
                </w:p>
              </w:tc>
              <w:tc>
                <w:tcPr>
                  <w:tcW w:w="615" w:type="dxa"/>
                  <w:tcBorders>
                    <w:tl2br w:val="nil"/>
                    <w:tr2bl w:val="nil"/>
                  </w:tcBorders>
                  <w:noWrap w:val="0"/>
                  <w:vAlign w:val="center"/>
                </w:tcPr>
                <w:p w14:paraId="5979BB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61</w:t>
                  </w:r>
                </w:p>
              </w:tc>
              <w:tc>
                <w:tcPr>
                  <w:tcW w:w="677" w:type="dxa"/>
                  <w:tcBorders>
                    <w:tl2br w:val="nil"/>
                    <w:tr2bl w:val="nil"/>
                  </w:tcBorders>
                  <w:noWrap w:val="0"/>
                  <w:vAlign w:val="center"/>
                </w:tcPr>
                <w:p w14:paraId="345448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55</w:t>
                  </w:r>
                </w:p>
              </w:tc>
              <w:tc>
                <w:tcPr>
                  <w:tcW w:w="741" w:type="dxa"/>
                  <w:tcBorders>
                    <w:tl2br w:val="nil"/>
                    <w:tr2bl w:val="nil"/>
                  </w:tcBorders>
                  <w:noWrap w:val="0"/>
                  <w:vAlign w:val="center"/>
                </w:tcPr>
                <w:p w14:paraId="3D60F2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51</w:t>
                  </w:r>
                </w:p>
              </w:tc>
              <w:tc>
                <w:tcPr>
                  <w:tcW w:w="712" w:type="dxa"/>
                  <w:tcBorders>
                    <w:tl2br w:val="nil"/>
                    <w:tr2bl w:val="nil"/>
                  </w:tcBorders>
                  <w:noWrap w:val="0"/>
                  <w:vAlign w:val="center"/>
                </w:tcPr>
                <w:p w14:paraId="2B818D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49</w:t>
                  </w:r>
                </w:p>
              </w:tc>
              <w:tc>
                <w:tcPr>
                  <w:tcW w:w="663" w:type="dxa"/>
                  <w:tcBorders>
                    <w:tl2br w:val="nil"/>
                    <w:tr2bl w:val="nil"/>
                  </w:tcBorders>
                  <w:noWrap w:val="0"/>
                  <w:vAlign w:val="center"/>
                </w:tcPr>
                <w:p w14:paraId="54DD0D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47</w:t>
                  </w:r>
                </w:p>
              </w:tc>
            </w:tr>
            <w:tr w14:paraId="090DF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nil"/>
                    <w:tr2bl w:val="nil"/>
                  </w:tcBorders>
                  <w:noWrap w:val="0"/>
                  <w:vAlign w:val="center"/>
                </w:tcPr>
                <w:p w14:paraId="78F8F2AE">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轮胎式装载机</w:t>
                  </w:r>
                </w:p>
              </w:tc>
              <w:tc>
                <w:tcPr>
                  <w:tcW w:w="765" w:type="dxa"/>
                  <w:tcBorders>
                    <w:tl2br w:val="nil"/>
                    <w:tr2bl w:val="nil"/>
                  </w:tcBorders>
                  <w:noWrap w:val="0"/>
                  <w:vAlign w:val="center"/>
                </w:tcPr>
                <w:p w14:paraId="34409B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75.2</w:t>
                  </w:r>
                </w:p>
              </w:tc>
              <w:tc>
                <w:tcPr>
                  <w:tcW w:w="750" w:type="dxa"/>
                  <w:tcBorders>
                    <w:tl2br w:val="nil"/>
                    <w:tr2bl w:val="nil"/>
                  </w:tcBorders>
                  <w:noWrap w:val="0"/>
                  <w:vAlign w:val="center"/>
                </w:tcPr>
                <w:p w14:paraId="065590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69</w:t>
                  </w:r>
                </w:p>
              </w:tc>
              <w:tc>
                <w:tcPr>
                  <w:tcW w:w="690" w:type="dxa"/>
                  <w:tcBorders>
                    <w:tl2br w:val="nil"/>
                    <w:tr2bl w:val="nil"/>
                  </w:tcBorders>
                  <w:noWrap w:val="0"/>
                  <w:vAlign w:val="center"/>
                </w:tcPr>
                <w:p w14:paraId="6178D7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63</w:t>
                  </w:r>
                </w:p>
              </w:tc>
              <w:tc>
                <w:tcPr>
                  <w:tcW w:w="702" w:type="dxa"/>
                  <w:tcBorders>
                    <w:tl2br w:val="nil"/>
                    <w:tr2bl w:val="nil"/>
                  </w:tcBorders>
                  <w:noWrap w:val="0"/>
                  <w:vAlign w:val="center"/>
                </w:tcPr>
                <w:p w14:paraId="4FB780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57</w:t>
                  </w:r>
                </w:p>
              </w:tc>
              <w:tc>
                <w:tcPr>
                  <w:tcW w:w="615" w:type="dxa"/>
                  <w:tcBorders>
                    <w:tl2br w:val="nil"/>
                    <w:tr2bl w:val="nil"/>
                  </w:tcBorders>
                  <w:noWrap w:val="0"/>
                  <w:vAlign w:val="center"/>
                </w:tcPr>
                <w:p w14:paraId="18D0AB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55</w:t>
                  </w:r>
                </w:p>
              </w:tc>
              <w:tc>
                <w:tcPr>
                  <w:tcW w:w="677" w:type="dxa"/>
                  <w:tcBorders>
                    <w:tl2br w:val="nil"/>
                    <w:tr2bl w:val="nil"/>
                  </w:tcBorders>
                  <w:noWrap w:val="0"/>
                  <w:vAlign w:val="center"/>
                </w:tcPr>
                <w:p w14:paraId="4FA4EF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49</w:t>
                  </w:r>
                </w:p>
              </w:tc>
              <w:tc>
                <w:tcPr>
                  <w:tcW w:w="741" w:type="dxa"/>
                  <w:tcBorders>
                    <w:tl2br w:val="nil"/>
                    <w:tr2bl w:val="nil"/>
                  </w:tcBorders>
                  <w:noWrap w:val="0"/>
                  <w:vAlign w:val="center"/>
                </w:tcPr>
                <w:p w14:paraId="49F168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45</w:t>
                  </w:r>
                </w:p>
              </w:tc>
              <w:tc>
                <w:tcPr>
                  <w:tcW w:w="712" w:type="dxa"/>
                  <w:tcBorders>
                    <w:tl2br w:val="nil"/>
                    <w:tr2bl w:val="nil"/>
                  </w:tcBorders>
                  <w:noWrap w:val="0"/>
                  <w:vAlign w:val="center"/>
                </w:tcPr>
                <w:p w14:paraId="5890FB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43</w:t>
                  </w:r>
                </w:p>
              </w:tc>
              <w:tc>
                <w:tcPr>
                  <w:tcW w:w="663" w:type="dxa"/>
                  <w:tcBorders>
                    <w:tl2br w:val="nil"/>
                    <w:tr2bl w:val="nil"/>
                  </w:tcBorders>
                  <w:noWrap w:val="0"/>
                  <w:vAlign w:val="center"/>
                </w:tcPr>
                <w:p w14:paraId="591A23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41</w:t>
                  </w:r>
                </w:p>
              </w:tc>
            </w:tr>
            <w:tr w14:paraId="41FB9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tcBorders>
                    <w:tl2br w:val="nil"/>
                    <w:tr2bl w:val="nil"/>
                  </w:tcBorders>
                  <w:noWrap w:val="0"/>
                  <w:vAlign w:val="center"/>
                </w:tcPr>
                <w:p w14:paraId="666CA330">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混凝土泵车</w:t>
                  </w:r>
                </w:p>
              </w:tc>
              <w:tc>
                <w:tcPr>
                  <w:tcW w:w="765" w:type="dxa"/>
                  <w:tcBorders>
                    <w:tl2br w:val="nil"/>
                    <w:tr2bl w:val="nil"/>
                  </w:tcBorders>
                  <w:noWrap w:val="0"/>
                  <w:vAlign w:val="center"/>
                </w:tcPr>
                <w:p w14:paraId="597D8E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71.8</w:t>
                  </w:r>
                </w:p>
              </w:tc>
              <w:tc>
                <w:tcPr>
                  <w:tcW w:w="750" w:type="dxa"/>
                  <w:tcBorders>
                    <w:tl2br w:val="nil"/>
                    <w:tr2bl w:val="nil"/>
                  </w:tcBorders>
                  <w:noWrap w:val="0"/>
                  <w:vAlign w:val="center"/>
                </w:tcPr>
                <w:p w14:paraId="1BEFD8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vertAlign w:val="baseline"/>
                      <w:lang w:val="en-US" w:eastAsia="zh-CN" w:bidi="ar"/>
                    </w:rPr>
                  </w:pPr>
                  <w:r>
                    <w:rPr>
                      <w:rFonts w:hint="eastAsia" w:ascii="Times New Roman" w:hAnsi="Times New Roman" w:cs="Times New Roman"/>
                      <w:color w:val="auto"/>
                      <w:kern w:val="0"/>
                      <w:sz w:val="21"/>
                      <w:szCs w:val="21"/>
                      <w:highlight w:val="none"/>
                      <w:vertAlign w:val="baseline"/>
                      <w:lang w:val="en-US" w:eastAsia="zh-CN" w:bidi="ar"/>
                    </w:rPr>
                    <w:t>66</w:t>
                  </w:r>
                </w:p>
              </w:tc>
              <w:tc>
                <w:tcPr>
                  <w:tcW w:w="690" w:type="dxa"/>
                  <w:tcBorders>
                    <w:tl2br w:val="nil"/>
                    <w:tr2bl w:val="nil"/>
                  </w:tcBorders>
                  <w:noWrap w:val="0"/>
                  <w:vAlign w:val="center"/>
                </w:tcPr>
                <w:p w14:paraId="7B2733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60</w:t>
                  </w:r>
                </w:p>
              </w:tc>
              <w:tc>
                <w:tcPr>
                  <w:tcW w:w="702" w:type="dxa"/>
                  <w:tcBorders>
                    <w:tl2br w:val="nil"/>
                    <w:tr2bl w:val="nil"/>
                  </w:tcBorders>
                  <w:noWrap w:val="0"/>
                  <w:vAlign w:val="center"/>
                </w:tcPr>
                <w:p w14:paraId="7EF290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54</w:t>
                  </w:r>
                </w:p>
              </w:tc>
              <w:tc>
                <w:tcPr>
                  <w:tcW w:w="615" w:type="dxa"/>
                  <w:tcBorders>
                    <w:tl2br w:val="nil"/>
                    <w:tr2bl w:val="nil"/>
                  </w:tcBorders>
                  <w:noWrap w:val="0"/>
                  <w:vAlign w:val="center"/>
                </w:tcPr>
                <w:p w14:paraId="0F439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52</w:t>
                  </w:r>
                </w:p>
              </w:tc>
              <w:tc>
                <w:tcPr>
                  <w:tcW w:w="677" w:type="dxa"/>
                  <w:tcBorders>
                    <w:tl2br w:val="nil"/>
                    <w:tr2bl w:val="nil"/>
                  </w:tcBorders>
                  <w:noWrap w:val="0"/>
                  <w:vAlign w:val="center"/>
                </w:tcPr>
                <w:p w14:paraId="7A2F0C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46</w:t>
                  </w:r>
                </w:p>
              </w:tc>
              <w:tc>
                <w:tcPr>
                  <w:tcW w:w="741" w:type="dxa"/>
                  <w:tcBorders>
                    <w:tl2br w:val="nil"/>
                    <w:tr2bl w:val="nil"/>
                  </w:tcBorders>
                  <w:noWrap w:val="0"/>
                  <w:vAlign w:val="center"/>
                </w:tcPr>
                <w:p w14:paraId="4540B1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42</w:t>
                  </w:r>
                </w:p>
              </w:tc>
              <w:tc>
                <w:tcPr>
                  <w:tcW w:w="712" w:type="dxa"/>
                  <w:tcBorders>
                    <w:tl2br w:val="nil"/>
                    <w:tr2bl w:val="nil"/>
                  </w:tcBorders>
                  <w:noWrap w:val="0"/>
                  <w:vAlign w:val="center"/>
                </w:tcPr>
                <w:p w14:paraId="110BFB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40</w:t>
                  </w:r>
                </w:p>
              </w:tc>
              <w:tc>
                <w:tcPr>
                  <w:tcW w:w="663" w:type="dxa"/>
                  <w:tcBorders>
                    <w:tl2br w:val="nil"/>
                    <w:tr2bl w:val="nil"/>
                  </w:tcBorders>
                  <w:noWrap w:val="0"/>
                  <w:vAlign w:val="center"/>
                </w:tcPr>
                <w:p w14:paraId="121A85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38</w:t>
                  </w:r>
                </w:p>
              </w:tc>
            </w:tr>
          </w:tbl>
          <w:p w14:paraId="5674A0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highlight w:val="none"/>
                <w:lang w:val="en-US" w:eastAsia="zh-CN"/>
              </w:rPr>
            </w:pPr>
            <w:r>
              <w:rPr>
                <w:rFonts w:hint="default"/>
                <w:color w:val="auto"/>
                <w:kern w:val="0"/>
                <w:sz w:val="24"/>
                <w:highlight w:val="none"/>
                <w:lang w:val="en-US" w:eastAsia="zh-CN" w:bidi="ar"/>
              </w:rPr>
              <w:t>根据</w:t>
            </w:r>
            <w:r>
              <w:rPr>
                <w:rFonts w:hint="eastAsia"/>
                <w:color w:val="auto"/>
                <w:kern w:val="0"/>
                <w:sz w:val="24"/>
                <w:highlight w:val="none"/>
                <w:lang w:val="en-US" w:eastAsia="zh-CN" w:bidi="ar"/>
              </w:rPr>
              <w:t>上表可知</w:t>
            </w:r>
            <w:r>
              <w:rPr>
                <w:rFonts w:hint="default"/>
                <w:color w:val="auto"/>
                <w:kern w:val="0"/>
                <w:sz w:val="24"/>
                <w:highlight w:val="none"/>
                <w:lang w:val="en-US" w:eastAsia="zh-CN" w:bidi="ar"/>
              </w:rPr>
              <w:t>，</w:t>
            </w:r>
            <w:r>
              <w:rPr>
                <w:rFonts w:hint="eastAsia" w:eastAsia="宋体" w:cs="Times New Roman"/>
                <w:color w:val="auto"/>
                <w:sz w:val="24"/>
                <w:highlight w:val="none"/>
                <w:lang w:val="en-US" w:eastAsia="zh-CN"/>
              </w:rPr>
              <w:t>单台机械作业时，昼间施工在距离施工机械50m以外噪声值可满足《建筑施工噪声排放标准》（GB12523-2025）昼间70dB</w:t>
            </w:r>
            <w:r>
              <w:rPr>
                <w:rFonts w:hint="eastAsia" w:cs="Times New Roman"/>
                <w:color w:val="auto"/>
                <w:sz w:val="24"/>
                <w:highlight w:val="none"/>
                <w:lang w:val="en-US" w:eastAsia="zh-CN"/>
              </w:rPr>
              <w:t>(</w:t>
            </w:r>
            <w:r>
              <w:rPr>
                <w:rFonts w:hint="eastAsia" w:eastAsia="宋体" w:cs="Times New Roman"/>
                <w:color w:val="auto"/>
                <w:sz w:val="24"/>
                <w:highlight w:val="none"/>
                <w:lang w:val="en-US" w:eastAsia="zh-CN"/>
              </w:rPr>
              <w:t>A</w:t>
            </w:r>
            <w:r>
              <w:rPr>
                <w:rFonts w:hint="eastAsia" w:cs="Times New Roman"/>
                <w:color w:val="auto"/>
                <w:sz w:val="24"/>
                <w:highlight w:val="none"/>
                <w:lang w:val="en-US" w:eastAsia="zh-CN"/>
              </w:rPr>
              <w:t>)</w:t>
            </w:r>
            <w:r>
              <w:rPr>
                <w:rFonts w:hint="eastAsia" w:eastAsia="宋体" w:cs="Times New Roman"/>
                <w:color w:val="auto"/>
                <w:sz w:val="24"/>
                <w:highlight w:val="none"/>
                <w:lang w:val="en-US" w:eastAsia="zh-CN"/>
              </w:rPr>
              <w:t>的标准。</w:t>
            </w:r>
          </w:p>
          <w:p w14:paraId="6554CD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宋体" w:hAnsi="宋体" w:eastAsia="宋体" w:cs="宋体"/>
                <w:color w:val="auto"/>
                <w:kern w:val="0"/>
                <w:sz w:val="24"/>
                <w:szCs w:val="24"/>
                <w:highlight w:val="none"/>
                <w:lang w:val="en-US" w:eastAsia="zh-CN" w:bidi="ar"/>
              </w:rPr>
              <w:t>本次评价针对变电站评价范围内的声环境保护目标进行了施工期噪声预测，噪声源强选用单台推土机施工作业，距声源</w:t>
            </w:r>
            <w:r>
              <w:rPr>
                <w:rFonts w:hint="default" w:ascii="Times New Roman" w:hAnsi="Times New Roman" w:eastAsia="宋体" w:cs="Times New Roman"/>
                <w:color w:val="auto"/>
                <w:kern w:val="0"/>
                <w:sz w:val="24"/>
                <w:szCs w:val="24"/>
                <w:highlight w:val="none"/>
                <w:lang w:val="en-US" w:eastAsia="zh-CN" w:bidi="ar"/>
              </w:rPr>
              <w:t>5m</w:t>
            </w:r>
            <w:r>
              <w:rPr>
                <w:rFonts w:hint="eastAsia" w:ascii="宋体" w:hAnsi="宋体" w:eastAsia="宋体" w:cs="宋体"/>
                <w:color w:val="auto"/>
                <w:kern w:val="0"/>
                <w:sz w:val="24"/>
                <w:szCs w:val="24"/>
                <w:highlight w:val="none"/>
                <w:lang w:val="en-US" w:eastAsia="zh-CN" w:bidi="ar"/>
              </w:rPr>
              <w:t>处的声压级为</w:t>
            </w:r>
            <w:r>
              <w:rPr>
                <w:rFonts w:hint="eastAsia" w:ascii="Times New Roman" w:hAnsi="Times New Roman" w:eastAsia="宋体" w:cs="Times New Roman"/>
                <w:color w:val="auto"/>
                <w:kern w:val="0"/>
                <w:sz w:val="24"/>
                <w:szCs w:val="24"/>
                <w:highlight w:val="none"/>
                <w:lang w:val="en-US" w:eastAsia="zh-CN" w:bidi="ar"/>
              </w:rPr>
              <w:t>89</w:t>
            </w:r>
            <w:r>
              <w:rPr>
                <w:rFonts w:hint="default" w:ascii="Times New Roman" w:hAnsi="Times New Roman" w:eastAsia="宋体" w:cs="Times New Roman"/>
                <w:color w:val="auto"/>
                <w:kern w:val="0"/>
                <w:sz w:val="24"/>
                <w:szCs w:val="24"/>
                <w:highlight w:val="none"/>
                <w:lang w:val="en-US" w:eastAsia="zh-CN" w:bidi="ar"/>
              </w:rPr>
              <w:t>dB(A)</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sz w:val="24"/>
                <w:highlight w:val="none"/>
                <w:lang w:val="en-US" w:eastAsia="zh-CN"/>
              </w:rPr>
              <w:t>具体预测结果详</w:t>
            </w:r>
            <w:r>
              <w:rPr>
                <w:rFonts w:hint="default" w:ascii="Times New Roman" w:hAnsi="Times New Roman" w:eastAsia="宋体" w:cs="Times New Roman"/>
                <w:color w:val="auto"/>
                <w:sz w:val="24"/>
                <w:highlight w:val="none"/>
              </w:rPr>
              <w:t>见表4-</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14:paraId="5A17A06B">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0" w:firstLineChars="0"/>
              <w:jc w:val="right"/>
              <w:textAlignment w:val="auto"/>
              <w:rPr>
                <w:rFonts w:hint="default" w:ascii="Times New Roman" w:hAnsi="Times New Roman" w:eastAsia="黑体" w:cs="Times New Roman"/>
                <w:b/>
                <w:color w:val="auto"/>
                <w:kern w:val="0"/>
                <w:sz w:val="24"/>
                <w:szCs w:val="24"/>
                <w:highlight w:val="none"/>
                <w:lang w:val="en-US" w:eastAsia="zh-CN" w:bidi="ar-SA"/>
              </w:rPr>
            </w:pPr>
          </w:p>
          <w:p w14:paraId="3D09429E">
            <w:pPr>
              <w:pStyle w:val="11"/>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0" w:firstLineChars="0"/>
              <w:jc w:val="right"/>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黑体" w:cs="Times New Roman"/>
                <w:b/>
                <w:color w:val="auto"/>
                <w:kern w:val="0"/>
                <w:sz w:val="24"/>
                <w:szCs w:val="24"/>
                <w:highlight w:val="none"/>
                <w:lang w:val="en-US" w:eastAsia="zh-CN" w:bidi="ar-SA"/>
              </w:rPr>
              <w:t>表4-</w:t>
            </w:r>
            <w:r>
              <w:rPr>
                <w:rFonts w:hint="eastAsia" w:ascii="Times New Roman" w:hAnsi="Times New Roman" w:eastAsia="黑体" w:cs="Times New Roman"/>
                <w:b/>
                <w:color w:val="auto"/>
                <w:kern w:val="0"/>
                <w:sz w:val="24"/>
                <w:szCs w:val="24"/>
                <w:highlight w:val="none"/>
                <w:lang w:val="en-US" w:eastAsia="zh-CN" w:bidi="ar-SA"/>
              </w:rPr>
              <w:t>3</w:t>
            </w:r>
            <w:r>
              <w:rPr>
                <w:rFonts w:hint="default" w:ascii="Times New Roman" w:hAnsi="Times New Roman" w:eastAsia="黑体" w:cs="Times New Roman"/>
                <w:b/>
                <w:color w:val="auto"/>
                <w:kern w:val="0"/>
                <w:sz w:val="24"/>
                <w:szCs w:val="24"/>
                <w:highlight w:val="none"/>
                <w:lang w:val="en-US" w:eastAsia="zh-CN" w:bidi="ar-SA"/>
              </w:rPr>
              <w:t xml:space="preserve">  </w:t>
            </w:r>
            <w:r>
              <w:rPr>
                <w:rFonts w:hint="eastAsia" w:ascii="Times New Roman" w:hAnsi="Times New Roman" w:eastAsia="黑体" w:cs="Times New Roman"/>
                <w:b/>
                <w:color w:val="auto"/>
                <w:kern w:val="0"/>
                <w:sz w:val="24"/>
                <w:szCs w:val="24"/>
                <w:highlight w:val="none"/>
                <w:lang w:val="en-US" w:eastAsia="zh-CN" w:bidi="ar-SA"/>
              </w:rPr>
              <w:t>变电站施工期周边</w:t>
            </w:r>
            <w:r>
              <w:rPr>
                <w:rFonts w:hint="default" w:ascii="Times New Roman" w:hAnsi="Times New Roman" w:eastAsia="黑体" w:cs="Times New Roman"/>
                <w:b/>
                <w:color w:val="auto"/>
                <w:kern w:val="0"/>
                <w:sz w:val="24"/>
                <w:szCs w:val="24"/>
                <w:highlight w:val="none"/>
                <w:lang w:val="en-US" w:eastAsia="zh-CN" w:bidi="ar-SA"/>
              </w:rPr>
              <w:t>声环境保护目标处噪声预测</w:t>
            </w:r>
            <w:r>
              <w:rPr>
                <w:rFonts w:hint="eastAsia" w:ascii="Times New Roman" w:hAnsi="Times New Roman" w:eastAsia="黑体" w:cs="Times New Roman"/>
                <w:b/>
                <w:color w:val="auto"/>
                <w:kern w:val="0"/>
                <w:sz w:val="24"/>
                <w:szCs w:val="24"/>
                <w:highlight w:val="none"/>
                <w:lang w:val="en-US" w:eastAsia="zh-CN" w:bidi="ar-SA"/>
              </w:rPr>
              <w:t xml:space="preserve">结果  </w:t>
            </w:r>
            <w:r>
              <w:rPr>
                <w:rFonts w:hint="default" w:ascii="Times New Roman" w:hAnsi="Times New Roman" w:eastAsia="黑体" w:cs="Times New Roman"/>
                <w:b w:val="0"/>
                <w:bCs/>
                <w:color w:val="auto"/>
                <w:kern w:val="0"/>
                <w:sz w:val="24"/>
                <w:szCs w:val="24"/>
                <w:highlight w:val="none"/>
                <w:lang w:val="en-US" w:eastAsia="zh-CN" w:bidi="ar-SA"/>
              </w:rPr>
              <w:t>单位：</w:t>
            </w:r>
            <w:r>
              <w:rPr>
                <w:rFonts w:hint="eastAsia" w:ascii="Times New Roman" w:hAnsi="Times New Roman" w:eastAsia="黑体" w:cs="Times New Roman"/>
                <w:b w:val="0"/>
                <w:bCs/>
                <w:color w:val="auto"/>
                <w:kern w:val="0"/>
                <w:sz w:val="24"/>
                <w:szCs w:val="24"/>
                <w:highlight w:val="none"/>
                <w:lang w:val="en-US" w:eastAsia="zh-CN" w:bidi="ar-SA"/>
              </w:rPr>
              <w:t>dB(A)</w:t>
            </w:r>
          </w:p>
          <w:tbl>
            <w:tblPr>
              <w:tblStyle w:val="28"/>
              <w:tblW w:w="493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716"/>
              <w:gridCol w:w="1096"/>
              <w:gridCol w:w="1680"/>
              <w:gridCol w:w="1140"/>
              <w:gridCol w:w="1125"/>
              <w:gridCol w:w="1166"/>
            </w:tblGrid>
            <w:tr w14:paraId="7A1A0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vMerge w:val="restart"/>
                  <w:tcBorders>
                    <w:tl2br w:val="nil"/>
                    <w:tr2bl w:val="nil"/>
                  </w:tcBorders>
                  <w:noWrap w:val="0"/>
                  <w:vAlign w:val="center"/>
                </w:tcPr>
                <w:p w14:paraId="2EC55D16">
                  <w:pPr>
                    <w:spacing w:line="240" w:lineRule="atLeast"/>
                    <w:jc w:val="center"/>
                    <w:rPr>
                      <w:rFonts w:hint="default" w:ascii="Times New Roman" w:hAnsi="Times New Roman" w:eastAsia="宋体" w:cs="Times New Roman"/>
                      <w:b/>
                      <w:bCs w:val="0"/>
                      <w:color w:val="auto"/>
                      <w:spacing w:val="0"/>
                      <w:szCs w:val="21"/>
                      <w:highlight w:val="none"/>
                      <w:lang w:eastAsia="zh-CN"/>
                    </w:rPr>
                  </w:pPr>
                  <w:r>
                    <w:rPr>
                      <w:rFonts w:hint="default" w:ascii="Times New Roman" w:hAnsi="Times New Roman" w:eastAsia="宋体" w:cs="Times New Roman"/>
                      <w:b/>
                      <w:bCs w:val="0"/>
                      <w:color w:val="auto"/>
                      <w:spacing w:val="0"/>
                      <w:szCs w:val="21"/>
                      <w:highlight w:val="none"/>
                      <w:lang w:val="en-US" w:eastAsia="zh-CN"/>
                    </w:rPr>
                    <w:t>序号</w:t>
                  </w:r>
                </w:p>
              </w:tc>
              <w:tc>
                <w:tcPr>
                  <w:tcW w:w="1022" w:type="pct"/>
                  <w:vMerge w:val="restart"/>
                  <w:tcBorders>
                    <w:tl2br w:val="nil"/>
                    <w:tr2bl w:val="nil"/>
                  </w:tcBorders>
                  <w:noWrap w:val="0"/>
                  <w:vAlign w:val="center"/>
                </w:tcPr>
                <w:p w14:paraId="7DEDA139">
                  <w:pPr>
                    <w:spacing w:line="240" w:lineRule="atLeast"/>
                    <w:jc w:val="center"/>
                    <w:rPr>
                      <w:rFonts w:hint="default" w:ascii="Times New Roman" w:hAnsi="Times New Roman" w:eastAsia="宋体" w:cs="Times New Roman"/>
                      <w:b/>
                      <w:bCs w:val="0"/>
                      <w:color w:val="auto"/>
                      <w:spacing w:val="0"/>
                      <w:szCs w:val="21"/>
                      <w:highlight w:val="none"/>
                    </w:rPr>
                  </w:pPr>
                  <w:r>
                    <w:rPr>
                      <w:rFonts w:hint="default" w:ascii="Times New Roman" w:hAnsi="Times New Roman" w:eastAsia="宋体" w:cs="Times New Roman"/>
                      <w:b/>
                      <w:bCs w:val="0"/>
                      <w:color w:val="auto"/>
                      <w:spacing w:val="0"/>
                      <w:szCs w:val="21"/>
                      <w:highlight w:val="none"/>
                    </w:rPr>
                    <w:t>预测位置</w:t>
                  </w:r>
                </w:p>
              </w:tc>
              <w:tc>
                <w:tcPr>
                  <w:tcW w:w="652" w:type="pct"/>
                  <w:vMerge w:val="restart"/>
                  <w:tcBorders>
                    <w:tl2br w:val="nil"/>
                    <w:tr2bl w:val="nil"/>
                  </w:tcBorders>
                  <w:noWrap w:val="0"/>
                  <w:vAlign w:val="center"/>
                </w:tcPr>
                <w:p w14:paraId="7B41B6C3">
                  <w:pPr>
                    <w:spacing w:line="240" w:lineRule="atLeast"/>
                    <w:jc w:val="center"/>
                    <w:rPr>
                      <w:rFonts w:hint="default" w:ascii="Times New Roman" w:hAnsi="Times New Roman" w:eastAsia="宋体" w:cs="Times New Roman"/>
                      <w:b/>
                      <w:bCs w:val="0"/>
                      <w:color w:val="auto"/>
                      <w:spacing w:val="0"/>
                      <w:szCs w:val="21"/>
                      <w:highlight w:val="none"/>
                    </w:rPr>
                  </w:pPr>
                  <w:r>
                    <w:rPr>
                      <w:rFonts w:hint="default" w:ascii="Times New Roman" w:hAnsi="Times New Roman" w:eastAsia="宋体" w:cs="Times New Roman"/>
                      <w:b/>
                      <w:bCs w:val="0"/>
                      <w:color w:val="auto"/>
                      <w:spacing w:val="0"/>
                      <w:szCs w:val="21"/>
                      <w:highlight w:val="none"/>
                    </w:rPr>
                    <w:t>贡献值</w:t>
                  </w:r>
                </w:p>
              </w:tc>
              <w:tc>
                <w:tcPr>
                  <w:tcW w:w="1000" w:type="pct"/>
                  <w:vMerge w:val="restart"/>
                  <w:tcBorders>
                    <w:tl2br w:val="nil"/>
                    <w:tr2bl w:val="nil"/>
                  </w:tcBorders>
                  <w:noWrap w:val="0"/>
                  <w:vAlign w:val="center"/>
                </w:tcPr>
                <w:p w14:paraId="1D1F6D25">
                  <w:pPr>
                    <w:spacing w:line="240" w:lineRule="atLeast"/>
                    <w:jc w:val="center"/>
                    <w:rPr>
                      <w:rFonts w:hint="default" w:ascii="Times New Roman" w:hAnsi="Times New Roman" w:eastAsia="宋体" w:cs="Times New Roman"/>
                      <w:b/>
                      <w:bCs w:val="0"/>
                      <w:color w:val="auto"/>
                      <w:spacing w:val="0"/>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围墙</w:t>
                  </w:r>
                  <w:r>
                    <w:rPr>
                      <w:rFonts w:hint="eastAsia" w:eastAsia="宋体" w:cs="Times New Roman"/>
                      <w:b/>
                      <w:bCs/>
                      <w:color w:val="auto"/>
                      <w:sz w:val="21"/>
                      <w:szCs w:val="21"/>
                      <w:highlight w:val="none"/>
                      <w:lang w:val="en-US" w:eastAsia="zh-CN"/>
                    </w:rPr>
                    <w:t>、施工围挡</w:t>
                  </w:r>
                  <w:r>
                    <w:rPr>
                      <w:rFonts w:hint="eastAsia" w:ascii="Times New Roman" w:hAnsi="Times New Roman" w:eastAsia="宋体" w:cs="Times New Roman"/>
                      <w:b/>
                      <w:bCs/>
                      <w:color w:val="auto"/>
                      <w:sz w:val="21"/>
                      <w:szCs w:val="21"/>
                      <w:highlight w:val="none"/>
                      <w:lang w:val="en-US" w:eastAsia="zh-CN"/>
                    </w:rPr>
                    <w:t>隔噪</w:t>
                  </w:r>
                  <w:r>
                    <w:rPr>
                      <w:rFonts w:hint="eastAsia" w:eastAsia="宋体"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dB(A)后贡献值</w:t>
                  </w:r>
                </w:p>
              </w:tc>
              <w:tc>
                <w:tcPr>
                  <w:tcW w:w="679" w:type="pct"/>
                  <w:tcBorders>
                    <w:tl2br w:val="nil"/>
                    <w:tr2bl w:val="nil"/>
                  </w:tcBorders>
                  <w:noWrap w:val="0"/>
                  <w:vAlign w:val="center"/>
                </w:tcPr>
                <w:p w14:paraId="6E568AE5">
                  <w:pPr>
                    <w:spacing w:line="240" w:lineRule="atLeast"/>
                    <w:jc w:val="center"/>
                    <w:rPr>
                      <w:rFonts w:hint="default" w:ascii="Times New Roman" w:hAnsi="Times New Roman" w:eastAsia="宋体" w:cs="Times New Roman"/>
                      <w:b/>
                      <w:bCs w:val="0"/>
                      <w:color w:val="auto"/>
                      <w:spacing w:val="0"/>
                      <w:szCs w:val="21"/>
                      <w:highlight w:val="none"/>
                    </w:rPr>
                  </w:pPr>
                  <w:r>
                    <w:rPr>
                      <w:rFonts w:hint="eastAsia" w:cs="Times New Roman"/>
                      <w:b/>
                      <w:bCs w:val="0"/>
                      <w:color w:val="auto"/>
                      <w:spacing w:val="0"/>
                      <w:szCs w:val="21"/>
                      <w:highlight w:val="none"/>
                      <w:lang w:val="en-US" w:eastAsia="zh-CN"/>
                    </w:rPr>
                    <w:t>背景</w:t>
                  </w:r>
                  <w:r>
                    <w:rPr>
                      <w:rFonts w:hint="default" w:ascii="Times New Roman" w:hAnsi="Times New Roman" w:eastAsia="宋体" w:cs="Times New Roman"/>
                      <w:b/>
                      <w:bCs w:val="0"/>
                      <w:color w:val="auto"/>
                      <w:spacing w:val="0"/>
                      <w:szCs w:val="21"/>
                      <w:highlight w:val="none"/>
                    </w:rPr>
                    <w:t>值</w:t>
                  </w:r>
                </w:p>
              </w:tc>
              <w:tc>
                <w:tcPr>
                  <w:tcW w:w="670" w:type="pct"/>
                  <w:tcBorders>
                    <w:tl2br w:val="nil"/>
                    <w:tr2bl w:val="nil"/>
                  </w:tcBorders>
                  <w:noWrap w:val="0"/>
                  <w:vAlign w:val="center"/>
                </w:tcPr>
                <w:p w14:paraId="5AD8D647">
                  <w:pPr>
                    <w:spacing w:line="240" w:lineRule="atLeast"/>
                    <w:jc w:val="center"/>
                    <w:rPr>
                      <w:rFonts w:hint="default" w:ascii="Times New Roman" w:hAnsi="Times New Roman" w:eastAsia="宋体" w:cs="Times New Roman"/>
                      <w:b/>
                      <w:bCs w:val="0"/>
                      <w:color w:val="auto"/>
                      <w:spacing w:val="0"/>
                      <w:szCs w:val="21"/>
                      <w:highlight w:val="none"/>
                      <w:lang w:eastAsia="zh-CN"/>
                    </w:rPr>
                  </w:pPr>
                  <w:r>
                    <w:rPr>
                      <w:rFonts w:hint="default" w:ascii="Times New Roman" w:hAnsi="Times New Roman" w:eastAsia="宋体" w:cs="Times New Roman"/>
                      <w:b/>
                      <w:bCs w:val="0"/>
                      <w:color w:val="auto"/>
                      <w:spacing w:val="0"/>
                      <w:szCs w:val="21"/>
                      <w:highlight w:val="none"/>
                      <w:lang w:val="en-US" w:eastAsia="zh-CN"/>
                    </w:rPr>
                    <w:t>预测值</w:t>
                  </w:r>
                </w:p>
              </w:tc>
              <w:tc>
                <w:tcPr>
                  <w:tcW w:w="694" w:type="pct"/>
                  <w:tcBorders>
                    <w:tl2br w:val="nil"/>
                    <w:tr2bl w:val="nil"/>
                  </w:tcBorders>
                  <w:noWrap w:val="0"/>
                  <w:vAlign w:val="center"/>
                </w:tcPr>
                <w:p w14:paraId="7E5021F3">
                  <w:pPr>
                    <w:spacing w:line="240" w:lineRule="atLeast"/>
                    <w:jc w:val="center"/>
                    <w:rPr>
                      <w:rFonts w:hint="default" w:ascii="Times New Roman" w:hAnsi="Times New Roman" w:eastAsia="宋体" w:cs="Times New Roman"/>
                      <w:b/>
                      <w:bCs w:val="0"/>
                      <w:color w:val="auto"/>
                      <w:spacing w:val="0"/>
                      <w:szCs w:val="21"/>
                      <w:highlight w:val="none"/>
                      <w:lang w:val="en-US" w:eastAsia="zh-CN"/>
                    </w:rPr>
                  </w:pPr>
                  <w:r>
                    <w:rPr>
                      <w:rFonts w:hint="eastAsia" w:cs="Times New Roman"/>
                      <w:b/>
                      <w:bCs w:val="0"/>
                      <w:color w:val="auto"/>
                      <w:spacing w:val="0"/>
                      <w:szCs w:val="21"/>
                      <w:highlight w:val="none"/>
                      <w:lang w:val="en-US" w:eastAsia="zh-CN"/>
                    </w:rPr>
                    <w:t>标准值</w:t>
                  </w:r>
                </w:p>
              </w:tc>
            </w:tr>
            <w:tr w14:paraId="653C7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vMerge w:val="continue"/>
                  <w:tcBorders>
                    <w:tl2br w:val="nil"/>
                    <w:tr2bl w:val="nil"/>
                  </w:tcBorders>
                  <w:noWrap w:val="0"/>
                  <w:vAlign w:val="center"/>
                </w:tcPr>
                <w:p w14:paraId="660352F0">
                  <w:pPr>
                    <w:spacing w:line="240" w:lineRule="atLeast"/>
                    <w:jc w:val="center"/>
                    <w:rPr>
                      <w:rFonts w:hint="default" w:ascii="Times New Roman" w:hAnsi="Times New Roman" w:eastAsia="宋体" w:cs="Times New Roman"/>
                      <w:b/>
                      <w:bCs w:val="0"/>
                      <w:color w:val="auto"/>
                      <w:spacing w:val="0"/>
                      <w:szCs w:val="21"/>
                      <w:highlight w:val="none"/>
                    </w:rPr>
                  </w:pPr>
                </w:p>
              </w:tc>
              <w:tc>
                <w:tcPr>
                  <w:tcW w:w="1022" w:type="pct"/>
                  <w:vMerge w:val="continue"/>
                  <w:tcBorders>
                    <w:tl2br w:val="nil"/>
                    <w:tr2bl w:val="nil"/>
                  </w:tcBorders>
                  <w:noWrap w:val="0"/>
                  <w:vAlign w:val="center"/>
                </w:tcPr>
                <w:p w14:paraId="26F51184">
                  <w:pPr>
                    <w:spacing w:line="240" w:lineRule="atLeast"/>
                    <w:jc w:val="center"/>
                    <w:rPr>
                      <w:rFonts w:hint="default" w:ascii="Times New Roman" w:hAnsi="Times New Roman" w:eastAsia="宋体" w:cs="Times New Roman"/>
                      <w:b/>
                      <w:bCs w:val="0"/>
                      <w:color w:val="auto"/>
                      <w:spacing w:val="0"/>
                      <w:szCs w:val="21"/>
                      <w:highlight w:val="none"/>
                    </w:rPr>
                  </w:pPr>
                </w:p>
              </w:tc>
              <w:tc>
                <w:tcPr>
                  <w:tcW w:w="652" w:type="pct"/>
                  <w:vMerge w:val="continue"/>
                  <w:tcBorders>
                    <w:tl2br w:val="nil"/>
                    <w:tr2bl w:val="nil"/>
                  </w:tcBorders>
                  <w:noWrap w:val="0"/>
                  <w:vAlign w:val="center"/>
                </w:tcPr>
                <w:p w14:paraId="795019A2">
                  <w:pPr>
                    <w:spacing w:line="240" w:lineRule="atLeast"/>
                    <w:jc w:val="center"/>
                    <w:rPr>
                      <w:rFonts w:hint="default" w:ascii="Times New Roman" w:hAnsi="Times New Roman" w:eastAsia="宋体" w:cs="Times New Roman"/>
                      <w:b/>
                      <w:bCs w:val="0"/>
                      <w:color w:val="auto"/>
                      <w:spacing w:val="0"/>
                      <w:szCs w:val="21"/>
                      <w:highlight w:val="none"/>
                    </w:rPr>
                  </w:pPr>
                </w:p>
              </w:tc>
              <w:tc>
                <w:tcPr>
                  <w:tcW w:w="1000" w:type="pct"/>
                  <w:vMerge w:val="continue"/>
                  <w:tcBorders>
                    <w:tl2br w:val="nil"/>
                    <w:tr2bl w:val="nil"/>
                  </w:tcBorders>
                  <w:noWrap w:val="0"/>
                  <w:vAlign w:val="center"/>
                </w:tcPr>
                <w:p w14:paraId="4CBB09F8">
                  <w:pPr>
                    <w:spacing w:line="240" w:lineRule="atLeast"/>
                    <w:jc w:val="center"/>
                    <w:rPr>
                      <w:rFonts w:hint="default" w:ascii="Times New Roman" w:hAnsi="Times New Roman" w:eastAsia="宋体" w:cs="Times New Roman"/>
                      <w:b/>
                      <w:bCs w:val="0"/>
                      <w:color w:val="auto"/>
                      <w:spacing w:val="0"/>
                      <w:szCs w:val="21"/>
                      <w:highlight w:val="none"/>
                    </w:rPr>
                  </w:pPr>
                </w:p>
              </w:tc>
              <w:tc>
                <w:tcPr>
                  <w:tcW w:w="679" w:type="pct"/>
                  <w:tcBorders>
                    <w:tl2br w:val="nil"/>
                    <w:tr2bl w:val="nil"/>
                  </w:tcBorders>
                  <w:noWrap w:val="0"/>
                  <w:vAlign w:val="center"/>
                </w:tcPr>
                <w:p w14:paraId="4403416F">
                  <w:pPr>
                    <w:spacing w:line="240" w:lineRule="atLeast"/>
                    <w:jc w:val="center"/>
                    <w:rPr>
                      <w:rFonts w:hint="eastAsia" w:ascii="Times New Roman" w:hAnsi="Times New Roman" w:eastAsia="宋体" w:cs="Times New Roman"/>
                      <w:b/>
                      <w:bCs w:val="0"/>
                      <w:color w:val="auto"/>
                      <w:spacing w:val="0"/>
                      <w:szCs w:val="21"/>
                      <w:highlight w:val="none"/>
                      <w:lang w:val="en-US" w:eastAsia="zh-CN"/>
                    </w:rPr>
                  </w:pPr>
                  <w:r>
                    <w:rPr>
                      <w:rFonts w:hint="default" w:ascii="Times New Roman" w:hAnsi="Times New Roman" w:eastAsia="宋体" w:cs="Times New Roman"/>
                      <w:b/>
                      <w:bCs w:val="0"/>
                      <w:color w:val="auto"/>
                      <w:spacing w:val="0"/>
                      <w:szCs w:val="21"/>
                      <w:highlight w:val="none"/>
                    </w:rPr>
                    <w:t>昼间</w:t>
                  </w:r>
                </w:p>
              </w:tc>
              <w:tc>
                <w:tcPr>
                  <w:tcW w:w="670" w:type="pct"/>
                  <w:tcBorders>
                    <w:tl2br w:val="nil"/>
                    <w:tr2bl w:val="nil"/>
                  </w:tcBorders>
                  <w:noWrap w:val="0"/>
                  <w:vAlign w:val="center"/>
                </w:tcPr>
                <w:p w14:paraId="489FBA77">
                  <w:pPr>
                    <w:spacing w:line="240" w:lineRule="atLeast"/>
                    <w:jc w:val="center"/>
                    <w:rPr>
                      <w:rFonts w:hint="eastAsia" w:ascii="Times New Roman" w:hAnsi="Times New Roman" w:eastAsia="宋体" w:cs="Times New Roman"/>
                      <w:b/>
                      <w:bCs w:val="0"/>
                      <w:color w:val="auto"/>
                      <w:spacing w:val="0"/>
                      <w:szCs w:val="21"/>
                      <w:highlight w:val="none"/>
                      <w:lang w:val="en-US" w:eastAsia="zh-CN"/>
                    </w:rPr>
                  </w:pPr>
                  <w:r>
                    <w:rPr>
                      <w:rFonts w:hint="default" w:ascii="Times New Roman" w:hAnsi="Times New Roman" w:eastAsia="宋体" w:cs="Times New Roman"/>
                      <w:b/>
                      <w:bCs w:val="0"/>
                      <w:color w:val="auto"/>
                      <w:spacing w:val="0"/>
                      <w:szCs w:val="21"/>
                      <w:highlight w:val="none"/>
                    </w:rPr>
                    <w:t>昼间</w:t>
                  </w:r>
                </w:p>
              </w:tc>
              <w:tc>
                <w:tcPr>
                  <w:tcW w:w="694" w:type="pct"/>
                  <w:tcBorders>
                    <w:tl2br w:val="nil"/>
                    <w:tr2bl w:val="nil"/>
                  </w:tcBorders>
                  <w:noWrap w:val="0"/>
                  <w:vAlign w:val="center"/>
                </w:tcPr>
                <w:p w14:paraId="09CD1524">
                  <w:pPr>
                    <w:spacing w:line="240" w:lineRule="atLeast"/>
                    <w:jc w:val="center"/>
                    <w:rPr>
                      <w:rFonts w:hint="default" w:cs="Times New Roman"/>
                      <w:b/>
                      <w:bCs w:val="0"/>
                      <w:color w:val="auto"/>
                      <w:spacing w:val="0"/>
                      <w:szCs w:val="21"/>
                      <w:highlight w:val="none"/>
                      <w:lang w:val="en-US" w:eastAsia="zh-CN"/>
                    </w:rPr>
                  </w:pPr>
                  <w:r>
                    <w:rPr>
                      <w:rFonts w:hint="eastAsia" w:cs="Times New Roman"/>
                      <w:b/>
                      <w:bCs w:val="0"/>
                      <w:color w:val="auto"/>
                      <w:spacing w:val="0"/>
                      <w:szCs w:val="21"/>
                      <w:highlight w:val="none"/>
                      <w:lang w:val="en-US" w:eastAsia="zh-CN"/>
                    </w:rPr>
                    <w:t>昼间</w:t>
                  </w:r>
                </w:p>
              </w:tc>
            </w:tr>
            <w:tr w14:paraId="34030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tcBorders>
                    <w:tl2br w:val="nil"/>
                    <w:tr2bl w:val="nil"/>
                  </w:tcBorders>
                  <w:noWrap w:val="0"/>
                  <w:vAlign w:val="center"/>
                </w:tcPr>
                <w:p w14:paraId="5733F64F">
                  <w:pPr>
                    <w:pStyle w:val="59"/>
                    <w:spacing w:line="240" w:lineRule="atLeast"/>
                    <w:jc w:val="center"/>
                    <w:rPr>
                      <w:rFonts w:hint="default" w:ascii="Times New Roman" w:hAnsi="Times New Roman" w:eastAsia="宋体" w:cs="Times New Roman"/>
                      <w:bCs/>
                      <w:color w:val="auto"/>
                      <w:spacing w:val="0"/>
                      <w:szCs w:val="21"/>
                      <w:highlight w:val="none"/>
                      <w:lang w:val="en-US" w:eastAsia="zh-CN"/>
                    </w:rPr>
                  </w:pPr>
                  <w:r>
                    <w:rPr>
                      <w:rFonts w:hint="default" w:ascii="Times New Roman" w:hAnsi="Times New Roman" w:eastAsia="宋体" w:cs="Times New Roman"/>
                      <w:bCs/>
                      <w:color w:val="auto"/>
                      <w:spacing w:val="0"/>
                      <w:szCs w:val="21"/>
                      <w:highlight w:val="none"/>
                      <w:lang w:val="en-US" w:eastAsia="zh-CN"/>
                    </w:rPr>
                    <w:t>1</w:t>
                  </w:r>
                </w:p>
              </w:tc>
              <w:tc>
                <w:tcPr>
                  <w:tcW w:w="1022" w:type="pct"/>
                  <w:tcBorders>
                    <w:tl2br w:val="nil"/>
                    <w:tr2bl w:val="nil"/>
                  </w:tcBorders>
                  <w:shd w:val="clear" w:color="auto" w:fill="auto"/>
                  <w:noWrap w:val="0"/>
                  <w:vAlign w:val="center"/>
                </w:tcPr>
                <w:p w14:paraId="2E4B61A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96" w:type="dxa"/>
                  <w:tcBorders>
                    <w:tl2br w:val="nil"/>
                    <w:tr2bl w:val="nil"/>
                  </w:tcBorders>
                  <w:shd w:val="clear" w:color="auto" w:fill="auto"/>
                  <w:noWrap w:val="0"/>
                  <w:vAlign w:val="center"/>
                </w:tcPr>
                <w:p w14:paraId="0EA807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 w:val="21"/>
                      <w:szCs w:val="21"/>
                      <w:highlight w:val="none"/>
                      <w:lang w:val="en-US" w:eastAsia="zh-CN"/>
                    </w:rPr>
                    <w:t>77</w:t>
                  </w:r>
                </w:p>
              </w:tc>
              <w:tc>
                <w:tcPr>
                  <w:tcW w:w="1680" w:type="dxa"/>
                  <w:tcBorders>
                    <w:tl2br w:val="nil"/>
                    <w:tr2bl w:val="nil"/>
                  </w:tcBorders>
                  <w:shd w:val="clear" w:color="auto" w:fill="auto"/>
                  <w:noWrap w:val="0"/>
                  <w:vAlign w:val="center"/>
                </w:tcPr>
                <w:p w14:paraId="1F95D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72</w:t>
                  </w:r>
                </w:p>
              </w:tc>
              <w:tc>
                <w:tcPr>
                  <w:tcW w:w="1140" w:type="dxa"/>
                  <w:tcBorders>
                    <w:tl2br w:val="nil"/>
                    <w:tr2bl w:val="nil"/>
                  </w:tcBorders>
                  <w:shd w:val="clear" w:color="auto" w:fill="auto"/>
                  <w:noWrap w:val="0"/>
                  <w:vAlign w:val="center"/>
                </w:tcPr>
                <w:p w14:paraId="503C5128">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w:t>
                  </w:r>
                </w:p>
              </w:tc>
              <w:tc>
                <w:tcPr>
                  <w:tcW w:w="1125" w:type="dxa"/>
                  <w:tcBorders>
                    <w:tl2br w:val="nil"/>
                    <w:tr2bl w:val="nil"/>
                  </w:tcBorders>
                  <w:shd w:val="clear" w:color="auto" w:fill="auto"/>
                  <w:noWrap w:val="0"/>
                  <w:vAlign w:val="center"/>
                </w:tcPr>
                <w:p w14:paraId="130E6A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72</w:t>
                  </w:r>
                </w:p>
              </w:tc>
              <w:tc>
                <w:tcPr>
                  <w:tcW w:w="694" w:type="pct"/>
                  <w:vMerge w:val="restart"/>
                  <w:tcBorders>
                    <w:tl2br w:val="nil"/>
                    <w:tr2bl w:val="nil"/>
                  </w:tcBorders>
                  <w:shd w:val="clear" w:color="auto" w:fill="auto"/>
                  <w:noWrap w:val="0"/>
                  <w:vAlign w:val="center"/>
                </w:tcPr>
                <w:p w14:paraId="0AD580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w:t>
                  </w:r>
                </w:p>
              </w:tc>
            </w:tr>
            <w:tr w14:paraId="751A0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tcBorders>
                    <w:tl2br w:val="nil"/>
                    <w:tr2bl w:val="nil"/>
                  </w:tcBorders>
                  <w:noWrap w:val="0"/>
                  <w:vAlign w:val="center"/>
                </w:tcPr>
                <w:p w14:paraId="0E3E7891">
                  <w:pPr>
                    <w:pStyle w:val="59"/>
                    <w:spacing w:line="240" w:lineRule="atLeast"/>
                    <w:jc w:val="center"/>
                    <w:rPr>
                      <w:rFonts w:hint="default" w:ascii="Times New Roman" w:hAnsi="Times New Roman" w:eastAsia="宋体" w:cs="Times New Roman"/>
                      <w:color w:val="auto"/>
                      <w:spacing w:val="0"/>
                      <w:szCs w:val="21"/>
                      <w:highlight w:val="none"/>
                    </w:rPr>
                  </w:pPr>
                  <w:r>
                    <w:rPr>
                      <w:rFonts w:hint="eastAsia" w:ascii="Times New Roman" w:hAnsi="Times New Roman" w:eastAsia="宋体" w:cs="Times New Roman"/>
                      <w:color w:val="auto"/>
                      <w:spacing w:val="0"/>
                      <w:szCs w:val="21"/>
                      <w:highlight w:val="none"/>
                      <w:lang w:val="en-US" w:eastAsia="zh-CN"/>
                    </w:rPr>
                    <w:t>2</w:t>
                  </w:r>
                </w:p>
              </w:tc>
              <w:tc>
                <w:tcPr>
                  <w:tcW w:w="1022" w:type="pct"/>
                  <w:tcBorders>
                    <w:tl2br w:val="nil"/>
                    <w:tr2bl w:val="nil"/>
                  </w:tcBorders>
                  <w:shd w:val="clear" w:color="auto" w:fill="auto"/>
                  <w:noWrap w:val="0"/>
                  <w:vAlign w:val="center"/>
                </w:tcPr>
                <w:p w14:paraId="565A7F9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96" w:type="dxa"/>
                  <w:tcBorders>
                    <w:tl2br w:val="nil"/>
                    <w:tr2bl w:val="nil"/>
                  </w:tcBorders>
                  <w:shd w:val="clear" w:color="auto" w:fill="auto"/>
                  <w:noWrap w:val="0"/>
                  <w:vAlign w:val="center"/>
                </w:tcPr>
                <w:p w14:paraId="0BEAA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 w:val="21"/>
                      <w:szCs w:val="21"/>
                      <w:highlight w:val="none"/>
                      <w:lang w:val="en-US" w:eastAsia="zh-CN"/>
                    </w:rPr>
                    <w:t>70</w:t>
                  </w:r>
                </w:p>
              </w:tc>
              <w:tc>
                <w:tcPr>
                  <w:tcW w:w="1680" w:type="dxa"/>
                  <w:tcBorders>
                    <w:tl2br w:val="nil"/>
                    <w:tr2bl w:val="nil"/>
                  </w:tcBorders>
                  <w:shd w:val="clear" w:color="auto" w:fill="auto"/>
                  <w:noWrap w:val="0"/>
                  <w:vAlign w:val="center"/>
                </w:tcPr>
                <w:p w14:paraId="5B07E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65</w:t>
                  </w:r>
                </w:p>
              </w:tc>
              <w:tc>
                <w:tcPr>
                  <w:tcW w:w="1140" w:type="dxa"/>
                  <w:tcBorders>
                    <w:tl2br w:val="nil"/>
                    <w:tr2bl w:val="nil"/>
                  </w:tcBorders>
                  <w:shd w:val="clear" w:color="auto" w:fill="auto"/>
                  <w:noWrap w:val="0"/>
                  <w:vAlign w:val="center"/>
                </w:tcPr>
                <w:p w14:paraId="4915E8ED">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32</w:t>
                  </w:r>
                </w:p>
              </w:tc>
              <w:tc>
                <w:tcPr>
                  <w:tcW w:w="1125" w:type="dxa"/>
                  <w:tcBorders>
                    <w:tl2br w:val="nil"/>
                    <w:tr2bl w:val="nil"/>
                  </w:tcBorders>
                  <w:shd w:val="clear" w:color="auto" w:fill="auto"/>
                  <w:noWrap w:val="0"/>
                  <w:vAlign w:val="center"/>
                </w:tcPr>
                <w:p w14:paraId="0B123F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65</w:t>
                  </w:r>
                </w:p>
              </w:tc>
              <w:tc>
                <w:tcPr>
                  <w:tcW w:w="694" w:type="pct"/>
                  <w:vMerge w:val="continue"/>
                  <w:tcBorders>
                    <w:tl2br w:val="nil"/>
                    <w:tr2bl w:val="nil"/>
                  </w:tcBorders>
                  <w:shd w:val="clear" w:color="auto" w:fill="auto"/>
                  <w:noWrap w:val="0"/>
                  <w:vAlign w:val="center"/>
                </w:tcPr>
                <w:p w14:paraId="4ADD5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49"/>
                      <w:rFonts w:hint="eastAsia" w:ascii="Times New Roman" w:hAnsi="Times New Roman" w:eastAsia="宋体" w:cs="Times New Roman"/>
                      <w:b w:val="0"/>
                      <w:bCs/>
                      <w:color w:val="auto"/>
                      <w:spacing w:val="0"/>
                      <w:highlight w:val="none"/>
                      <w:lang w:val="en-US" w:eastAsia="zh-CN"/>
                    </w:rPr>
                  </w:pPr>
                </w:p>
              </w:tc>
            </w:tr>
            <w:tr w14:paraId="7197C8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tcBorders>
                    <w:tl2br w:val="nil"/>
                    <w:tr2bl w:val="nil"/>
                  </w:tcBorders>
                  <w:noWrap w:val="0"/>
                  <w:vAlign w:val="center"/>
                </w:tcPr>
                <w:p w14:paraId="5EAF377C">
                  <w:pPr>
                    <w:pStyle w:val="59"/>
                    <w:spacing w:line="240" w:lineRule="atLeast"/>
                    <w:jc w:val="center"/>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3</w:t>
                  </w:r>
                </w:p>
              </w:tc>
              <w:tc>
                <w:tcPr>
                  <w:tcW w:w="1022" w:type="pct"/>
                  <w:tcBorders>
                    <w:tl2br w:val="nil"/>
                    <w:tr2bl w:val="nil"/>
                  </w:tcBorders>
                  <w:shd w:val="clear" w:color="auto" w:fill="auto"/>
                  <w:noWrap w:val="0"/>
                  <w:vAlign w:val="center"/>
                </w:tcPr>
                <w:p w14:paraId="2838D2CA">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96" w:type="dxa"/>
                  <w:tcBorders>
                    <w:tl2br w:val="nil"/>
                    <w:tr2bl w:val="nil"/>
                  </w:tcBorders>
                  <w:shd w:val="clear" w:color="auto" w:fill="auto"/>
                  <w:noWrap w:val="0"/>
                  <w:vAlign w:val="center"/>
                </w:tcPr>
                <w:p w14:paraId="4F8D9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 w:val="21"/>
                      <w:szCs w:val="21"/>
                      <w:highlight w:val="none"/>
                      <w:lang w:val="en-US" w:eastAsia="zh-CN"/>
                    </w:rPr>
                    <w:t>61</w:t>
                  </w:r>
                </w:p>
              </w:tc>
              <w:tc>
                <w:tcPr>
                  <w:tcW w:w="1680" w:type="dxa"/>
                  <w:tcBorders>
                    <w:tl2br w:val="nil"/>
                    <w:tr2bl w:val="nil"/>
                  </w:tcBorders>
                  <w:shd w:val="clear" w:color="auto" w:fill="auto"/>
                  <w:noWrap w:val="0"/>
                  <w:vAlign w:val="center"/>
                </w:tcPr>
                <w:p w14:paraId="0E7C1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56</w:t>
                  </w:r>
                </w:p>
              </w:tc>
              <w:tc>
                <w:tcPr>
                  <w:tcW w:w="1140" w:type="dxa"/>
                  <w:tcBorders>
                    <w:tl2br w:val="nil"/>
                    <w:tr2bl w:val="nil"/>
                  </w:tcBorders>
                  <w:shd w:val="clear" w:color="auto" w:fill="auto"/>
                  <w:noWrap w:val="0"/>
                  <w:vAlign w:val="center"/>
                </w:tcPr>
                <w:p w14:paraId="39CF31BC">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1125" w:type="dxa"/>
                  <w:tcBorders>
                    <w:tl2br w:val="nil"/>
                    <w:tr2bl w:val="nil"/>
                  </w:tcBorders>
                  <w:shd w:val="clear" w:color="auto" w:fill="auto"/>
                  <w:noWrap w:val="0"/>
                  <w:vAlign w:val="center"/>
                </w:tcPr>
                <w:p w14:paraId="51EDCA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56</w:t>
                  </w:r>
                </w:p>
              </w:tc>
              <w:tc>
                <w:tcPr>
                  <w:tcW w:w="694" w:type="pct"/>
                  <w:vMerge w:val="continue"/>
                  <w:tcBorders>
                    <w:tl2br w:val="nil"/>
                    <w:tr2bl w:val="nil"/>
                  </w:tcBorders>
                  <w:shd w:val="clear" w:color="auto" w:fill="auto"/>
                  <w:noWrap w:val="0"/>
                  <w:vAlign w:val="center"/>
                </w:tcPr>
                <w:p w14:paraId="3854C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49"/>
                      <w:rFonts w:hint="eastAsia" w:ascii="Times New Roman" w:hAnsi="Times New Roman" w:eastAsia="宋体" w:cs="Times New Roman"/>
                      <w:b w:val="0"/>
                      <w:bCs/>
                      <w:color w:val="auto"/>
                      <w:spacing w:val="0"/>
                      <w:highlight w:val="none"/>
                      <w:lang w:val="en-US" w:eastAsia="zh-CN"/>
                    </w:rPr>
                  </w:pPr>
                </w:p>
              </w:tc>
            </w:tr>
            <w:tr w14:paraId="30E20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 w:type="pct"/>
                  <w:tcBorders>
                    <w:tl2br w:val="nil"/>
                    <w:tr2bl w:val="nil"/>
                  </w:tcBorders>
                  <w:noWrap w:val="0"/>
                  <w:vAlign w:val="center"/>
                </w:tcPr>
                <w:p w14:paraId="15FEE36C">
                  <w:pPr>
                    <w:pStyle w:val="59"/>
                    <w:spacing w:line="240" w:lineRule="atLeast"/>
                    <w:jc w:val="center"/>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4</w:t>
                  </w:r>
                </w:p>
              </w:tc>
              <w:tc>
                <w:tcPr>
                  <w:tcW w:w="1022" w:type="pct"/>
                  <w:tcBorders>
                    <w:tl2br w:val="nil"/>
                    <w:tr2bl w:val="nil"/>
                  </w:tcBorders>
                  <w:shd w:val="clear" w:color="auto" w:fill="auto"/>
                  <w:noWrap w:val="0"/>
                  <w:vAlign w:val="center"/>
                </w:tcPr>
                <w:p w14:paraId="728269C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096" w:type="dxa"/>
                  <w:tcBorders>
                    <w:tl2br w:val="nil"/>
                    <w:tr2bl w:val="nil"/>
                  </w:tcBorders>
                  <w:shd w:val="clear" w:color="auto" w:fill="auto"/>
                  <w:noWrap w:val="0"/>
                  <w:vAlign w:val="center"/>
                </w:tcPr>
                <w:p w14:paraId="69118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sz w:val="21"/>
                      <w:szCs w:val="21"/>
                      <w:highlight w:val="none"/>
                      <w:lang w:val="en-US" w:eastAsia="zh-CN"/>
                    </w:rPr>
                    <w:t>75</w:t>
                  </w:r>
                </w:p>
              </w:tc>
              <w:tc>
                <w:tcPr>
                  <w:tcW w:w="1680" w:type="dxa"/>
                  <w:tcBorders>
                    <w:tl2br w:val="nil"/>
                    <w:tr2bl w:val="nil"/>
                  </w:tcBorders>
                  <w:shd w:val="clear" w:color="auto" w:fill="auto"/>
                  <w:noWrap w:val="0"/>
                  <w:vAlign w:val="center"/>
                </w:tcPr>
                <w:p w14:paraId="690C1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70</w:t>
                  </w:r>
                </w:p>
              </w:tc>
              <w:tc>
                <w:tcPr>
                  <w:tcW w:w="1140" w:type="dxa"/>
                  <w:tcBorders>
                    <w:tl2br w:val="nil"/>
                    <w:tr2bl w:val="nil"/>
                  </w:tcBorders>
                  <w:shd w:val="clear" w:color="auto" w:fill="auto"/>
                  <w:noWrap w:val="0"/>
                  <w:vAlign w:val="center"/>
                </w:tcPr>
                <w:p w14:paraId="2A4CC162">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39</w:t>
                  </w:r>
                </w:p>
              </w:tc>
              <w:tc>
                <w:tcPr>
                  <w:tcW w:w="1125" w:type="dxa"/>
                  <w:tcBorders>
                    <w:tl2br w:val="nil"/>
                    <w:tr2bl w:val="nil"/>
                  </w:tcBorders>
                  <w:shd w:val="clear" w:color="auto" w:fill="auto"/>
                  <w:noWrap w:val="0"/>
                  <w:vAlign w:val="center"/>
                </w:tcPr>
                <w:p w14:paraId="3B9E9B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70</w:t>
                  </w:r>
                </w:p>
              </w:tc>
              <w:tc>
                <w:tcPr>
                  <w:tcW w:w="694" w:type="pct"/>
                  <w:vMerge w:val="continue"/>
                  <w:tcBorders>
                    <w:tl2br w:val="nil"/>
                    <w:tr2bl w:val="nil"/>
                  </w:tcBorders>
                  <w:shd w:val="clear" w:color="auto" w:fill="auto"/>
                  <w:noWrap w:val="0"/>
                  <w:vAlign w:val="center"/>
                </w:tcPr>
                <w:p w14:paraId="684A86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49"/>
                      <w:rFonts w:hint="eastAsia" w:ascii="Times New Roman" w:hAnsi="Times New Roman" w:eastAsia="宋体" w:cs="Times New Roman"/>
                      <w:b w:val="0"/>
                      <w:bCs/>
                      <w:color w:val="auto"/>
                      <w:spacing w:val="0"/>
                      <w:highlight w:val="none"/>
                      <w:lang w:val="en-US" w:eastAsia="zh-CN"/>
                    </w:rPr>
                  </w:pPr>
                </w:p>
              </w:tc>
            </w:tr>
          </w:tbl>
          <w:p w14:paraId="225110E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根据</w:t>
            </w:r>
            <w:r>
              <w:rPr>
                <w:rFonts w:hint="eastAsia" w:ascii="Times New Roman" w:hAnsi="Times New Roman" w:eastAsia="宋体" w:cs="Times New Roman"/>
                <w:color w:val="auto"/>
                <w:sz w:val="24"/>
                <w:highlight w:val="none"/>
                <w:lang w:val="en-US" w:eastAsia="zh-CN"/>
              </w:rPr>
              <w:t>预测结果可知</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施工期</w:t>
            </w:r>
            <w:r>
              <w:rPr>
                <w:rFonts w:hint="eastAsia" w:ascii="Times New Roman" w:hAnsi="Times New Roman" w:cs="Times New Roman"/>
                <w:color w:val="auto"/>
                <w:sz w:val="24"/>
                <w:highlight w:val="none"/>
                <w:lang w:val="en-US" w:eastAsia="zh-CN"/>
              </w:rPr>
              <w:t>变电站周边</w:t>
            </w:r>
            <w:r>
              <w:rPr>
                <w:color w:val="auto"/>
                <w:kern w:val="0"/>
                <w:sz w:val="24"/>
                <w:highlight w:val="none"/>
                <w:lang w:bidi="ar"/>
              </w:rPr>
              <w:t>声环境</w:t>
            </w:r>
            <w:r>
              <w:rPr>
                <w:rFonts w:hint="eastAsia"/>
                <w:color w:val="auto"/>
                <w:kern w:val="0"/>
                <w:sz w:val="24"/>
                <w:highlight w:val="none"/>
                <w:lang w:val="en-US" w:eastAsia="zh-CN" w:bidi="ar"/>
              </w:rPr>
              <w:t>保护</w:t>
            </w:r>
            <w:r>
              <w:rPr>
                <w:color w:val="auto"/>
                <w:kern w:val="0"/>
                <w:sz w:val="24"/>
                <w:highlight w:val="none"/>
                <w:lang w:bidi="ar"/>
              </w:rPr>
              <w:t>目标处</w:t>
            </w:r>
            <w:r>
              <w:rPr>
                <w:rFonts w:hint="eastAsia"/>
                <w:color w:val="auto"/>
                <w:kern w:val="0"/>
                <w:sz w:val="24"/>
                <w:highlight w:val="none"/>
                <w:lang w:val="en-US" w:eastAsia="zh-CN" w:bidi="ar"/>
              </w:rPr>
              <w:t>环境</w:t>
            </w:r>
            <w:r>
              <w:rPr>
                <w:color w:val="auto"/>
                <w:kern w:val="0"/>
                <w:sz w:val="24"/>
                <w:highlight w:val="none"/>
                <w:lang w:bidi="ar"/>
              </w:rPr>
              <w:t>噪声预测值昼间</w:t>
            </w:r>
            <w:r>
              <w:rPr>
                <w:rFonts w:hint="eastAsia"/>
                <w:color w:val="auto"/>
                <w:kern w:val="0"/>
                <w:sz w:val="24"/>
                <w:highlight w:val="none"/>
                <w:lang w:eastAsia="zh-CN" w:bidi="ar"/>
              </w:rPr>
              <w:t>（</w:t>
            </w:r>
            <w:r>
              <w:rPr>
                <w:rFonts w:hint="eastAsia"/>
                <w:color w:val="auto"/>
                <w:kern w:val="0"/>
                <w:sz w:val="24"/>
                <w:highlight w:val="none"/>
                <w:lang w:val="en-US" w:eastAsia="zh-CN" w:bidi="ar"/>
              </w:rPr>
              <w:t>56-72</w:t>
            </w:r>
            <w:r>
              <w:rPr>
                <w:rFonts w:hint="eastAsia"/>
                <w:color w:val="auto"/>
                <w:kern w:val="0"/>
                <w:sz w:val="24"/>
                <w:highlight w:val="none"/>
                <w:lang w:eastAsia="zh-CN" w:bidi="ar"/>
              </w:rPr>
              <w:t>）</w:t>
            </w:r>
            <w:r>
              <w:rPr>
                <w:color w:val="auto"/>
                <w:kern w:val="0"/>
                <w:sz w:val="24"/>
                <w:highlight w:val="none"/>
                <w:lang w:bidi="ar"/>
              </w:rPr>
              <w:t>dB(A)</w:t>
            </w:r>
            <w:r>
              <w:rPr>
                <w:rFonts w:hint="eastAsia"/>
                <w:color w:val="auto"/>
                <w:kern w:val="0"/>
                <w:sz w:val="24"/>
                <w:highlight w:val="none"/>
                <w:lang w:eastAsia="zh-CN" w:bidi="ar"/>
              </w:rPr>
              <w:t>，</w:t>
            </w:r>
            <w:r>
              <w:rPr>
                <w:rFonts w:hint="eastAsia"/>
                <w:color w:val="auto"/>
                <w:kern w:val="0"/>
                <w:sz w:val="24"/>
                <w:highlight w:val="none"/>
                <w:lang w:val="en-US" w:eastAsia="zh-CN" w:bidi="ar"/>
              </w:rPr>
              <w:t>不</w:t>
            </w:r>
            <w:r>
              <w:rPr>
                <w:color w:val="auto"/>
                <w:kern w:val="0"/>
                <w:sz w:val="24"/>
                <w:highlight w:val="none"/>
                <w:lang w:bidi="ar"/>
              </w:rPr>
              <w:t>满足</w:t>
            </w:r>
            <w:r>
              <w:rPr>
                <w:color w:val="auto"/>
                <w:sz w:val="24"/>
                <w:highlight w:val="none"/>
              </w:rPr>
              <w:t>《声环境质量标准》（GB3096-2008）</w:t>
            </w:r>
            <w:r>
              <w:rPr>
                <w:color w:val="auto"/>
                <w:kern w:val="0"/>
                <w:sz w:val="24"/>
                <w:highlight w:val="none"/>
                <w:lang w:bidi="ar"/>
              </w:rPr>
              <w:t>中</w:t>
            </w:r>
            <w:r>
              <w:rPr>
                <w:rFonts w:hint="eastAsia"/>
                <w:color w:val="auto"/>
                <w:kern w:val="0"/>
                <w:sz w:val="24"/>
                <w:highlight w:val="none"/>
                <w:lang w:val="en-US" w:eastAsia="zh-CN" w:bidi="ar"/>
              </w:rPr>
              <w:t>2类</w:t>
            </w:r>
            <w:r>
              <w:rPr>
                <w:color w:val="auto"/>
                <w:kern w:val="0"/>
                <w:sz w:val="24"/>
                <w:highlight w:val="none"/>
                <w:lang w:bidi="ar"/>
              </w:rPr>
              <w:t>标准要求。</w:t>
            </w:r>
          </w:p>
          <w:p w14:paraId="5FD954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Times New Roman"/>
                <w:color w:val="auto"/>
                <w:sz w:val="24"/>
                <w:highlight w:val="none"/>
                <w:lang w:val="en-US" w:eastAsia="zh-CN"/>
              </w:rPr>
            </w:pPr>
            <w:r>
              <w:rPr>
                <w:rFonts w:hint="eastAsia" w:eastAsia="宋体" w:cs="Times New Roman"/>
                <w:color w:val="auto"/>
                <w:sz w:val="24"/>
                <w:highlight w:val="none"/>
                <w:lang w:val="en-US" w:eastAsia="zh-CN"/>
              </w:rPr>
              <w:t>③预测结果分析</w:t>
            </w:r>
          </w:p>
          <w:p w14:paraId="0121D8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Times New Roman"/>
                <w:color w:val="auto"/>
                <w:sz w:val="24"/>
                <w:highlight w:val="none"/>
                <w:lang w:val="en-US" w:eastAsia="zh-CN"/>
              </w:rPr>
            </w:pPr>
            <w:r>
              <w:rPr>
                <w:rFonts w:hint="eastAsia" w:cs="Times New Roman"/>
                <w:color w:val="auto"/>
                <w:sz w:val="24"/>
                <w:highlight w:val="none"/>
                <w:lang w:val="en-US" w:eastAsia="zh-CN"/>
              </w:rPr>
              <w:t>本项目变电站</w:t>
            </w:r>
            <w:r>
              <w:rPr>
                <w:rFonts w:hint="eastAsia" w:eastAsia="宋体" w:cs="Times New Roman"/>
                <w:color w:val="auto"/>
                <w:sz w:val="24"/>
                <w:highlight w:val="none"/>
                <w:lang w:val="en-US" w:eastAsia="zh-CN"/>
              </w:rPr>
              <w:t>施工一般在昼间（6</w:t>
            </w:r>
            <w:r>
              <w:rPr>
                <w:rFonts w:hint="eastAsia" w:cs="Times New Roman"/>
                <w:color w:val="auto"/>
                <w:sz w:val="24"/>
                <w:highlight w:val="none"/>
                <w:lang w:val="en-US" w:eastAsia="zh-CN"/>
              </w:rPr>
              <w:t>:</w:t>
            </w:r>
            <w:r>
              <w:rPr>
                <w:rFonts w:hint="eastAsia" w:eastAsia="宋体" w:cs="Times New Roman"/>
                <w:color w:val="auto"/>
                <w:sz w:val="24"/>
                <w:highlight w:val="none"/>
                <w:lang w:val="en-US" w:eastAsia="zh-CN"/>
              </w:rPr>
              <w:t>00-22:00）进行，尽量避免夜间（22:00-6:00）进行施工，因施工工艺和其他因素等要求必须进行夜间（22:00-6:00）施工时，应当取得地方人民政府住房和城乡建设、生态环境主管部门或者地方人民政府指定的部门的证明，并在施工现场显著位置公示或者以其他方式公告附近人群，最大限度地争取受影响人群支持和谅解，同时在夜间施工时禁止使用产生较大噪声的机械设备如推土机、压路机等，并严格控制施工时间。</w:t>
            </w:r>
          </w:p>
          <w:p w14:paraId="7C15B3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highlight w:val="none"/>
                <w:lang w:bidi="ar"/>
              </w:rPr>
            </w:pPr>
            <w:r>
              <w:rPr>
                <w:rFonts w:hint="eastAsia" w:eastAsia="宋体" w:cs="Times New Roman"/>
                <w:color w:val="auto"/>
                <w:sz w:val="24"/>
                <w:highlight w:val="none"/>
                <w:lang w:val="en-US" w:eastAsia="zh-CN"/>
              </w:rPr>
              <w:t>施工过程中选用低噪声的施工设备，变电站施工时应首先完成变电站围墙的修建</w:t>
            </w:r>
            <w:r>
              <w:rPr>
                <w:rFonts w:hint="eastAsia" w:cs="Times New Roman"/>
                <w:color w:val="auto"/>
                <w:sz w:val="24"/>
                <w:highlight w:val="none"/>
                <w:lang w:val="en-US" w:eastAsia="zh-CN"/>
              </w:rPr>
              <w:t>并设置施工围挡</w:t>
            </w:r>
            <w:r>
              <w:rPr>
                <w:rFonts w:hint="eastAsia" w:eastAsia="宋体" w:cs="Times New Roman"/>
                <w:color w:val="auto"/>
                <w:sz w:val="24"/>
                <w:highlight w:val="none"/>
                <w:lang w:val="en-US" w:eastAsia="zh-CN"/>
              </w:rPr>
              <w:t>，然后进行站内施工，合理布置施工机具，如尽量将高噪声源强施工机具布置在远离站界位置，避免噪声源强较大的机械同时进行施工作业；</w:t>
            </w:r>
            <w:r>
              <w:rPr>
                <w:color w:val="auto"/>
                <w:kern w:val="0"/>
                <w:sz w:val="24"/>
                <w:highlight w:val="none"/>
                <w:lang w:bidi="ar"/>
              </w:rPr>
              <w:t>变电站围墙为装配式围墙，</w:t>
            </w:r>
            <w:r>
              <w:rPr>
                <w:rFonts w:hint="eastAsia" w:cs="Times New Roman"/>
                <w:color w:val="auto"/>
                <w:kern w:val="0"/>
                <w:sz w:val="24"/>
                <w:highlight w:val="none"/>
                <w:lang w:val="en-US" w:eastAsia="zh-CN" w:bidi="ar"/>
              </w:rPr>
              <w:t>配电装置室</w:t>
            </w:r>
            <w:r>
              <w:rPr>
                <w:rFonts w:hint="default" w:ascii="Times New Roman" w:hAnsi="Times New Roman" w:cs="Times New Roman"/>
                <w:color w:val="auto"/>
                <w:kern w:val="0"/>
                <w:sz w:val="24"/>
                <w:highlight w:val="none"/>
                <w:lang w:val="en-US" w:eastAsia="zh-CN" w:bidi="ar"/>
              </w:rPr>
              <w:t>采用装配式钢框架结构，与传统变电站相比，</w:t>
            </w:r>
            <w:r>
              <w:rPr>
                <w:rFonts w:hint="eastAsia"/>
                <w:color w:val="auto"/>
                <w:kern w:val="0"/>
                <w:sz w:val="24"/>
                <w:highlight w:val="none"/>
                <w:lang w:val="en-US" w:eastAsia="zh-CN" w:bidi="ar"/>
              </w:rPr>
              <w:t>降低</w:t>
            </w:r>
            <w:r>
              <w:rPr>
                <w:color w:val="auto"/>
                <w:kern w:val="0"/>
                <w:sz w:val="24"/>
                <w:highlight w:val="none"/>
                <w:lang w:bidi="ar"/>
              </w:rPr>
              <w:t>了施工作业</w:t>
            </w:r>
            <w:r>
              <w:rPr>
                <w:rFonts w:hint="eastAsia"/>
                <w:color w:val="auto"/>
                <w:kern w:val="0"/>
                <w:sz w:val="24"/>
                <w:highlight w:val="none"/>
                <w:lang w:val="en-US" w:eastAsia="zh-CN" w:bidi="ar"/>
              </w:rPr>
              <w:t>强度</w:t>
            </w:r>
            <w:r>
              <w:rPr>
                <w:color w:val="auto"/>
                <w:kern w:val="0"/>
                <w:sz w:val="24"/>
                <w:highlight w:val="none"/>
                <w:lang w:bidi="ar"/>
              </w:rPr>
              <w:t>，可减少</w:t>
            </w:r>
            <w:r>
              <w:rPr>
                <w:rFonts w:hint="eastAsia"/>
                <w:color w:val="auto"/>
                <w:kern w:val="0"/>
                <w:sz w:val="24"/>
                <w:highlight w:val="none"/>
                <w:lang w:val="en-US" w:eastAsia="zh-CN" w:bidi="ar"/>
              </w:rPr>
              <w:t>施工噪声</w:t>
            </w:r>
            <w:r>
              <w:rPr>
                <w:color w:val="auto"/>
                <w:kern w:val="0"/>
                <w:sz w:val="24"/>
                <w:highlight w:val="none"/>
                <w:lang w:bidi="ar"/>
              </w:rPr>
              <w:t>对周围</w:t>
            </w:r>
            <w:r>
              <w:rPr>
                <w:rFonts w:hint="eastAsia"/>
                <w:color w:val="auto"/>
                <w:kern w:val="0"/>
                <w:sz w:val="24"/>
                <w:highlight w:val="none"/>
                <w:lang w:val="en-US" w:eastAsia="zh-CN" w:bidi="ar"/>
              </w:rPr>
              <w:t>声</w:t>
            </w:r>
            <w:r>
              <w:rPr>
                <w:color w:val="auto"/>
                <w:kern w:val="0"/>
                <w:sz w:val="24"/>
                <w:highlight w:val="none"/>
                <w:lang w:bidi="ar"/>
              </w:rPr>
              <w:t>环境的影响</w:t>
            </w:r>
            <w:r>
              <w:rPr>
                <w:rFonts w:hint="eastAsia"/>
                <w:color w:val="auto"/>
                <w:kern w:val="0"/>
                <w:sz w:val="24"/>
                <w:highlight w:val="none"/>
                <w:lang w:eastAsia="zh-CN" w:bidi="ar"/>
              </w:rPr>
              <w:t>；</w:t>
            </w:r>
            <w:r>
              <w:rPr>
                <w:rFonts w:hint="eastAsia"/>
                <w:color w:val="auto"/>
                <w:kern w:val="0"/>
                <w:sz w:val="24"/>
                <w:highlight w:val="none"/>
                <w:lang w:val="en-US" w:eastAsia="zh-CN" w:bidi="ar"/>
              </w:rPr>
              <w:t>限</w:t>
            </w:r>
            <w:r>
              <w:rPr>
                <w:rFonts w:hint="eastAsia" w:eastAsia="宋体" w:cs="Times New Roman"/>
                <w:color w:val="auto"/>
                <w:sz w:val="24"/>
                <w:highlight w:val="none"/>
                <w:lang w:val="en-US" w:eastAsia="zh-CN"/>
              </w:rPr>
              <w:t>制施工时间，将冲击性大并伴有强烈震动的施工安排在白天进行；现场金属材料的装卸做到轻拿轻放；施工单位对施工机械设备定期进行维修养护，发现设备因松动的部件振动或消声器的损坏而增加工作时声级时，及时进行维修</w:t>
            </w:r>
            <w:r>
              <w:rPr>
                <w:rFonts w:hint="eastAsia" w:cs="Times New Roman"/>
                <w:color w:val="auto"/>
                <w:sz w:val="24"/>
                <w:highlight w:val="none"/>
                <w:lang w:val="en-US" w:eastAsia="zh-CN"/>
              </w:rPr>
              <w:t>；在落实</w:t>
            </w:r>
            <w:r>
              <w:rPr>
                <w:color w:val="auto"/>
                <w:kern w:val="0"/>
                <w:sz w:val="24"/>
                <w:highlight w:val="none"/>
                <w:lang w:bidi="ar"/>
              </w:rPr>
              <w:t>采用低噪声</w:t>
            </w:r>
            <w:r>
              <w:rPr>
                <w:rFonts w:hint="eastAsia"/>
                <w:color w:val="auto"/>
                <w:kern w:val="0"/>
                <w:sz w:val="24"/>
                <w:highlight w:val="none"/>
                <w:lang w:val="en-US" w:eastAsia="zh-CN" w:bidi="ar"/>
              </w:rPr>
              <w:t>施工</w:t>
            </w:r>
            <w:r>
              <w:rPr>
                <w:color w:val="auto"/>
                <w:kern w:val="0"/>
                <w:sz w:val="24"/>
                <w:highlight w:val="none"/>
                <w:lang w:bidi="ar"/>
              </w:rPr>
              <w:t>设备等声环境保护措施，</w:t>
            </w:r>
            <w:r>
              <w:rPr>
                <w:rFonts w:hint="eastAsia"/>
                <w:color w:val="auto"/>
                <w:kern w:val="0"/>
                <w:sz w:val="24"/>
                <w:highlight w:val="none"/>
                <w:lang w:val="en-US" w:eastAsia="zh-CN" w:bidi="ar"/>
              </w:rPr>
              <w:t>变电站</w:t>
            </w:r>
            <w:r>
              <w:rPr>
                <w:color w:val="auto"/>
                <w:kern w:val="0"/>
                <w:sz w:val="24"/>
                <w:highlight w:val="none"/>
                <w:lang w:bidi="ar"/>
              </w:rPr>
              <w:t>施工期声环境</w:t>
            </w:r>
            <w:r>
              <w:rPr>
                <w:rFonts w:hint="eastAsia"/>
                <w:color w:val="auto"/>
                <w:kern w:val="0"/>
                <w:sz w:val="24"/>
                <w:highlight w:val="none"/>
                <w:lang w:val="en-US" w:eastAsia="zh-CN" w:bidi="ar"/>
              </w:rPr>
              <w:t>保护</w:t>
            </w:r>
            <w:r>
              <w:rPr>
                <w:color w:val="auto"/>
                <w:kern w:val="0"/>
                <w:sz w:val="24"/>
                <w:highlight w:val="none"/>
                <w:lang w:bidi="ar"/>
              </w:rPr>
              <w:t>目标处噪声预测值也能满足</w:t>
            </w:r>
            <w:r>
              <w:rPr>
                <w:color w:val="auto"/>
                <w:sz w:val="24"/>
                <w:highlight w:val="none"/>
              </w:rPr>
              <w:t>《声环境质量标准》（GB3096-2008）</w:t>
            </w:r>
            <w:r>
              <w:rPr>
                <w:color w:val="auto"/>
                <w:kern w:val="0"/>
                <w:sz w:val="24"/>
                <w:highlight w:val="none"/>
                <w:lang w:bidi="ar"/>
              </w:rPr>
              <w:t>中</w:t>
            </w:r>
            <w:r>
              <w:rPr>
                <w:rFonts w:hint="eastAsia"/>
                <w:color w:val="auto"/>
                <w:kern w:val="0"/>
                <w:sz w:val="24"/>
                <w:highlight w:val="none"/>
                <w:lang w:val="en-US" w:eastAsia="zh-CN" w:bidi="ar"/>
              </w:rPr>
              <w:t>2</w:t>
            </w:r>
            <w:r>
              <w:rPr>
                <w:color w:val="auto"/>
                <w:kern w:val="0"/>
                <w:sz w:val="24"/>
                <w:highlight w:val="none"/>
                <w:lang w:bidi="ar"/>
              </w:rPr>
              <w:t>类标准要求。</w:t>
            </w:r>
            <w:r>
              <w:rPr>
                <w:rFonts w:hint="eastAsia" w:eastAsia="宋体" w:cs="Times New Roman"/>
                <w:color w:val="auto"/>
                <w:sz w:val="24"/>
                <w:highlight w:val="none"/>
                <w:lang w:val="en-US" w:eastAsia="zh-CN"/>
              </w:rPr>
              <w:t>项目土石方开挖时段较集中，土石方和材料等运输量有限，因而施工期间运输车辆产生的交通噪声影响是短暂的，采用限制鸣笛、减速慢行等噪声减缓措施后，施工车辆噪声对周围环境产生的影响很小。</w:t>
            </w:r>
          </w:p>
          <w:p w14:paraId="57D0DECE">
            <w:pPr>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lang w:val="en-US" w:eastAsia="zh-CN"/>
              </w:rPr>
              <w:t>2</w:t>
            </w:r>
            <w:r>
              <w:rPr>
                <w:b/>
                <w:bCs/>
                <w:color w:val="auto"/>
                <w:sz w:val="24"/>
                <w:highlight w:val="none"/>
              </w:rPr>
              <w:t>）输电线路</w:t>
            </w:r>
            <w:r>
              <w:rPr>
                <w:rFonts w:hint="eastAsia"/>
                <w:b/>
                <w:bCs/>
                <w:color w:val="auto"/>
                <w:sz w:val="24"/>
                <w:highlight w:val="none"/>
              </w:rPr>
              <w:t>工程</w:t>
            </w:r>
          </w:p>
          <w:p w14:paraId="3FA4A261">
            <w:pPr>
              <w:widowControl/>
              <w:spacing w:line="360" w:lineRule="auto"/>
              <w:ind w:firstLine="480" w:firstLineChars="200"/>
              <w:jc w:val="left"/>
              <w:rPr>
                <w:color w:val="auto"/>
                <w:kern w:val="0"/>
                <w:sz w:val="24"/>
                <w:highlight w:val="none"/>
                <w:lang w:bidi="ar"/>
              </w:rPr>
            </w:pPr>
            <w:r>
              <w:rPr>
                <w:color w:val="auto"/>
                <w:kern w:val="0"/>
                <w:sz w:val="24"/>
                <w:highlight w:val="none"/>
                <w:lang w:bidi="ar"/>
              </w:rPr>
              <w:t>输电线路施工期间噪声影响较大阶段为施工准备阶段（含物料运输、临时道路修筑）及基础施工阶段（含基础开挖、混凝土灌注），主要声源为挖掘机。线路工程为点状施工，各施工点施工量小，施工时间短，单塔施工准备到基础浇筑完成时间一般可在</w:t>
            </w:r>
            <w:r>
              <w:rPr>
                <w:rFonts w:hint="eastAsia"/>
                <w:color w:val="auto"/>
                <w:kern w:val="0"/>
                <w:sz w:val="24"/>
                <w:highlight w:val="none"/>
                <w:lang w:val="en-US" w:eastAsia="zh-CN" w:bidi="ar"/>
              </w:rPr>
              <w:t>一周</w:t>
            </w:r>
            <w:r>
              <w:rPr>
                <w:color w:val="auto"/>
                <w:kern w:val="0"/>
                <w:sz w:val="24"/>
                <w:highlight w:val="none"/>
                <w:lang w:bidi="ar"/>
              </w:rPr>
              <w:t>内完成，施工高峰期每天运行时间约</w:t>
            </w:r>
            <w:r>
              <w:rPr>
                <w:rFonts w:hint="eastAsia"/>
                <w:color w:val="auto"/>
                <w:kern w:val="0"/>
                <w:sz w:val="24"/>
                <w:highlight w:val="none"/>
                <w:lang w:val="en-US" w:eastAsia="zh-CN" w:bidi="ar"/>
              </w:rPr>
              <w:t>6</w:t>
            </w:r>
            <w:r>
              <w:rPr>
                <w:color w:val="auto"/>
                <w:kern w:val="0"/>
                <w:sz w:val="24"/>
                <w:highlight w:val="none"/>
                <w:lang w:bidi="ar"/>
              </w:rPr>
              <w:t>h。施工结束，施工噪声影响亦会结束。</w:t>
            </w:r>
          </w:p>
          <w:p w14:paraId="6E95F3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color w:val="000000"/>
                <w:kern w:val="0"/>
                <w:sz w:val="24"/>
                <w:szCs w:val="24"/>
                <w:highlight w:val="none"/>
                <w:lang w:val="en-US" w:eastAsia="zh-CN" w:bidi="ar"/>
              </w:rPr>
              <w:t>根据</w:t>
            </w:r>
            <w:r>
              <w:rPr>
                <w:rFonts w:hint="eastAsia" w:ascii="Times New Roman" w:hAnsi="Times New Roman" w:cs="Times New Roman"/>
                <w:color w:val="000000"/>
                <w:kern w:val="0"/>
                <w:sz w:val="24"/>
                <w:szCs w:val="24"/>
                <w:highlight w:val="none"/>
                <w:lang w:val="en-US" w:eastAsia="zh-CN" w:bidi="ar"/>
              </w:rPr>
              <w:t>表4-2</w:t>
            </w:r>
            <w:r>
              <w:rPr>
                <w:rFonts w:hint="default" w:ascii="Times New Roman" w:hAnsi="Times New Roman" w:eastAsia="宋体" w:cs="Times New Roman"/>
                <w:color w:val="000000"/>
                <w:kern w:val="0"/>
                <w:sz w:val="24"/>
                <w:szCs w:val="24"/>
                <w:highlight w:val="none"/>
                <w:lang w:val="en-US" w:eastAsia="zh-CN" w:bidi="ar"/>
              </w:rPr>
              <w:t>，离声源</w:t>
            </w:r>
            <w:r>
              <w:rPr>
                <w:rFonts w:hint="eastAsia" w:ascii="Times New Roman" w:hAnsi="Times New Roman" w:cs="Times New Roman"/>
                <w:color w:val="000000"/>
                <w:kern w:val="0"/>
                <w:sz w:val="24"/>
                <w:szCs w:val="24"/>
                <w:highlight w:val="none"/>
                <w:lang w:val="en-US" w:eastAsia="zh-CN" w:bidi="ar"/>
              </w:rPr>
              <w:t>1</w:t>
            </w:r>
            <w:r>
              <w:rPr>
                <w:rFonts w:hint="default" w:ascii="Times New Roman" w:hAnsi="Times New Roman" w:cs="Times New Roman"/>
                <w:color w:val="000000"/>
                <w:kern w:val="0"/>
                <w:sz w:val="24"/>
                <w:szCs w:val="24"/>
                <w:highlight w:val="none"/>
                <w:lang w:val="en-US" w:eastAsia="zh-CN" w:bidi="ar"/>
              </w:rPr>
              <w:t>0</w:t>
            </w:r>
            <w:r>
              <w:rPr>
                <w:rFonts w:hint="default" w:ascii="Times New Roman" w:hAnsi="Times New Roman" w:eastAsia="宋体" w:cs="Times New Roman"/>
                <w:color w:val="000000"/>
                <w:kern w:val="0"/>
                <w:sz w:val="24"/>
                <w:szCs w:val="24"/>
                <w:highlight w:val="none"/>
                <w:lang w:val="en-US" w:eastAsia="zh-CN" w:bidi="ar"/>
              </w:rPr>
              <w:t>m之外</w:t>
            </w:r>
            <w:r>
              <w:rPr>
                <w:rFonts w:hint="eastAsia" w:ascii="Times New Roman" w:hAnsi="Times New Roman" w:cs="Times New Roman"/>
                <w:color w:val="000000"/>
                <w:kern w:val="0"/>
                <w:sz w:val="24"/>
                <w:szCs w:val="24"/>
                <w:highlight w:val="none"/>
                <w:lang w:val="en-US" w:eastAsia="zh-CN" w:bidi="ar"/>
              </w:rPr>
              <w:t>，挖掘机噪声</w:t>
            </w:r>
            <w:r>
              <w:rPr>
                <w:rFonts w:hint="default" w:ascii="Times New Roman" w:hAnsi="Times New Roman" w:eastAsia="宋体" w:cs="Times New Roman"/>
                <w:color w:val="000000"/>
                <w:kern w:val="0"/>
                <w:sz w:val="24"/>
                <w:szCs w:val="24"/>
                <w:highlight w:val="none"/>
                <w:lang w:val="en-US" w:eastAsia="zh-CN" w:bidi="ar"/>
              </w:rPr>
              <w:t>可衰减至70dB(A)以下。本项目</w:t>
            </w:r>
            <w:r>
              <w:rPr>
                <w:rFonts w:hint="eastAsia" w:ascii="Times New Roman" w:hAnsi="Times New Roman" w:eastAsia="宋体" w:cs="Times New Roman"/>
                <w:color w:val="000000"/>
                <w:kern w:val="0"/>
                <w:sz w:val="24"/>
                <w:szCs w:val="24"/>
                <w:highlight w:val="none"/>
                <w:lang w:val="en-US" w:eastAsia="zh-CN" w:bidi="ar"/>
              </w:rPr>
              <w:t>输电线路</w:t>
            </w:r>
            <w:r>
              <w:rPr>
                <w:rFonts w:hint="default" w:ascii="Times New Roman" w:hAnsi="Times New Roman" w:eastAsia="宋体" w:cs="Times New Roman"/>
                <w:color w:val="000000"/>
                <w:kern w:val="0"/>
                <w:sz w:val="24"/>
                <w:szCs w:val="24"/>
                <w:highlight w:val="none"/>
                <w:lang w:val="en-US" w:eastAsia="zh-CN" w:bidi="ar"/>
              </w:rPr>
              <w:t>施工在昼间（6</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00-22:00）进行，夜间不进行施工，且主要为点状施工，开挖土方时段较集中，后续杆塔架设时运输量有限，因而施工期间运输车辆产生的交通噪声污染是短暂的。</w:t>
            </w:r>
            <w:r>
              <w:rPr>
                <w:rFonts w:hint="default" w:ascii="Times New Roman" w:hAnsi="Times New Roman" w:cs="Times New Roman"/>
                <w:color w:val="000000"/>
                <w:sz w:val="24"/>
                <w:highlight w:val="none"/>
                <w:lang w:val="en-US" w:eastAsia="zh-CN"/>
              </w:rPr>
              <w:t>施工期通过加强施工机械维护和保养，避免噪声源强较大的机械同时进行施工作业</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24"/>
                <w:highlight w:val="none"/>
                <w:lang w:val="en-US" w:eastAsia="zh-CN"/>
              </w:rPr>
              <w:t>采用限制</w:t>
            </w:r>
            <w:r>
              <w:rPr>
                <w:rFonts w:hint="default" w:ascii="Times New Roman" w:hAnsi="Times New Roman" w:cs="Times New Roman"/>
                <w:color w:val="000000"/>
                <w:sz w:val="24"/>
                <w:szCs w:val="24"/>
                <w:highlight w:val="none"/>
              </w:rPr>
              <w:t>鸣喇叭，减速慢行</w:t>
            </w:r>
            <w:r>
              <w:rPr>
                <w:rFonts w:hint="default" w:ascii="Times New Roman" w:hAnsi="Times New Roman" w:cs="Times New Roman"/>
                <w:color w:val="000000"/>
                <w:sz w:val="24"/>
                <w:szCs w:val="24"/>
                <w:highlight w:val="none"/>
                <w:lang w:val="en-US" w:eastAsia="zh-CN"/>
              </w:rPr>
              <w:t>等</w:t>
            </w:r>
            <w:r>
              <w:rPr>
                <w:rFonts w:hint="default" w:ascii="Times New Roman" w:hAnsi="Times New Roman" w:cs="Times New Roman"/>
                <w:color w:val="000000"/>
                <w:sz w:val="24"/>
                <w:szCs w:val="24"/>
                <w:highlight w:val="none"/>
              </w:rPr>
              <w:t>噪声减缓措施后，</w:t>
            </w:r>
            <w:r>
              <w:rPr>
                <w:rFonts w:hint="default" w:ascii="Times New Roman" w:hAnsi="Times New Roman" w:cs="Times New Roman"/>
                <w:color w:val="000000"/>
                <w:sz w:val="24"/>
                <w:szCs w:val="24"/>
                <w:highlight w:val="none"/>
                <w:lang w:val="en-US" w:eastAsia="zh-CN"/>
              </w:rPr>
              <w:t>施工期噪声均可满足</w:t>
            </w:r>
            <w:r>
              <w:rPr>
                <w:rFonts w:hint="default" w:ascii="Times New Roman" w:hAnsi="Times New Roman" w:eastAsia="宋体" w:cs="Times New Roman"/>
                <w:color w:val="000000"/>
                <w:sz w:val="24"/>
                <w:szCs w:val="24"/>
                <w:highlight w:val="none"/>
                <w:vertAlign w:val="baseline"/>
                <w:lang w:val="en-US" w:eastAsia="zh-CN"/>
              </w:rPr>
              <w:t>《建筑施工噪声排放标准》（GB12523-2025），昼间70dB</w:t>
            </w:r>
            <w:r>
              <w:rPr>
                <w:rFonts w:hint="eastAsia" w:ascii="Times New Roman" w:hAnsi="Times New Roman" w:eastAsia="宋体" w:cs="Times New Roman"/>
                <w:color w:val="000000"/>
                <w:sz w:val="24"/>
                <w:szCs w:val="24"/>
                <w:highlight w:val="none"/>
                <w:vertAlign w:val="baseline"/>
                <w:lang w:val="en-US" w:eastAsia="zh-CN"/>
              </w:rPr>
              <w:t>(</w:t>
            </w:r>
            <w:r>
              <w:rPr>
                <w:rFonts w:hint="default" w:ascii="Times New Roman" w:hAnsi="Times New Roman" w:eastAsia="宋体" w:cs="Times New Roman"/>
                <w:color w:val="000000"/>
                <w:sz w:val="24"/>
                <w:szCs w:val="24"/>
                <w:highlight w:val="none"/>
                <w:vertAlign w:val="baseline"/>
                <w:lang w:val="en-US" w:eastAsia="zh-CN"/>
              </w:rPr>
              <w:t>A</w:t>
            </w:r>
            <w:r>
              <w:rPr>
                <w:rFonts w:hint="eastAsia" w:ascii="Times New Roman" w:hAnsi="Times New Roman" w:eastAsia="宋体" w:cs="Times New Roman"/>
                <w:color w:val="000000"/>
                <w:sz w:val="24"/>
                <w:szCs w:val="24"/>
                <w:highlight w:val="none"/>
                <w:vertAlign w:val="baseline"/>
                <w:lang w:val="en-US" w:eastAsia="zh-CN"/>
              </w:rPr>
              <w:t>)</w:t>
            </w:r>
            <w:r>
              <w:rPr>
                <w:rFonts w:hint="default" w:ascii="Times New Roman" w:hAnsi="Times New Roman" w:eastAsia="宋体" w:cs="Times New Roman"/>
                <w:color w:val="000000"/>
                <w:sz w:val="24"/>
                <w:szCs w:val="24"/>
                <w:highlight w:val="none"/>
                <w:vertAlign w:val="baseline"/>
                <w:lang w:val="en-US" w:eastAsia="zh-CN"/>
              </w:rPr>
              <w:t>的标准限值。</w:t>
            </w:r>
          </w:p>
          <w:p w14:paraId="6305976E">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本次评价针对输电线路评价范围内的声环境保护目标进行了施工期昼间噪声预测，噪声源强选用单台挖掘机施工作业，距声源</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处的声压级为</w:t>
            </w:r>
            <w:r>
              <w:rPr>
                <w:rFonts w:hint="default" w:ascii="Times New Roman" w:hAnsi="Times New Roman" w:eastAsia="宋体" w:cs="Times New Roman"/>
                <w:color w:val="000000"/>
                <w:kern w:val="0"/>
                <w:sz w:val="24"/>
                <w:szCs w:val="24"/>
                <w:lang w:val="en-US" w:eastAsia="zh-CN" w:bidi="ar"/>
              </w:rPr>
              <w:t>73dB(A)</w:t>
            </w:r>
            <w:r>
              <w:rPr>
                <w:rFonts w:hint="eastAsia" w:ascii="宋体" w:hAnsi="宋体" w:eastAsia="宋体" w:cs="宋体"/>
                <w:color w:val="000000"/>
                <w:kern w:val="0"/>
                <w:sz w:val="24"/>
                <w:szCs w:val="24"/>
                <w:lang w:val="en-US" w:eastAsia="zh-CN" w:bidi="ar"/>
              </w:rPr>
              <w:t>，具体预测结果见表</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w:t>
            </w:r>
          </w:p>
          <w:p w14:paraId="64F80FD6">
            <w:pPr>
              <w:spacing w:line="360" w:lineRule="auto"/>
              <w:jc w:val="right"/>
              <w:rPr>
                <w:rFonts w:ascii="Times New Roman" w:hAnsi="Times New Roman" w:eastAsia="黑体" w:cs="Times New Roman"/>
                <w:b/>
                <w:bCs/>
                <w:color w:val="auto"/>
                <w:sz w:val="24"/>
                <w:highlight w:val="none"/>
              </w:rPr>
            </w:pPr>
            <w:r>
              <w:rPr>
                <w:rFonts w:ascii="Times New Roman" w:hAnsi="Times New Roman" w:eastAsia="黑体" w:cs="Times New Roman"/>
                <w:b/>
                <w:bCs/>
                <w:color w:val="auto"/>
                <w:sz w:val="24"/>
                <w:highlight w:val="none"/>
              </w:rPr>
              <w:t>表4-</w:t>
            </w:r>
            <w:r>
              <w:rPr>
                <w:rFonts w:hint="eastAsia" w:eastAsia="黑体" w:cs="Times New Roman"/>
                <w:b/>
                <w:bCs/>
                <w:color w:val="auto"/>
                <w:sz w:val="24"/>
                <w:highlight w:val="none"/>
                <w:lang w:val="en-US" w:eastAsia="zh-CN"/>
              </w:rPr>
              <w:t>4</w:t>
            </w:r>
            <w:r>
              <w:rPr>
                <w:rFonts w:ascii="Times New Roman" w:hAnsi="Times New Roman" w:eastAsia="黑体" w:cs="Times New Roman"/>
                <w:b/>
                <w:bCs/>
                <w:color w:val="auto"/>
                <w:sz w:val="24"/>
                <w:highlight w:val="none"/>
              </w:rPr>
              <w:t xml:space="preserve"> </w:t>
            </w:r>
            <w:r>
              <w:rPr>
                <w:rFonts w:hint="eastAsia" w:ascii="Times New Roman" w:hAnsi="Times New Roman" w:eastAsia="黑体" w:cs="Times New Roman"/>
                <w:b/>
                <w:bCs/>
                <w:color w:val="auto"/>
                <w:sz w:val="24"/>
                <w:highlight w:val="none"/>
                <w:lang w:val="en-US" w:eastAsia="zh-CN"/>
              </w:rPr>
              <w:t xml:space="preserve"> </w:t>
            </w:r>
            <w:r>
              <w:rPr>
                <w:rFonts w:ascii="Times New Roman" w:hAnsi="Times New Roman" w:eastAsia="黑体" w:cs="Times New Roman"/>
                <w:b/>
                <w:bCs/>
                <w:color w:val="auto"/>
                <w:sz w:val="24"/>
                <w:highlight w:val="none"/>
              </w:rPr>
              <w:t xml:space="preserve">输电线路施工期沿线声环境保护目标处噪声预测结果   </w:t>
            </w:r>
            <w:r>
              <w:rPr>
                <w:rFonts w:ascii="Times New Roman" w:hAnsi="Times New Roman" w:eastAsia="黑体" w:cs="Times New Roman"/>
                <w:b w:val="0"/>
                <w:bCs w:val="0"/>
                <w:color w:val="auto"/>
                <w:sz w:val="24"/>
                <w:highlight w:val="none"/>
              </w:rPr>
              <w:t>单位：dB(A)</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5"/>
              <w:gridCol w:w="1035"/>
              <w:gridCol w:w="1245"/>
              <w:gridCol w:w="1395"/>
              <w:gridCol w:w="915"/>
              <w:gridCol w:w="975"/>
              <w:gridCol w:w="1035"/>
              <w:gridCol w:w="1017"/>
            </w:tblGrid>
            <w:tr w14:paraId="2C4BB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55" w:hRule="atLeast"/>
                <w:jc w:val="center"/>
              </w:trPr>
              <w:tc>
                <w:tcPr>
                  <w:tcW w:w="715" w:type="dxa"/>
                  <w:vMerge w:val="restart"/>
                  <w:tcBorders>
                    <w:tl2br w:val="nil"/>
                    <w:tr2bl w:val="nil"/>
                  </w:tcBorders>
                  <w:vAlign w:val="center"/>
                </w:tcPr>
                <w:p w14:paraId="1B84797C">
                  <w:pPr>
                    <w:snapToGrid w:val="0"/>
                    <w:jc w:val="center"/>
                    <w:rPr>
                      <w:b/>
                      <w:color w:val="auto"/>
                      <w:szCs w:val="21"/>
                      <w:highlight w:val="none"/>
                    </w:rPr>
                  </w:pPr>
                  <w:r>
                    <w:rPr>
                      <w:b/>
                      <w:color w:val="auto"/>
                      <w:szCs w:val="21"/>
                      <w:highlight w:val="none"/>
                    </w:rPr>
                    <w:t>序号</w:t>
                  </w:r>
                </w:p>
              </w:tc>
              <w:tc>
                <w:tcPr>
                  <w:tcW w:w="2280" w:type="dxa"/>
                  <w:gridSpan w:val="2"/>
                  <w:vMerge w:val="restart"/>
                  <w:tcBorders>
                    <w:tl2br w:val="nil"/>
                    <w:tr2bl w:val="nil"/>
                  </w:tcBorders>
                  <w:vAlign w:val="center"/>
                </w:tcPr>
                <w:p w14:paraId="44353D5F">
                  <w:pPr>
                    <w:snapToGrid w:val="0"/>
                    <w:jc w:val="center"/>
                    <w:rPr>
                      <w:b/>
                      <w:color w:val="auto"/>
                      <w:szCs w:val="21"/>
                      <w:highlight w:val="none"/>
                      <w:lang w:val="zh-CN"/>
                    </w:rPr>
                  </w:pPr>
                  <w:r>
                    <w:rPr>
                      <w:b/>
                      <w:color w:val="auto"/>
                      <w:szCs w:val="21"/>
                      <w:highlight w:val="none"/>
                      <w:lang w:val="zh-CN"/>
                    </w:rPr>
                    <w:t>声环境保护目标</w:t>
                  </w:r>
                </w:p>
              </w:tc>
              <w:tc>
                <w:tcPr>
                  <w:tcW w:w="1395" w:type="dxa"/>
                  <w:vMerge w:val="restart"/>
                  <w:tcBorders>
                    <w:tl2br w:val="nil"/>
                    <w:tr2bl w:val="nil"/>
                  </w:tcBorders>
                  <w:vAlign w:val="center"/>
                </w:tcPr>
                <w:p w14:paraId="49804F9C">
                  <w:pPr>
                    <w:snapToGrid w:val="0"/>
                    <w:jc w:val="center"/>
                    <w:rPr>
                      <w:b/>
                      <w:color w:val="auto"/>
                      <w:szCs w:val="21"/>
                      <w:highlight w:val="none"/>
                      <w:lang w:val="zh-CN"/>
                    </w:rPr>
                  </w:pPr>
                  <w:r>
                    <w:rPr>
                      <w:b/>
                      <w:color w:val="auto"/>
                      <w:szCs w:val="21"/>
                      <w:highlight w:val="none"/>
                      <w:lang w:val="zh-CN"/>
                    </w:rPr>
                    <w:t>与</w:t>
                  </w:r>
                  <w:r>
                    <w:rPr>
                      <w:rFonts w:hint="eastAsia"/>
                      <w:b/>
                      <w:color w:val="auto"/>
                      <w:szCs w:val="21"/>
                      <w:highlight w:val="none"/>
                      <w:lang w:val="en-US" w:eastAsia="zh-CN"/>
                    </w:rPr>
                    <w:t>施工边界</w:t>
                  </w:r>
                  <w:r>
                    <w:rPr>
                      <w:b/>
                      <w:color w:val="auto"/>
                      <w:szCs w:val="21"/>
                      <w:highlight w:val="none"/>
                      <w:lang w:val="zh-CN"/>
                    </w:rPr>
                    <w:t>距离</w:t>
                  </w:r>
                  <w:r>
                    <w:rPr>
                      <w:rFonts w:hint="eastAsia"/>
                      <w:b/>
                      <w:color w:val="auto"/>
                      <w:szCs w:val="21"/>
                      <w:highlight w:val="none"/>
                      <w:lang w:val="zh-CN"/>
                    </w:rPr>
                    <w:t>（</w:t>
                  </w:r>
                  <w:r>
                    <w:rPr>
                      <w:rFonts w:hint="eastAsia"/>
                      <w:b/>
                      <w:bCs/>
                      <w:color w:val="auto"/>
                      <w:szCs w:val="21"/>
                      <w:highlight w:val="none"/>
                    </w:rPr>
                    <w:t>m</w:t>
                  </w:r>
                  <w:r>
                    <w:rPr>
                      <w:rFonts w:hint="eastAsia"/>
                      <w:b/>
                      <w:color w:val="auto"/>
                      <w:szCs w:val="21"/>
                      <w:highlight w:val="none"/>
                      <w:lang w:val="zh-CN"/>
                    </w:rPr>
                    <w:t>）</w:t>
                  </w:r>
                </w:p>
              </w:tc>
              <w:tc>
                <w:tcPr>
                  <w:tcW w:w="915" w:type="dxa"/>
                  <w:vMerge w:val="restart"/>
                  <w:tcBorders>
                    <w:tl2br w:val="nil"/>
                    <w:tr2bl w:val="nil"/>
                  </w:tcBorders>
                  <w:vAlign w:val="center"/>
                </w:tcPr>
                <w:p w14:paraId="5A7AF54D">
                  <w:pPr>
                    <w:snapToGrid w:val="0"/>
                    <w:jc w:val="center"/>
                    <w:rPr>
                      <w:b/>
                      <w:color w:val="auto"/>
                      <w:szCs w:val="21"/>
                      <w:highlight w:val="none"/>
                      <w:lang w:val="zh-CN"/>
                    </w:rPr>
                  </w:pPr>
                  <w:r>
                    <w:rPr>
                      <w:b/>
                      <w:color w:val="auto"/>
                      <w:szCs w:val="21"/>
                      <w:highlight w:val="none"/>
                      <w:lang w:val="zh-CN"/>
                    </w:rPr>
                    <w:t>贡献值</w:t>
                  </w:r>
                </w:p>
              </w:tc>
              <w:tc>
                <w:tcPr>
                  <w:tcW w:w="975" w:type="dxa"/>
                  <w:tcBorders>
                    <w:tl2br w:val="nil"/>
                    <w:tr2bl w:val="nil"/>
                  </w:tcBorders>
                  <w:vAlign w:val="center"/>
                </w:tcPr>
                <w:p w14:paraId="3A217ED0">
                  <w:pPr>
                    <w:snapToGrid w:val="0"/>
                    <w:jc w:val="center"/>
                    <w:rPr>
                      <w:b/>
                      <w:color w:val="auto"/>
                      <w:szCs w:val="21"/>
                      <w:highlight w:val="none"/>
                    </w:rPr>
                  </w:pPr>
                  <w:r>
                    <w:rPr>
                      <w:b/>
                      <w:color w:val="auto"/>
                      <w:szCs w:val="21"/>
                      <w:highlight w:val="none"/>
                    </w:rPr>
                    <w:t>背景值</w:t>
                  </w:r>
                </w:p>
              </w:tc>
              <w:tc>
                <w:tcPr>
                  <w:tcW w:w="1035" w:type="dxa"/>
                  <w:tcBorders>
                    <w:tl2br w:val="nil"/>
                    <w:tr2bl w:val="nil"/>
                  </w:tcBorders>
                  <w:vAlign w:val="center"/>
                </w:tcPr>
                <w:p w14:paraId="320AC45C">
                  <w:pPr>
                    <w:snapToGrid w:val="0"/>
                    <w:jc w:val="center"/>
                    <w:rPr>
                      <w:b/>
                      <w:color w:val="auto"/>
                      <w:szCs w:val="21"/>
                      <w:highlight w:val="none"/>
                      <w:lang w:val="zh-CN"/>
                    </w:rPr>
                  </w:pPr>
                  <w:r>
                    <w:rPr>
                      <w:b/>
                      <w:color w:val="auto"/>
                      <w:szCs w:val="21"/>
                      <w:highlight w:val="none"/>
                      <w:lang w:val="zh-CN"/>
                    </w:rPr>
                    <w:t>预测值</w:t>
                  </w:r>
                </w:p>
              </w:tc>
              <w:tc>
                <w:tcPr>
                  <w:tcW w:w="1017" w:type="dxa"/>
                  <w:tcBorders>
                    <w:tl2br w:val="nil"/>
                    <w:tr2bl w:val="nil"/>
                  </w:tcBorders>
                  <w:vAlign w:val="center"/>
                </w:tcPr>
                <w:p w14:paraId="032B398E">
                  <w:pPr>
                    <w:snapToGrid w:val="0"/>
                    <w:jc w:val="center"/>
                    <w:rPr>
                      <w:rFonts w:hint="eastAsia" w:eastAsia="宋体"/>
                      <w:b/>
                      <w:color w:val="auto"/>
                      <w:szCs w:val="21"/>
                      <w:highlight w:val="none"/>
                      <w:lang w:val="en-US" w:eastAsia="zh-CN"/>
                    </w:rPr>
                  </w:pPr>
                  <w:r>
                    <w:rPr>
                      <w:b/>
                      <w:color w:val="auto"/>
                      <w:szCs w:val="21"/>
                      <w:highlight w:val="none"/>
                      <w:lang w:val="zh-CN"/>
                    </w:rPr>
                    <w:t>标准</w:t>
                  </w:r>
                  <w:r>
                    <w:rPr>
                      <w:rFonts w:hint="eastAsia"/>
                      <w:b/>
                      <w:color w:val="auto"/>
                      <w:szCs w:val="21"/>
                      <w:highlight w:val="none"/>
                      <w:lang w:val="en-US" w:eastAsia="zh-CN"/>
                    </w:rPr>
                    <w:t>值</w:t>
                  </w:r>
                </w:p>
              </w:tc>
            </w:tr>
            <w:tr w14:paraId="56304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90" w:hRule="atLeast"/>
                <w:jc w:val="center"/>
              </w:trPr>
              <w:tc>
                <w:tcPr>
                  <w:tcW w:w="715" w:type="dxa"/>
                  <w:vMerge w:val="continue"/>
                  <w:tcBorders>
                    <w:tl2br w:val="nil"/>
                    <w:tr2bl w:val="nil"/>
                  </w:tcBorders>
                  <w:vAlign w:val="center"/>
                </w:tcPr>
                <w:p w14:paraId="1948E320">
                  <w:pPr>
                    <w:snapToGrid w:val="0"/>
                    <w:jc w:val="center"/>
                    <w:rPr>
                      <w:b/>
                      <w:color w:val="auto"/>
                      <w:szCs w:val="21"/>
                      <w:highlight w:val="none"/>
                    </w:rPr>
                  </w:pPr>
                </w:p>
              </w:tc>
              <w:tc>
                <w:tcPr>
                  <w:tcW w:w="2280" w:type="dxa"/>
                  <w:gridSpan w:val="2"/>
                  <w:vMerge w:val="continue"/>
                  <w:tcBorders>
                    <w:tl2br w:val="nil"/>
                    <w:tr2bl w:val="nil"/>
                  </w:tcBorders>
                  <w:vAlign w:val="center"/>
                </w:tcPr>
                <w:p w14:paraId="36C37793">
                  <w:pPr>
                    <w:snapToGrid w:val="0"/>
                    <w:jc w:val="center"/>
                    <w:rPr>
                      <w:b/>
                      <w:color w:val="auto"/>
                      <w:szCs w:val="21"/>
                      <w:highlight w:val="none"/>
                      <w:lang w:val="zh-CN"/>
                    </w:rPr>
                  </w:pPr>
                </w:p>
              </w:tc>
              <w:tc>
                <w:tcPr>
                  <w:tcW w:w="1395" w:type="dxa"/>
                  <w:vMerge w:val="continue"/>
                  <w:tcBorders>
                    <w:tl2br w:val="nil"/>
                    <w:tr2bl w:val="nil"/>
                  </w:tcBorders>
                  <w:vAlign w:val="center"/>
                </w:tcPr>
                <w:p w14:paraId="4DBE48F4">
                  <w:pPr>
                    <w:snapToGrid w:val="0"/>
                    <w:jc w:val="center"/>
                    <w:rPr>
                      <w:b/>
                      <w:color w:val="auto"/>
                      <w:szCs w:val="21"/>
                      <w:highlight w:val="none"/>
                      <w:lang w:val="zh-CN"/>
                    </w:rPr>
                  </w:pPr>
                </w:p>
              </w:tc>
              <w:tc>
                <w:tcPr>
                  <w:tcW w:w="915" w:type="dxa"/>
                  <w:vMerge w:val="continue"/>
                  <w:tcBorders>
                    <w:tl2br w:val="nil"/>
                    <w:tr2bl w:val="nil"/>
                  </w:tcBorders>
                  <w:vAlign w:val="center"/>
                </w:tcPr>
                <w:p w14:paraId="3A75398F">
                  <w:pPr>
                    <w:snapToGrid w:val="0"/>
                    <w:jc w:val="center"/>
                    <w:rPr>
                      <w:b/>
                      <w:color w:val="auto"/>
                      <w:szCs w:val="21"/>
                      <w:highlight w:val="none"/>
                      <w:lang w:val="zh-CN"/>
                    </w:rPr>
                  </w:pPr>
                </w:p>
              </w:tc>
              <w:tc>
                <w:tcPr>
                  <w:tcW w:w="975" w:type="dxa"/>
                  <w:tcBorders>
                    <w:tl2br w:val="nil"/>
                    <w:tr2bl w:val="nil"/>
                  </w:tcBorders>
                  <w:vAlign w:val="center"/>
                </w:tcPr>
                <w:p w14:paraId="06B86B68">
                  <w:pPr>
                    <w:snapToGrid w:val="0"/>
                    <w:jc w:val="center"/>
                    <w:rPr>
                      <w:b/>
                      <w:color w:val="auto"/>
                      <w:szCs w:val="21"/>
                      <w:highlight w:val="none"/>
                    </w:rPr>
                  </w:pPr>
                  <w:r>
                    <w:rPr>
                      <w:b/>
                      <w:color w:val="auto"/>
                      <w:szCs w:val="21"/>
                      <w:highlight w:val="none"/>
                    </w:rPr>
                    <w:t>昼间</w:t>
                  </w:r>
                </w:p>
              </w:tc>
              <w:tc>
                <w:tcPr>
                  <w:tcW w:w="1035" w:type="dxa"/>
                  <w:tcBorders>
                    <w:tl2br w:val="nil"/>
                    <w:tr2bl w:val="nil"/>
                  </w:tcBorders>
                  <w:vAlign w:val="center"/>
                </w:tcPr>
                <w:p w14:paraId="3AA86B55">
                  <w:pPr>
                    <w:snapToGrid w:val="0"/>
                    <w:jc w:val="center"/>
                    <w:rPr>
                      <w:b/>
                      <w:color w:val="auto"/>
                      <w:szCs w:val="21"/>
                      <w:highlight w:val="none"/>
                    </w:rPr>
                  </w:pPr>
                  <w:r>
                    <w:rPr>
                      <w:b/>
                      <w:color w:val="auto"/>
                      <w:szCs w:val="21"/>
                      <w:highlight w:val="none"/>
                    </w:rPr>
                    <w:t>昼间</w:t>
                  </w:r>
                </w:p>
              </w:tc>
              <w:tc>
                <w:tcPr>
                  <w:tcW w:w="1017" w:type="dxa"/>
                  <w:tcBorders>
                    <w:tl2br w:val="nil"/>
                    <w:tr2bl w:val="nil"/>
                  </w:tcBorders>
                  <w:vAlign w:val="center"/>
                </w:tcPr>
                <w:p w14:paraId="6D5D7689">
                  <w:pPr>
                    <w:snapToGrid w:val="0"/>
                    <w:jc w:val="center"/>
                    <w:rPr>
                      <w:rFonts w:hint="eastAsia" w:eastAsia="宋体"/>
                      <w:b/>
                      <w:color w:val="auto"/>
                      <w:szCs w:val="21"/>
                      <w:highlight w:val="none"/>
                      <w:lang w:val="en-US" w:eastAsia="zh-CN"/>
                    </w:rPr>
                  </w:pPr>
                  <w:r>
                    <w:rPr>
                      <w:rFonts w:hint="eastAsia"/>
                      <w:b/>
                      <w:color w:val="auto"/>
                      <w:szCs w:val="21"/>
                      <w:highlight w:val="none"/>
                      <w:lang w:val="en-US" w:eastAsia="zh-CN"/>
                    </w:rPr>
                    <w:t>昼间</w:t>
                  </w:r>
                </w:p>
              </w:tc>
            </w:tr>
            <w:tr w14:paraId="3BDDB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87" w:hRule="atLeast"/>
                <w:jc w:val="center"/>
              </w:trPr>
              <w:tc>
                <w:tcPr>
                  <w:tcW w:w="715" w:type="dxa"/>
                  <w:tcBorders>
                    <w:tl2br w:val="nil"/>
                    <w:tr2bl w:val="nil"/>
                  </w:tcBorders>
                  <w:vAlign w:val="center"/>
                </w:tcPr>
                <w:p w14:paraId="702F5628">
                  <w:pPr>
                    <w:pStyle w:val="45"/>
                    <w:adjustRightInd w:val="0"/>
                    <w:snapToGrid w:val="0"/>
                    <w:jc w:val="center"/>
                    <w:rPr>
                      <w:color w:val="auto"/>
                      <w:highlight w:val="none"/>
                    </w:rPr>
                  </w:pPr>
                  <w:r>
                    <w:rPr>
                      <w:color w:val="auto"/>
                      <w:highlight w:val="none"/>
                    </w:rPr>
                    <w:t>1</w:t>
                  </w:r>
                </w:p>
              </w:tc>
              <w:tc>
                <w:tcPr>
                  <w:tcW w:w="1035" w:type="dxa"/>
                  <w:tcBorders>
                    <w:tl2br w:val="nil"/>
                    <w:tr2bl w:val="nil"/>
                  </w:tcBorders>
                  <w:vAlign w:val="center"/>
                </w:tcPr>
                <w:p w14:paraId="63091DC9">
                  <w:pPr>
                    <w:jc w:val="center"/>
                    <w:rPr>
                      <w:rFonts w:hint="eastAsia" w:eastAsia="宋体"/>
                      <w:color w:val="auto"/>
                      <w:sz w:val="21"/>
                      <w:szCs w:val="21"/>
                      <w:highlight w:val="none"/>
                      <w:lang w:val="en-US" w:eastAsia="zh-CN"/>
                    </w:rPr>
                  </w:pPr>
                  <w:r>
                    <w:rPr>
                      <w:rFonts w:hint="eastAsia" w:cs="Times New Roman"/>
                      <w:color w:val="auto"/>
                      <w:spacing w:val="0"/>
                      <w:w w:val="100"/>
                      <w:kern w:val="0"/>
                      <w:position w:val="0"/>
                      <w:sz w:val="21"/>
                      <w:szCs w:val="21"/>
                      <w:highlight w:val="none"/>
                      <w:lang w:val="en-US" w:eastAsia="zh-CN"/>
                    </w:rPr>
                    <w:t>******</w:t>
                  </w:r>
                </w:p>
              </w:tc>
              <w:tc>
                <w:tcPr>
                  <w:tcW w:w="1245" w:type="dxa"/>
                  <w:tcBorders>
                    <w:tl2br w:val="nil"/>
                    <w:tr2bl w:val="nil"/>
                  </w:tcBorders>
                  <w:vAlign w:val="center"/>
                </w:tcPr>
                <w:p w14:paraId="04CFFB78">
                  <w:pPr>
                    <w:jc w:val="center"/>
                    <w:rPr>
                      <w:rFonts w:hint="default" w:eastAsia="宋体"/>
                      <w:color w:val="auto"/>
                      <w:sz w:val="21"/>
                      <w:szCs w:val="21"/>
                      <w:highlight w:val="none"/>
                      <w:lang w:val="en-US" w:eastAsia="zh-CN"/>
                    </w:rPr>
                  </w:pPr>
                  <w:r>
                    <w:rPr>
                      <w:rFonts w:hint="eastAsia" w:cs="Times New Roman"/>
                      <w:color w:val="auto"/>
                      <w:spacing w:val="0"/>
                      <w:w w:val="100"/>
                      <w:kern w:val="0"/>
                      <w:position w:val="0"/>
                      <w:sz w:val="21"/>
                      <w:szCs w:val="21"/>
                      <w:highlight w:val="none"/>
                      <w:lang w:val="en-US" w:eastAsia="zh-CN"/>
                    </w:rPr>
                    <w:t>******</w:t>
                  </w:r>
                </w:p>
              </w:tc>
              <w:tc>
                <w:tcPr>
                  <w:tcW w:w="1395" w:type="dxa"/>
                  <w:tcBorders>
                    <w:tl2br w:val="nil"/>
                    <w:tr2bl w:val="nil"/>
                  </w:tcBorders>
                  <w:vAlign w:val="center"/>
                </w:tcPr>
                <w:p w14:paraId="6FC89F87">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120</w:t>
                  </w:r>
                </w:p>
              </w:tc>
              <w:tc>
                <w:tcPr>
                  <w:tcW w:w="915" w:type="dxa"/>
                  <w:tcBorders>
                    <w:tl2br w:val="nil"/>
                    <w:tr2bl w:val="nil"/>
                  </w:tcBorders>
                  <w:vAlign w:val="center"/>
                </w:tcPr>
                <w:p w14:paraId="7E9CF361">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975" w:type="dxa"/>
                  <w:tcBorders>
                    <w:tl2br w:val="nil"/>
                    <w:tr2bl w:val="nil"/>
                  </w:tcBorders>
                  <w:vAlign w:val="center"/>
                </w:tcPr>
                <w:p w14:paraId="6631BB75">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34</w:t>
                  </w:r>
                </w:p>
              </w:tc>
              <w:tc>
                <w:tcPr>
                  <w:tcW w:w="1035" w:type="dxa"/>
                  <w:tcBorders>
                    <w:tl2br w:val="nil"/>
                    <w:tr2bl w:val="nil"/>
                  </w:tcBorders>
                  <w:vAlign w:val="center"/>
                </w:tcPr>
                <w:p w14:paraId="1CF17503">
                  <w:pPr>
                    <w:jc w:val="center"/>
                    <w:rPr>
                      <w:rFonts w:hint="default" w:eastAsia="宋体"/>
                      <w:color w:val="auto"/>
                      <w:szCs w:val="21"/>
                      <w:highlight w:val="none"/>
                      <w:lang w:val="en-US" w:eastAsia="zh-CN"/>
                    </w:rPr>
                  </w:pPr>
                  <w:r>
                    <w:rPr>
                      <w:rFonts w:hint="eastAsia"/>
                      <w:color w:val="auto"/>
                      <w:szCs w:val="21"/>
                      <w:highlight w:val="none"/>
                      <w:lang w:val="en-US" w:eastAsia="zh-CN"/>
                    </w:rPr>
                    <w:t>45</w:t>
                  </w:r>
                </w:p>
              </w:tc>
              <w:tc>
                <w:tcPr>
                  <w:tcW w:w="1017" w:type="dxa"/>
                  <w:tcBorders>
                    <w:tl2br w:val="nil"/>
                    <w:tr2bl w:val="nil"/>
                  </w:tcBorders>
                  <w:vAlign w:val="center"/>
                </w:tcPr>
                <w:p w14:paraId="2BF046ED">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55</w:t>
                  </w:r>
                </w:p>
              </w:tc>
            </w:tr>
          </w:tbl>
          <w:p w14:paraId="704F3881">
            <w:pPr>
              <w:widowControl/>
              <w:spacing w:line="360" w:lineRule="auto"/>
              <w:ind w:firstLine="480" w:firstLineChars="200"/>
              <w:rPr>
                <w:color w:val="auto"/>
                <w:kern w:val="0"/>
                <w:sz w:val="24"/>
                <w:highlight w:val="none"/>
                <w:lang w:bidi="ar"/>
              </w:rPr>
            </w:pPr>
            <w:r>
              <w:rPr>
                <w:color w:val="auto"/>
                <w:kern w:val="0"/>
                <w:sz w:val="24"/>
                <w:highlight w:val="none"/>
                <w:lang w:bidi="ar"/>
              </w:rPr>
              <w:t>根据预测结果可知，</w:t>
            </w:r>
            <w:r>
              <w:rPr>
                <w:rFonts w:hint="eastAsia"/>
                <w:color w:val="auto"/>
                <w:kern w:val="0"/>
                <w:sz w:val="24"/>
                <w:highlight w:val="none"/>
                <w:lang w:val="en-US" w:eastAsia="zh-CN" w:bidi="ar"/>
              </w:rPr>
              <w:t>施工期</w:t>
            </w:r>
            <w:r>
              <w:rPr>
                <w:color w:val="auto"/>
                <w:kern w:val="0"/>
                <w:sz w:val="24"/>
                <w:highlight w:val="none"/>
                <w:lang w:bidi="ar"/>
              </w:rPr>
              <w:t>输电线路沿线声环境</w:t>
            </w:r>
            <w:r>
              <w:rPr>
                <w:rFonts w:hint="eastAsia"/>
                <w:color w:val="auto"/>
                <w:kern w:val="0"/>
                <w:sz w:val="24"/>
                <w:highlight w:val="none"/>
                <w:lang w:val="en-US" w:eastAsia="zh-CN" w:bidi="ar"/>
              </w:rPr>
              <w:t>保护</w:t>
            </w:r>
            <w:r>
              <w:rPr>
                <w:color w:val="auto"/>
                <w:kern w:val="0"/>
                <w:sz w:val="24"/>
                <w:highlight w:val="none"/>
                <w:lang w:bidi="ar"/>
              </w:rPr>
              <w:t>目标</w:t>
            </w:r>
            <w:r>
              <w:rPr>
                <w:rFonts w:hint="eastAsia"/>
                <w:color w:val="auto"/>
                <w:kern w:val="0"/>
                <w:sz w:val="24"/>
                <w:highlight w:val="none"/>
                <w:lang w:val="en-US" w:eastAsia="zh-CN" w:bidi="ar"/>
              </w:rPr>
              <w:t>处环境</w:t>
            </w:r>
            <w:r>
              <w:rPr>
                <w:color w:val="auto"/>
                <w:kern w:val="0"/>
                <w:sz w:val="24"/>
                <w:highlight w:val="none"/>
                <w:lang w:bidi="ar"/>
              </w:rPr>
              <w:t>噪声预测值昼间</w:t>
            </w:r>
            <w:r>
              <w:rPr>
                <w:rFonts w:hint="eastAsia"/>
                <w:color w:val="auto"/>
                <w:kern w:val="0"/>
                <w:sz w:val="24"/>
                <w:highlight w:val="none"/>
                <w:lang w:val="en-US" w:eastAsia="zh-CN" w:bidi="ar"/>
              </w:rPr>
              <w:t>45</w:t>
            </w:r>
            <w:r>
              <w:rPr>
                <w:color w:val="auto"/>
                <w:kern w:val="0"/>
                <w:sz w:val="24"/>
                <w:highlight w:val="none"/>
                <w:lang w:bidi="ar"/>
              </w:rPr>
              <w:t>dB(A)，满足</w:t>
            </w:r>
            <w:r>
              <w:rPr>
                <w:color w:val="auto"/>
                <w:sz w:val="24"/>
                <w:highlight w:val="none"/>
              </w:rPr>
              <w:t>《声环境质量标准》（GB3096-2008）</w:t>
            </w:r>
            <w:r>
              <w:rPr>
                <w:color w:val="auto"/>
                <w:kern w:val="0"/>
                <w:sz w:val="24"/>
                <w:highlight w:val="none"/>
                <w:lang w:bidi="ar"/>
              </w:rPr>
              <w:t>中</w:t>
            </w:r>
            <w:r>
              <w:rPr>
                <w:rFonts w:hint="eastAsia"/>
                <w:color w:val="auto"/>
                <w:kern w:val="0"/>
                <w:sz w:val="24"/>
                <w:highlight w:val="none"/>
                <w:lang w:val="en-US" w:eastAsia="zh-CN" w:bidi="ar"/>
              </w:rPr>
              <w:t>1</w:t>
            </w:r>
            <w:r>
              <w:rPr>
                <w:color w:val="auto"/>
                <w:kern w:val="0"/>
                <w:sz w:val="24"/>
                <w:highlight w:val="none"/>
                <w:lang w:bidi="ar"/>
              </w:rPr>
              <w:t>类标准要求。</w:t>
            </w:r>
          </w:p>
          <w:p w14:paraId="2A379F35">
            <w:pPr>
              <w:widowControl/>
              <w:spacing w:line="360" w:lineRule="auto"/>
              <w:ind w:firstLine="480" w:firstLineChars="200"/>
              <w:jc w:val="left"/>
              <w:rPr>
                <w:color w:val="auto"/>
                <w:kern w:val="0"/>
                <w:sz w:val="24"/>
                <w:highlight w:val="none"/>
                <w:lang w:bidi="ar"/>
              </w:rPr>
            </w:pPr>
            <w:r>
              <w:rPr>
                <w:color w:val="auto"/>
                <w:kern w:val="0"/>
                <w:sz w:val="24"/>
                <w:highlight w:val="none"/>
                <w:lang w:bidi="ar"/>
              </w:rPr>
              <w:t>因施工期噪声为间歇性的，在落实施工场地远离声环境</w:t>
            </w:r>
            <w:r>
              <w:rPr>
                <w:rFonts w:hint="eastAsia"/>
                <w:color w:val="auto"/>
                <w:kern w:val="0"/>
                <w:sz w:val="24"/>
                <w:highlight w:val="none"/>
                <w:lang w:val="en-US" w:eastAsia="zh-CN" w:bidi="ar"/>
              </w:rPr>
              <w:t>保护</w:t>
            </w:r>
            <w:r>
              <w:rPr>
                <w:color w:val="auto"/>
                <w:kern w:val="0"/>
                <w:sz w:val="24"/>
                <w:highlight w:val="none"/>
                <w:lang w:bidi="ar"/>
              </w:rPr>
              <w:t>目标布设，采用低噪声</w:t>
            </w:r>
            <w:r>
              <w:rPr>
                <w:rFonts w:hint="eastAsia"/>
                <w:color w:val="auto"/>
                <w:kern w:val="0"/>
                <w:sz w:val="24"/>
                <w:highlight w:val="none"/>
                <w:lang w:val="en-US" w:eastAsia="zh-CN" w:bidi="ar"/>
              </w:rPr>
              <w:t>施工</w:t>
            </w:r>
            <w:r>
              <w:rPr>
                <w:color w:val="auto"/>
                <w:kern w:val="0"/>
                <w:sz w:val="24"/>
                <w:highlight w:val="none"/>
                <w:lang w:bidi="ar"/>
              </w:rPr>
              <w:t>设备等声环境保护措施，</w:t>
            </w:r>
            <w:r>
              <w:rPr>
                <w:rFonts w:hint="eastAsia"/>
                <w:color w:val="auto"/>
                <w:kern w:val="0"/>
                <w:sz w:val="24"/>
                <w:highlight w:val="none"/>
                <w:lang w:val="en-US" w:eastAsia="zh-CN" w:bidi="ar"/>
              </w:rPr>
              <w:t>输电线路</w:t>
            </w:r>
            <w:r>
              <w:rPr>
                <w:color w:val="auto"/>
                <w:kern w:val="0"/>
                <w:sz w:val="24"/>
                <w:highlight w:val="none"/>
                <w:lang w:bidi="ar"/>
              </w:rPr>
              <w:t>施工期声环境</w:t>
            </w:r>
            <w:r>
              <w:rPr>
                <w:rFonts w:hint="eastAsia"/>
                <w:color w:val="auto"/>
                <w:kern w:val="0"/>
                <w:sz w:val="24"/>
                <w:highlight w:val="none"/>
                <w:lang w:val="en-US" w:eastAsia="zh-CN" w:bidi="ar"/>
              </w:rPr>
              <w:t>保护</w:t>
            </w:r>
            <w:r>
              <w:rPr>
                <w:color w:val="auto"/>
                <w:kern w:val="0"/>
                <w:sz w:val="24"/>
                <w:highlight w:val="none"/>
                <w:lang w:bidi="ar"/>
              </w:rPr>
              <w:t>目标处噪声预测值也能满足</w:t>
            </w:r>
            <w:r>
              <w:rPr>
                <w:color w:val="auto"/>
                <w:sz w:val="24"/>
                <w:highlight w:val="none"/>
              </w:rPr>
              <w:t>《声环境质量标准》（GB3096-2008）</w:t>
            </w:r>
            <w:r>
              <w:rPr>
                <w:color w:val="auto"/>
                <w:kern w:val="0"/>
                <w:sz w:val="24"/>
                <w:highlight w:val="none"/>
                <w:lang w:bidi="ar"/>
              </w:rPr>
              <w:t>中</w:t>
            </w:r>
            <w:r>
              <w:rPr>
                <w:rFonts w:hint="eastAsia"/>
                <w:color w:val="auto"/>
                <w:kern w:val="0"/>
                <w:sz w:val="24"/>
                <w:highlight w:val="none"/>
                <w:lang w:val="en-US" w:eastAsia="zh-CN" w:bidi="ar"/>
              </w:rPr>
              <w:t>1</w:t>
            </w:r>
            <w:r>
              <w:rPr>
                <w:color w:val="auto"/>
                <w:kern w:val="0"/>
                <w:sz w:val="24"/>
                <w:highlight w:val="none"/>
                <w:lang w:bidi="ar"/>
              </w:rPr>
              <w:t>类标准要求。</w:t>
            </w:r>
          </w:p>
          <w:p w14:paraId="32E36EED">
            <w:pPr>
              <w:spacing w:line="360" w:lineRule="auto"/>
              <w:ind w:firstLine="482" w:firstLineChars="200"/>
              <w:rPr>
                <w:b/>
                <w:bCs/>
                <w:color w:val="auto"/>
                <w:sz w:val="24"/>
                <w:highlight w:val="none"/>
              </w:rPr>
            </w:pPr>
            <w:r>
              <w:rPr>
                <w:b/>
                <w:bCs/>
                <w:color w:val="auto"/>
                <w:sz w:val="24"/>
                <w:highlight w:val="none"/>
              </w:rPr>
              <w:t>3、施工扬尘影响分析</w:t>
            </w:r>
            <w:bookmarkStart w:id="97" w:name="_GoBack"/>
            <w:bookmarkEnd w:id="97"/>
          </w:p>
          <w:p w14:paraId="5A233630">
            <w:pPr>
              <w:pStyle w:val="8"/>
              <w:spacing w:after="0" w:line="360" w:lineRule="auto"/>
              <w:ind w:left="0" w:leftChars="0" w:firstLine="482" w:firstLineChars="200"/>
              <w:rPr>
                <w:b/>
                <w:bCs/>
                <w:color w:val="auto"/>
                <w:sz w:val="24"/>
                <w:highlight w:val="none"/>
              </w:rPr>
            </w:pPr>
            <w:r>
              <w:rPr>
                <w:b/>
                <w:bCs/>
                <w:color w:val="auto"/>
                <w:sz w:val="24"/>
                <w:highlight w:val="none"/>
              </w:rPr>
              <w:t>（1）变电站工程</w:t>
            </w:r>
          </w:p>
          <w:p w14:paraId="13E2C334">
            <w:pPr>
              <w:pStyle w:val="8"/>
              <w:spacing w:after="0" w:line="360" w:lineRule="auto"/>
              <w:ind w:left="0" w:leftChars="0" w:firstLine="480" w:firstLineChars="200"/>
              <w:rPr>
                <w:b/>
                <w:bCs/>
                <w:color w:val="auto"/>
                <w:sz w:val="24"/>
                <w:highlight w:val="none"/>
              </w:rPr>
            </w:pPr>
            <w:r>
              <w:rPr>
                <w:color w:val="auto"/>
                <w:sz w:val="24"/>
                <w:highlight w:val="none"/>
              </w:rPr>
              <w:t>变电站施工扬尘主要来自站区及进站道路场地平整</w:t>
            </w:r>
            <w:r>
              <w:rPr>
                <w:rFonts w:hint="eastAsia"/>
                <w:color w:val="auto"/>
                <w:sz w:val="24"/>
                <w:highlight w:val="none"/>
              </w:rPr>
              <w:t>、</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color w:val="auto"/>
                <w:sz w:val="24"/>
                <w:highlight w:val="none"/>
              </w:rPr>
              <w:t>基础土石方开挖和回填及堆存，材料运输和使用，施工现场内车辆行驶等产生的扬尘。土石方及基础施工、车辆运行等产生的粉尘在短期内将使局部区域空气中TSP增加。</w:t>
            </w:r>
            <w:r>
              <w:rPr>
                <w:color w:val="auto"/>
                <w:kern w:val="0"/>
                <w:sz w:val="24"/>
                <w:highlight w:val="none"/>
                <w:lang w:bidi="ar"/>
              </w:rPr>
              <w:t>变电站围墙为装配式围墙，</w:t>
            </w:r>
            <w:r>
              <w:rPr>
                <w:rFonts w:hint="eastAsia" w:cs="Times New Roman"/>
                <w:color w:val="auto"/>
                <w:kern w:val="0"/>
                <w:sz w:val="24"/>
                <w:highlight w:val="none"/>
                <w:lang w:val="en-US" w:eastAsia="zh-CN" w:bidi="ar"/>
              </w:rPr>
              <w:t>配电装置室</w:t>
            </w:r>
            <w:r>
              <w:rPr>
                <w:rFonts w:hint="default" w:ascii="Times New Roman" w:hAnsi="Times New Roman" w:cs="Times New Roman"/>
                <w:color w:val="auto"/>
                <w:kern w:val="0"/>
                <w:sz w:val="24"/>
                <w:highlight w:val="none"/>
                <w:lang w:val="en-US" w:eastAsia="zh-CN" w:bidi="ar"/>
              </w:rPr>
              <w:t>采用装配式钢框架结构，与传统变电站相比，</w:t>
            </w:r>
            <w:r>
              <w:rPr>
                <w:rFonts w:hint="eastAsia"/>
                <w:color w:val="auto"/>
                <w:kern w:val="0"/>
                <w:sz w:val="24"/>
                <w:highlight w:val="none"/>
                <w:lang w:val="en-US" w:eastAsia="zh-CN" w:bidi="ar"/>
              </w:rPr>
              <w:t>降低</w:t>
            </w:r>
            <w:r>
              <w:rPr>
                <w:color w:val="auto"/>
                <w:kern w:val="0"/>
                <w:sz w:val="24"/>
                <w:highlight w:val="none"/>
                <w:lang w:bidi="ar"/>
              </w:rPr>
              <w:t>了施工作业</w:t>
            </w:r>
            <w:r>
              <w:rPr>
                <w:rFonts w:hint="eastAsia"/>
                <w:color w:val="auto"/>
                <w:kern w:val="0"/>
                <w:sz w:val="24"/>
                <w:highlight w:val="none"/>
                <w:lang w:val="en-US" w:eastAsia="zh-CN" w:bidi="ar"/>
              </w:rPr>
              <w:t>强度</w:t>
            </w:r>
            <w:r>
              <w:rPr>
                <w:color w:val="auto"/>
                <w:kern w:val="0"/>
                <w:sz w:val="24"/>
                <w:highlight w:val="none"/>
                <w:lang w:bidi="ar"/>
              </w:rPr>
              <w:t>，可减少扬尘对周围大气环境的影响。</w:t>
            </w:r>
            <w:r>
              <w:rPr>
                <w:rFonts w:hint="eastAsia"/>
                <w:color w:val="auto"/>
                <w:kern w:val="0"/>
                <w:sz w:val="24"/>
                <w:highlight w:val="none"/>
                <w:lang w:val="en-US" w:eastAsia="zh-CN" w:bidi="ar"/>
              </w:rPr>
              <w:t>施工营地、</w:t>
            </w:r>
            <w:r>
              <w:rPr>
                <w:rFonts w:hint="eastAsia" w:ascii="Times New Roman" w:hAnsi="Times New Roman" w:cs="Times New Roman"/>
                <w:color w:val="auto"/>
                <w:kern w:val="0"/>
                <w:sz w:val="24"/>
                <w:highlight w:val="none"/>
                <w:lang w:val="en-US" w:eastAsia="zh-CN" w:bidi="ar"/>
              </w:rPr>
              <w:t>站外</w:t>
            </w:r>
            <w:r>
              <w:rPr>
                <w:rFonts w:hint="default" w:ascii="Times New Roman" w:hAnsi="Times New Roman" w:cs="Times New Roman"/>
                <w:color w:val="auto"/>
                <w:kern w:val="0"/>
                <w:sz w:val="24"/>
                <w:highlight w:val="none"/>
                <w:lang w:val="en-US" w:eastAsia="zh-CN" w:bidi="ar"/>
              </w:rPr>
              <w:t>供水</w:t>
            </w:r>
            <w:r>
              <w:rPr>
                <w:rFonts w:hint="eastAsia" w:ascii="Times New Roman" w:hAnsi="Times New Roman" w:cs="Times New Roman"/>
                <w:color w:val="auto"/>
                <w:kern w:val="0"/>
                <w:sz w:val="24"/>
                <w:highlight w:val="none"/>
                <w:lang w:val="en-US" w:eastAsia="zh-CN" w:bidi="ar"/>
              </w:rPr>
              <w:t>及</w:t>
            </w:r>
            <w:r>
              <w:rPr>
                <w:rFonts w:hint="default" w:ascii="Times New Roman" w:hAnsi="Times New Roman" w:cs="Times New Roman"/>
                <w:color w:val="auto"/>
                <w:kern w:val="0"/>
                <w:sz w:val="24"/>
                <w:highlight w:val="none"/>
                <w:lang w:val="en-US" w:eastAsia="zh-CN" w:bidi="ar"/>
              </w:rPr>
              <w:t>排水管线施工时，应设置施工围挡，</w:t>
            </w:r>
            <w:r>
              <w:rPr>
                <w:rFonts w:hint="eastAsia" w:cs="Times New Roman"/>
                <w:color w:val="auto"/>
                <w:kern w:val="0"/>
                <w:sz w:val="24"/>
                <w:highlight w:val="none"/>
                <w:lang w:val="en-US" w:eastAsia="zh-CN" w:bidi="ar"/>
              </w:rPr>
              <w:t>且</w:t>
            </w:r>
            <w:r>
              <w:rPr>
                <w:rFonts w:hint="eastAsia" w:ascii="Times New Roman" w:hAnsi="Times New Roman" w:cs="Times New Roman"/>
                <w:color w:val="auto"/>
                <w:kern w:val="0"/>
                <w:sz w:val="24"/>
                <w:highlight w:val="none"/>
                <w:lang w:val="en-US" w:eastAsia="zh-CN" w:bidi="ar"/>
              </w:rPr>
              <w:t>站外</w:t>
            </w:r>
            <w:r>
              <w:rPr>
                <w:rFonts w:hint="default" w:ascii="Times New Roman" w:hAnsi="Times New Roman" w:cs="Times New Roman"/>
                <w:color w:val="auto"/>
                <w:kern w:val="0"/>
                <w:sz w:val="24"/>
                <w:highlight w:val="none"/>
                <w:lang w:val="en-US" w:eastAsia="zh-CN" w:bidi="ar"/>
              </w:rPr>
              <w:t>供水</w:t>
            </w:r>
            <w:r>
              <w:rPr>
                <w:rFonts w:hint="eastAsia" w:ascii="Times New Roman" w:hAnsi="Times New Roman" w:cs="Times New Roman"/>
                <w:color w:val="auto"/>
                <w:kern w:val="0"/>
                <w:sz w:val="24"/>
                <w:highlight w:val="none"/>
                <w:lang w:val="en-US" w:eastAsia="zh-CN" w:bidi="ar"/>
              </w:rPr>
              <w:t>及</w:t>
            </w:r>
            <w:r>
              <w:rPr>
                <w:rFonts w:hint="default" w:ascii="Times New Roman" w:hAnsi="Times New Roman" w:cs="Times New Roman"/>
                <w:color w:val="auto"/>
                <w:kern w:val="0"/>
                <w:sz w:val="24"/>
                <w:highlight w:val="none"/>
                <w:lang w:val="en-US" w:eastAsia="zh-CN" w:bidi="ar"/>
              </w:rPr>
              <w:t>排水管线通过分段开挖，分段回填</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施工结束后供水</w:t>
            </w:r>
            <w:r>
              <w:rPr>
                <w:rFonts w:hint="eastAsia" w:ascii="Times New Roman" w:hAnsi="Times New Roman" w:cs="Times New Roman"/>
                <w:color w:val="auto"/>
                <w:kern w:val="0"/>
                <w:sz w:val="24"/>
                <w:highlight w:val="none"/>
                <w:lang w:val="en-US" w:eastAsia="zh-CN" w:bidi="ar"/>
              </w:rPr>
              <w:t>及</w:t>
            </w:r>
            <w:r>
              <w:rPr>
                <w:rFonts w:hint="default" w:ascii="Times New Roman" w:hAnsi="Times New Roman" w:cs="Times New Roman"/>
                <w:color w:val="auto"/>
                <w:kern w:val="0"/>
                <w:sz w:val="24"/>
                <w:highlight w:val="none"/>
                <w:lang w:val="en-US" w:eastAsia="zh-CN" w:bidi="ar"/>
              </w:rPr>
              <w:t>排水管线</w:t>
            </w:r>
            <w:r>
              <w:rPr>
                <w:rFonts w:hint="eastAsia" w:cs="Times New Roman"/>
                <w:color w:val="auto"/>
                <w:kern w:val="0"/>
                <w:sz w:val="24"/>
                <w:highlight w:val="none"/>
                <w:lang w:val="en-US" w:eastAsia="zh-CN" w:bidi="ar"/>
              </w:rPr>
              <w:t>、</w:t>
            </w:r>
            <w:r>
              <w:rPr>
                <w:rFonts w:hint="default" w:ascii="Times New Roman" w:hAnsi="Times New Roman" w:cs="Times New Roman"/>
                <w:color w:val="auto"/>
                <w:kern w:val="0"/>
                <w:sz w:val="24"/>
                <w:lang w:val="en-US" w:eastAsia="zh-CN" w:bidi="ar"/>
              </w:rPr>
              <w:t>10千伏临时施工电源线路拆除后</w:t>
            </w:r>
            <w:r>
              <w:rPr>
                <w:rFonts w:hint="eastAsia"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应及时进行土方回填，进行植被恢复，减少施工扬尘的产生。施工期禁止大风天气进行基础施工，产生的临时堆土及时苫盖，并定期进行洒水；对开挖产生的临时土方、砂石等可能产生扬尘的材料，在运输时用防水布覆盖。在采取以上措施后，变电站施工期对周围大气环境影响较小。</w:t>
            </w:r>
          </w:p>
          <w:p w14:paraId="78420834">
            <w:pPr>
              <w:pStyle w:val="8"/>
              <w:spacing w:after="0" w:line="360" w:lineRule="auto"/>
              <w:ind w:left="0" w:leftChars="0" w:firstLine="482" w:firstLineChars="200"/>
              <w:rPr>
                <w:b/>
                <w:bCs/>
                <w:color w:val="auto"/>
                <w:sz w:val="24"/>
                <w:highlight w:val="none"/>
              </w:rPr>
            </w:pPr>
            <w:r>
              <w:rPr>
                <w:b/>
                <w:bCs/>
                <w:color w:val="auto"/>
                <w:sz w:val="24"/>
                <w:highlight w:val="none"/>
              </w:rPr>
              <w:t>（</w:t>
            </w:r>
            <w:r>
              <w:rPr>
                <w:rFonts w:hint="eastAsia"/>
                <w:b/>
                <w:bCs/>
                <w:color w:val="auto"/>
                <w:sz w:val="24"/>
                <w:highlight w:val="none"/>
                <w:lang w:val="en-US" w:eastAsia="zh-CN"/>
              </w:rPr>
              <w:t>2</w:t>
            </w:r>
            <w:r>
              <w:rPr>
                <w:b/>
                <w:bCs/>
                <w:color w:val="auto"/>
                <w:sz w:val="24"/>
                <w:highlight w:val="none"/>
              </w:rPr>
              <w:t>）输电线路工程</w:t>
            </w:r>
          </w:p>
          <w:p w14:paraId="3B70D7B4">
            <w:pPr>
              <w:pStyle w:val="8"/>
              <w:spacing w:after="0" w:line="360" w:lineRule="auto"/>
              <w:ind w:left="0" w:leftChars="0" w:firstLine="480" w:firstLineChars="200"/>
              <w:rPr>
                <w:rFonts w:hint="default" w:ascii="Times New Roman" w:hAnsi="Times New Roman" w:cs="Times New Roman"/>
                <w:color w:val="auto"/>
                <w:sz w:val="24"/>
                <w:highlight w:val="none"/>
              </w:rPr>
            </w:pPr>
            <w:r>
              <w:rPr>
                <w:color w:val="auto"/>
                <w:sz w:val="24"/>
                <w:highlight w:val="none"/>
              </w:rPr>
              <w:t>输电线路施工扬尘主要来自塔基基础开挖、平整</w:t>
            </w:r>
            <w:r>
              <w:rPr>
                <w:rFonts w:hint="eastAsia"/>
                <w:color w:val="auto"/>
                <w:sz w:val="24"/>
                <w:highlight w:val="none"/>
                <w:lang w:eastAsia="zh-CN"/>
              </w:rPr>
              <w:t>、</w:t>
            </w:r>
            <w:r>
              <w:rPr>
                <w:rFonts w:hint="eastAsia"/>
                <w:color w:val="auto"/>
                <w:sz w:val="24"/>
                <w:highlight w:val="none"/>
                <w:lang w:val="en-US" w:eastAsia="zh-CN"/>
              </w:rPr>
              <w:t>回填</w:t>
            </w:r>
            <w:r>
              <w:rPr>
                <w:color w:val="auto"/>
                <w:sz w:val="24"/>
                <w:highlight w:val="none"/>
              </w:rPr>
              <w:t>等产生的扬尘</w:t>
            </w:r>
            <w:r>
              <w:rPr>
                <w:rFonts w:hint="eastAsia"/>
                <w:color w:val="auto"/>
                <w:sz w:val="24"/>
                <w:highlight w:val="none"/>
              </w:rPr>
              <w:t>。</w:t>
            </w:r>
            <w:r>
              <w:rPr>
                <w:rFonts w:hint="default" w:ascii="Times New Roman" w:hAnsi="Times New Roman" w:cs="Times New Roman"/>
                <w:color w:val="auto"/>
                <w:sz w:val="24"/>
                <w:highlight w:val="none"/>
              </w:rPr>
              <w:t>架空线路施工点分散、施工量小、历时短；开挖的土石方分别堆放在每基杆塔附近并遮盖；采用</w:t>
            </w:r>
            <w:r>
              <w:rPr>
                <w:rFonts w:hint="default" w:ascii="Times New Roman" w:hAnsi="Times New Roman" w:cs="Times New Roman"/>
                <w:bCs/>
                <w:color w:val="auto"/>
                <w:sz w:val="24"/>
                <w:highlight w:val="none"/>
              </w:rPr>
              <w:t>挖孔桩基础</w:t>
            </w:r>
            <w:r>
              <w:rPr>
                <w:rFonts w:hint="default" w:ascii="Times New Roman" w:hAnsi="Times New Roman" w:cs="Times New Roman"/>
                <w:color w:val="auto"/>
                <w:sz w:val="24"/>
                <w:highlight w:val="none"/>
              </w:rPr>
              <w:t>，基坑开挖完工后，尽快浇注商品混凝土，缩短裸露时间；开挖的土石方及时进行回填等，以减少扬尘的产生</w:t>
            </w:r>
            <w:r>
              <w:rPr>
                <w:rFonts w:hint="default"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sz w:val="24"/>
                <w:highlight w:val="none"/>
              </w:rPr>
              <w:t>根据施工现场情况，进行洒水抑尘，减少扬尘的产生；当出现风速过大或不利天气状况时应停止施工作业；如用汽车运送易起尘的土方时，要加盖</w:t>
            </w:r>
            <w:r>
              <w:rPr>
                <w:rFonts w:hint="default" w:ascii="Times New Roman" w:hAnsi="Times New Roman" w:cs="Times New Roman"/>
                <w:color w:val="auto"/>
                <w:sz w:val="24"/>
                <w:highlight w:val="none"/>
                <w:lang w:val="en-US" w:eastAsia="zh-CN"/>
              </w:rPr>
              <w:t>篷</w:t>
            </w:r>
            <w:r>
              <w:rPr>
                <w:rFonts w:hint="default" w:ascii="Times New Roman" w:hAnsi="Times New Roman" w:cs="Times New Roman"/>
                <w:color w:val="auto"/>
                <w:sz w:val="24"/>
                <w:highlight w:val="none"/>
              </w:rPr>
              <w:t>布、限制车速，防止物料洒落和产生扬尘；输电线路施工场地较为开阔，具有较好的扩散条件，通过加强施工车辆使用与养护，对周围大气环境的影响很小。</w:t>
            </w:r>
          </w:p>
          <w:p w14:paraId="1841A742">
            <w:pPr>
              <w:pStyle w:val="8"/>
              <w:spacing w:after="0" w:line="360" w:lineRule="auto"/>
              <w:ind w:left="0" w:leftChars="0" w:firstLine="480" w:firstLineChars="200"/>
              <w:rPr>
                <w:color w:val="auto"/>
                <w:sz w:val="24"/>
                <w:highlight w:val="none"/>
              </w:rPr>
            </w:pPr>
            <w:r>
              <w:rPr>
                <w:rFonts w:hint="default" w:ascii="Times New Roman" w:hAnsi="Times New Roman" w:cs="Times New Roman"/>
                <w:color w:val="auto"/>
                <w:sz w:val="24"/>
                <w:highlight w:val="none"/>
              </w:rPr>
              <w:t>综上所述，在工程施工过程中，对施工扬尘严格采取上述污染防治措施后，可有效控制施工扬尘对周围环境的影响，施工期大气污染物可控制在合理范围内，减少对周围环境的影响。</w:t>
            </w:r>
          </w:p>
          <w:p w14:paraId="29BA45E7">
            <w:pPr>
              <w:spacing w:line="360" w:lineRule="auto"/>
              <w:ind w:firstLine="482" w:firstLineChars="200"/>
              <w:rPr>
                <w:b/>
                <w:bCs/>
                <w:color w:val="auto"/>
                <w:sz w:val="24"/>
                <w:highlight w:val="none"/>
              </w:rPr>
            </w:pPr>
            <w:r>
              <w:rPr>
                <w:b/>
                <w:bCs/>
                <w:color w:val="auto"/>
                <w:sz w:val="24"/>
                <w:highlight w:val="none"/>
              </w:rPr>
              <w:t>4、固体废物环境影响分析</w:t>
            </w:r>
          </w:p>
          <w:p w14:paraId="6A1867DC">
            <w:pPr>
              <w:pStyle w:val="8"/>
              <w:spacing w:after="0" w:line="360" w:lineRule="auto"/>
              <w:ind w:left="0" w:leftChars="0" w:firstLine="480" w:firstLineChars="200"/>
              <w:rPr>
                <w:color w:val="auto"/>
                <w:sz w:val="24"/>
                <w:highlight w:val="none"/>
              </w:rPr>
            </w:pPr>
            <w:r>
              <w:rPr>
                <w:rFonts w:hint="default" w:ascii="Times New Roman" w:hAnsi="Times New Roman" w:cs="Times New Roman"/>
                <w:color w:val="auto"/>
                <w:sz w:val="24"/>
                <w:highlight w:val="none"/>
              </w:rPr>
              <w:t>本项目施工期间产生的固体废物主要包括建筑垃圾（</w:t>
            </w:r>
            <w:r>
              <w:rPr>
                <w:rFonts w:hint="default" w:ascii="Times New Roman" w:hAnsi="Times New Roman" w:cs="Times New Roman"/>
                <w:color w:val="auto"/>
                <w:sz w:val="24"/>
                <w:highlight w:val="none"/>
                <w:lang w:val="en-US" w:eastAsia="zh-CN"/>
              </w:rPr>
              <w:t>拆除的塔基基础、</w:t>
            </w:r>
            <w:r>
              <w:rPr>
                <w:rFonts w:hint="eastAsia" w:cs="Times New Roman"/>
                <w:color w:val="auto"/>
                <w:sz w:val="24"/>
                <w:highlight w:val="none"/>
                <w:lang w:val="en-US" w:eastAsia="zh-CN"/>
              </w:rPr>
              <w:t>废</w:t>
            </w:r>
            <w:r>
              <w:rPr>
                <w:rFonts w:hint="default" w:ascii="Times New Roman" w:hAnsi="Times New Roman" w:cs="Times New Roman"/>
                <w:color w:val="auto"/>
                <w:sz w:val="24"/>
                <w:highlight w:val="none"/>
              </w:rPr>
              <w:t>包装材料等）以及施工人员生活垃圾。</w:t>
            </w:r>
          </w:p>
          <w:p w14:paraId="455564EC">
            <w:pPr>
              <w:pStyle w:val="8"/>
              <w:numPr>
                <w:ilvl w:val="0"/>
                <w:numId w:val="0"/>
              </w:numPr>
              <w:spacing w:after="0" w:line="360" w:lineRule="auto"/>
              <w:ind w:firstLine="480" w:firstLineChars="200"/>
              <w:rPr>
                <w:bCs/>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本项目总体挖填方平衡，无弃土产生。变电站区域剥离的表土用于</w:t>
            </w:r>
            <w:r>
              <w:rPr>
                <w:rFonts w:hint="eastAsia"/>
                <w:color w:val="auto"/>
                <w:sz w:val="24"/>
                <w:highlight w:val="none"/>
              </w:rPr>
              <w:t>施工营地</w:t>
            </w:r>
            <w:r>
              <w:rPr>
                <w:rFonts w:hint="eastAsia"/>
                <w:color w:val="auto"/>
                <w:sz w:val="24"/>
                <w:highlight w:val="none"/>
                <w:lang w:val="en-US" w:eastAsia="zh-CN"/>
              </w:rPr>
              <w:t>等</w:t>
            </w:r>
            <w:r>
              <w:rPr>
                <w:color w:val="auto"/>
                <w:sz w:val="24"/>
                <w:highlight w:val="none"/>
              </w:rPr>
              <w:t>临时占地土地平整恢复使用；</w:t>
            </w:r>
            <w:r>
              <w:rPr>
                <w:bCs/>
                <w:color w:val="auto"/>
                <w:sz w:val="24"/>
                <w:highlight w:val="none"/>
              </w:rPr>
              <w:t>塔基基础开挖出的土石方用于回填及塔基周围培土</w:t>
            </w:r>
            <w:r>
              <w:rPr>
                <w:rFonts w:hint="eastAsia"/>
                <w:bCs/>
                <w:color w:val="auto"/>
                <w:sz w:val="24"/>
                <w:highlight w:val="none"/>
                <w:lang w:eastAsia="zh-CN"/>
              </w:rPr>
              <w:t>。</w:t>
            </w:r>
          </w:p>
          <w:p w14:paraId="0FA2E6EC">
            <w:pPr>
              <w:pStyle w:val="8"/>
              <w:spacing w:after="0" w:line="360" w:lineRule="auto"/>
              <w:ind w:left="0" w:leftChars="0" w:firstLine="480" w:firstLineChars="200"/>
              <w:rPr>
                <w:rFonts w:hint="default"/>
                <w:color w:val="auto"/>
                <w:highlight w:val="none"/>
              </w:rPr>
            </w:pPr>
            <w:r>
              <w:rPr>
                <w:color w:val="auto"/>
                <w:sz w:val="24"/>
                <w:highlight w:val="none"/>
              </w:rPr>
              <w:t>（2）</w:t>
            </w:r>
            <w:r>
              <w:rPr>
                <w:rFonts w:hint="eastAsia" w:cs="Times New Roman"/>
                <w:color w:val="auto"/>
                <w:sz w:val="24"/>
                <w:highlight w:val="none"/>
                <w:lang w:val="en-US" w:eastAsia="zh-CN"/>
              </w:rPr>
              <w:t>拆除10千伏的水泥杆、导线、地线等可回收建材由建设单位及时回收处置；施工结束后</w:t>
            </w:r>
            <w:r>
              <w:rPr>
                <w:rFonts w:hint="default" w:ascii="Times New Roman" w:hAnsi="Times New Roman" w:eastAsia="宋体" w:cs="Times New Roman"/>
                <w:color w:val="auto"/>
                <w:sz w:val="24"/>
                <w:highlight w:val="none"/>
                <w:lang w:val="en-US" w:eastAsia="zh-CN"/>
              </w:rPr>
              <w:t>10千伏临时电源线路拆除的塔基基础、废包装材料等</w:t>
            </w:r>
            <w:r>
              <w:rPr>
                <w:rFonts w:hint="default" w:ascii="Times New Roman" w:hAnsi="Times New Roman" w:eastAsia="宋体" w:cs="Times New Roman"/>
                <w:color w:val="auto"/>
                <w:sz w:val="24"/>
                <w:highlight w:val="none"/>
                <w:lang w:eastAsia="zh-CN"/>
              </w:rPr>
              <w:t>建筑</w:t>
            </w:r>
            <w:r>
              <w:rPr>
                <w:rFonts w:hint="default" w:ascii="Times New Roman" w:hAnsi="Times New Roman" w:eastAsia="宋体" w:cs="Times New Roman"/>
                <w:color w:val="auto"/>
                <w:sz w:val="24"/>
                <w:highlight w:val="none"/>
              </w:rPr>
              <w:t>垃圾</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施工单位应采取污染防治措施，</w:t>
            </w:r>
            <w:r>
              <w:rPr>
                <w:rFonts w:hint="default" w:ascii="Times New Roman" w:hAnsi="Times New Roman" w:eastAsia="宋体" w:cs="Times New Roman"/>
                <w:color w:val="auto"/>
                <w:sz w:val="24"/>
                <w:highlight w:val="none"/>
                <w:lang w:val="en-US" w:eastAsia="zh-CN"/>
              </w:rPr>
              <w:t>运往政府部门指定的地点处置。</w:t>
            </w:r>
          </w:p>
          <w:p w14:paraId="3B87EE60">
            <w:pPr>
              <w:pStyle w:val="8"/>
              <w:spacing w:after="0" w:line="360" w:lineRule="auto"/>
              <w:ind w:left="0" w:leftChars="0" w:firstLine="480" w:firstLineChars="200"/>
              <w:rPr>
                <w:color w:val="auto"/>
                <w:sz w:val="24"/>
                <w:highlight w:val="none"/>
              </w:rPr>
            </w:pPr>
            <w:r>
              <w:rPr>
                <w:color w:val="auto"/>
                <w:sz w:val="24"/>
                <w:highlight w:val="none"/>
              </w:rPr>
              <w:t>（3）</w:t>
            </w:r>
            <w:r>
              <w:rPr>
                <w:rFonts w:hint="default" w:ascii="Times New Roman" w:hAnsi="Times New Roman" w:cs="Times New Roman"/>
                <w:color w:val="auto"/>
                <w:sz w:val="24"/>
                <w:highlight w:val="none"/>
              </w:rPr>
              <w:t>施工期间</w:t>
            </w:r>
            <w:r>
              <w:rPr>
                <w:rFonts w:hint="eastAsia" w:cs="Times New Roman"/>
                <w:color w:val="auto"/>
                <w:sz w:val="24"/>
                <w:highlight w:val="none"/>
                <w:lang w:val="en-US" w:eastAsia="zh-CN"/>
              </w:rPr>
              <w:t>变电站施工营地</w:t>
            </w:r>
            <w:r>
              <w:rPr>
                <w:rFonts w:hint="default" w:ascii="Times New Roman" w:hAnsi="Times New Roman" w:cs="Times New Roman"/>
                <w:color w:val="auto"/>
                <w:sz w:val="24"/>
                <w:highlight w:val="none"/>
              </w:rPr>
              <w:t>产生的生活垃圾应</w:t>
            </w:r>
            <w:r>
              <w:rPr>
                <w:rFonts w:hint="eastAsia" w:ascii="Times New Roman" w:hAnsi="Times New Roman" w:cs="Times New Roman"/>
                <w:color w:val="auto"/>
                <w:sz w:val="24"/>
                <w:highlight w:val="none"/>
                <w:lang w:val="en-US" w:eastAsia="zh-CN"/>
              </w:rPr>
              <w:t>分类</w:t>
            </w:r>
            <w:r>
              <w:rPr>
                <w:rFonts w:hint="default" w:ascii="Times New Roman" w:hAnsi="Times New Roman" w:cs="Times New Roman"/>
                <w:color w:val="auto"/>
                <w:sz w:val="24"/>
                <w:highlight w:val="none"/>
              </w:rPr>
              <w:t>集中收集，定期运至附近垃圾收集点，由当地环卫部门统一清运处置，严禁随意丢弃和堆放</w:t>
            </w:r>
            <w:r>
              <w:rPr>
                <w:rFonts w:hint="eastAsia" w:cs="Times New Roman"/>
                <w:color w:val="auto"/>
                <w:sz w:val="24"/>
                <w:highlight w:val="none"/>
                <w:lang w:eastAsia="zh-CN"/>
              </w:rPr>
              <w:t>；</w:t>
            </w:r>
            <w:r>
              <w:rPr>
                <w:rFonts w:hint="eastAsia" w:cs="Times New Roman"/>
                <w:color w:val="auto"/>
                <w:sz w:val="24"/>
                <w:highlight w:val="none"/>
                <w:lang w:val="en-US" w:eastAsia="zh-CN"/>
              </w:rPr>
              <w:t>输电线路</w:t>
            </w:r>
            <w:r>
              <w:rPr>
                <w:rFonts w:hint="default" w:ascii="Times New Roman" w:hAnsi="Times New Roman" w:cs="Times New Roman"/>
                <w:color w:val="auto"/>
                <w:sz w:val="24"/>
                <w:highlight w:val="none"/>
                <w:lang w:val="en-US" w:eastAsia="zh-CN"/>
              </w:rPr>
              <w:t>施工人员生活办公场所租用项目附近的民房，</w:t>
            </w:r>
            <w:r>
              <w:rPr>
                <w:rFonts w:hint="default" w:ascii="Times New Roman" w:hAnsi="Times New Roman" w:eastAsia="宋体" w:cs="Times New Roman"/>
                <w:color w:val="auto"/>
                <w:sz w:val="24"/>
                <w:highlight w:val="none"/>
                <w:lang w:val="en-US" w:eastAsia="zh-CN"/>
              </w:rPr>
              <w:t>产生的生活垃圾依托居住地生活垃圾收集设施处置。</w:t>
            </w:r>
            <w:r>
              <w:rPr>
                <w:color w:val="auto"/>
                <w:sz w:val="24"/>
                <w:highlight w:val="none"/>
              </w:rPr>
              <w:t xml:space="preserve"> </w:t>
            </w:r>
          </w:p>
          <w:p w14:paraId="68D0B02A">
            <w:pPr>
              <w:pStyle w:val="8"/>
              <w:spacing w:after="0" w:line="360" w:lineRule="auto"/>
              <w:ind w:left="0" w:leftChars="0" w:firstLine="480" w:firstLineChars="200"/>
              <w:rPr>
                <w:color w:val="auto"/>
                <w:sz w:val="24"/>
                <w:highlight w:val="none"/>
              </w:rPr>
            </w:pPr>
            <w:r>
              <w:rPr>
                <w:color w:val="auto"/>
                <w:sz w:val="24"/>
                <w:highlight w:val="none"/>
              </w:rPr>
              <w:t xml:space="preserve">综上所述，本项目施工期产生的固体废物均得到了妥善的处理处置，不会对 </w:t>
            </w:r>
          </w:p>
          <w:p w14:paraId="29032C8D">
            <w:pPr>
              <w:pStyle w:val="8"/>
              <w:spacing w:after="0" w:line="360" w:lineRule="auto"/>
              <w:ind w:left="0" w:leftChars="0" w:firstLine="0"/>
              <w:rPr>
                <w:color w:val="auto"/>
                <w:sz w:val="24"/>
                <w:highlight w:val="none"/>
              </w:rPr>
            </w:pPr>
            <w:r>
              <w:rPr>
                <w:color w:val="auto"/>
                <w:sz w:val="24"/>
                <w:highlight w:val="none"/>
              </w:rPr>
              <w:t>周围环境产生影响。</w:t>
            </w:r>
          </w:p>
          <w:p w14:paraId="79D0E946">
            <w:pPr>
              <w:spacing w:line="360" w:lineRule="auto"/>
              <w:ind w:firstLine="482" w:firstLineChars="200"/>
              <w:rPr>
                <w:b/>
                <w:bCs/>
                <w:color w:val="auto"/>
                <w:sz w:val="24"/>
                <w:highlight w:val="none"/>
              </w:rPr>
            </w:pPr>
            <w:r>
              <w:rPr>
                <w:b/>
                <w:bCs/>
                <w:color w:val="auto"/>
                <w:sz w:val="24"/>
                <w:highlight w:val="none"/>
              </w:rPr>
              <w:t>5、地表水环境影响分析</w:t>
            </w:r>
          </w:p>
          <w:p w14:paraId="52837105">
            <w:pPr>
              <w:pStyle w:val="8"/>
              <w:spacing w:after="0" w:line="360" w:lineRule="auto"/>
              <w:ind w:left="0" w:leftChars="0"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color w:val="auto"/>
                <w:sz w:val="24"/>
                <w:highlight w:val="none"/>
              </w:rPr>
              <w:t>变电站、输电线路施工采用商品混凝土，</w:t>
            </w:r>
            <w:r>
              <w:rPr>
                <w:rFonts w:hint="default" w:ascii="Times New Roman" w:hAnsi="Times New Roman" w:cs="Times New Roman"/>
                <w:color w:val="auto"/>
                <w:sz w:val="24"/>
                <w:highlight w:val="none"/>
              </w:rPr>
              <w:t>无施工废水产生。</w:t>
            </w:r>
          </w:p>
          <w:p w14:paraId="3D859522">
            <w:pPr>
              <w:pStyle w:val="8"/>
              <w:spacing w:after="0" w:line="360" w:lineRule="auto"/>
              <w:ind w:left="0" w:leftChars="0"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2</w:t>
            </w:r>
            <w:r>
              <w:rPr>
                <w:rFonts w:hint="eastAsia" w:cs="Times New Roman"/>
                <w:color w:val="auto"/>
                <w:sz w:val="24"/>
                <w:highlight w:val="none"/>
                <w:lang w:eastAsia="zh-CN"/>
              </w:rPr>
              <w:t>）</w:t>
            </w:r>
            <w:r>
              <w:rPr>
                <w:color w:val="auto"/>
                <w:sz w:val="24"/>
              </w:rPr>
              <w:t>施工期废（污）水主要来源于施工人员生活污水</w:t>
            </w:r>
            <w:r>
              <w:rPr>
                <w:rFonts w:hint="eastAsia"/>
                <w:color w:val="auto"/>
                <w:sz w:val="24"/>
                <w:lang w:eastAsia="zh-CN"/>
              </w:rPr>
              <w:t>。</w:t>
            </w:r>
            <w:r>
              <w:rPr>
                <w:rFonts w:hint="eastAsia"/>
                <w:color w:val="auto"/>
                <w:sz w:val="24"/>
                <w:lang w:val="en-US" w:eastAsia="zh-CN"/>
              </w:rPr>
              <w:t>变电站</w:t>
            </w:r>
            <w:r>
              <w:rPr>
                <w:rFonts w:hint="default" w:ascii="Times New Roman" w:hAnsi="Times New Roman" w:eastAsia="宋体" w:cs="Times New Roman"/>
                <w:color w:val="auto"/>
                <w:sz w:val="24"/>
                <w:szCs w:val="24"/>
                <w:highlight w:val="none"/>
                <w:lang w:val="en-US" w:eastAsia="zh-CN"/>
              </w:rPr>
              <w:t>施工期施工人员约30人，</w:t>
            </w:r>
            <w:r>
              <w:rPr>
                <w:rFonts w:hint="default" w:ascii="Times New Roman" w:hAnsi="Times New Roman" w:eastAsia="宋体" w:cs="Times New Roman"/>
                <w:color w:val="auto"/>
                <w:sz w:val="24"/>
                <w:highlight w:val="none"/>
              </w:rPr>
              <w:t>生活用水定额按</w:t>
            </w:r>
            <w:r>
              <w:rPr>
                <w:rFonts w:hint="eastAsia" w:ascii="Times New Roman" w:hAnsi="Times New Roman" w:eastAsia="宋体" w:cs="Times New Roman"/>
                <w:color w:val="auto"/>
                <w:sz w:val="24"/>
                <w:highlight w:val="none"/>
                <w:lang w:val="en-US" w:eastAsia="zh-CN"/>
              </w:rPr>
              <w:t>&lt;</w:t>
            </w:r>
            <w:r>
              <w:rPr>
                <w:rFonts w:hint="default" w:ascii="Times New Roman" w:hAnsi="Times New Roman" w:eastAsia="宋体" w:cs="Times New Roman"/>
                <w:color w:val="auto"/>
                <w:sz w:val="24"/>
                <w:highlight w:val="none"/>
              </w:rPr>
              <w:t>宁夏回族自治区水利厅 宁夏回族自治区市场监督管理厅关于印发</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宁夏回族自治区有关行业用水定额</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修订</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的通知</w:t>
            </w:r>
            <w:r>
              <w:rPr>
                <w:rFonts w:hint="eastAsia" w:ascii="Times New Roman" w:hAnsi="Times New Roman" w:eastAsia="宋体" w:cs="Times New Roman"/>
                <w:color w:val="auto"/>
                <w:sz w:val="24"/>
                <w:highlight w:val="none"/>
                <w:lang w:val="en-US" w:eastAsia="zh-CN"/>
              </w:rPr>
              <w:t>&gt;</w:t>
            </w:r>
            <w:r>
              <w:rPr>
                <w:rFonts w:hint="default" w:ascii="Times New Roman" w:hAnsi="Times New Roman" w:eastAsia="宋体" w:cs="Times New Roman"/>
                <w:color w:val="auto"/>
                <w:sz w:val="24"/>
                <w:highlight w:val="none"/>
                <w:lang w:val="en-US" w:eastAsia="zh-CN"/>
              </w:rPr>
              <w:t>（宁</w:t>
            </w:r>
            <w:r>
              <w:rPr>
                <w:rFonts w:hint="eastAsia" w:ascii="Times New Roman" w:hAnsi="Times New Roman" w:eastAsia="宋体" w:cs="Times New Roman"/>
                <w:color w:val="auto"/>
                <w:sz w:val="24"/>
                <w:highlight w:val="none"/>
                <w:lang w:val="en-US" w:eastAsia="zh-CN"/>
              </w:rPr>
              <w:t>节水供</w:t>
            </w:r>
            <w:r>
              <w:rPr>
                <w:rFonts w:hint="default" w:ascii="Times New Roman" w:hAnsi="Times New Roman" w:eastAsia="宋体" w:cs="Times New Roman"/>
                <w:color w:val="auto"/>
                <w:sz w:val="24"/>
                <w:highlight w:val="none"/>
                <w:lang w:val="en-US" w:eastAsia="zh-CN"/>
              </w:rPr>
              <w:t>发</w:t>
            </w:r>
            <w:r>
              <w:rPr>
                <w:rFonts w:hint="default" w:ascii="Times New Roman" w:hAnsi="Times New Roman" w:eastAsia="宋体" w:cs="Times New Roman"/>
                <w:color w:val="auto"/>
                <w:spacing w:val="0"/>
                <w:sz w:val="24"/>
                <w:highlight w:val="none"/>
              </w:rPr>
              <w:t>〔20</w:t>
            </w:r>
            <w:r>
              <w:rPr>
                <w:rFonts w:hint="eastAsia" w:ascii="Times New Roman" w:hAnsi="Times New Roman" w:eastAsia="宋体" w:cs="Times New Roman"/>
                <w:color w:val="auto"/>
                <w:spacing w:val="0"/>
                <w:sz w:val="24"/>
                <w:highlight w:val="none"/>
                <w:lang w:val="en-US" w:eastAsia="zh-CN"/>
              </w:rPr>
              <w:t>25</w:t>
            </w:r>
            <w:r>
              <w:rPr>
                <w:rFonts w:hint="default" w:ascii="Times New Roman" w:hAnsi="Times New Roman" w:eastAsia="宋体" w:cs="Times New Roman"/>
                <w:color w:val="auto"/>
                <w:spacing w:val="0"/>
                <w:sz w:val="24"/>
                <w:highlight w:val="none"/>
              </w:rPr>
              <w:t>〕</w:t>
            </w:r>
            <w:r>
              <w:rPr>
                <w:rFonts w:hint="eastAsia"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lang w:val="en-US" w:eastAsia="zh-CN"/>
              </w:rPr>
              <w:t>号）中</w:t>
            </w:r>
            <w:r>
              <w:rPr>
                <w:rFonts w:hint="default" w:ascii="Times New Roman" w:hAnsi="Times New Roman" w:eastAsia="宋体" w:cs="Times New Roman"/>
                <w:color w:val="auto"/>
                <w:sz w:val="24"/>
                <w:highlight w:val="none"/>
              </w:rPr>
              <w:t>平房及简易楼房取</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0L/人·d计，则项目生活用水量</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生活污水最大产生量约2.</w:t>
            </w:r>
            <w:r>
              <w:rPr>
                <w:rFonts w:hint="eastAsia" w:ascii="Times New Roman" w:hAnsi="Times New Roman" w:eastAsia="宋体"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spacing w:val="0"/>
                <w:w w:val="100"/>
                <w:position w:val="0"/>
                <w:sz w:val="24"/>
                <w:szCs w:val="24"/>
                <w:highlight w:val="none"/>
              </w:rPr>
              <w:t>施工营地</w:t>
            </w:r>
            <w:r>
              <w:rPr>
                <w:rFonts w:hint="eastAsia" w:ascii="Times New Roman" w:hAnsi="Times New Roman" w:eastAsia="宋体" w:cs="Times New Roman"/>
                <w:color w:val="000000"/>
                <w:spacing w:val="0"/>
                <w:w w:val="100"/>
                <w:position w:val="0"/>
                <w:sz w:val="24"/>
                <w:szCs w:val="24"/>
                <w:highlight w:val="none"/>
                <w:lang w:val="en-US" w:eastAsia="zh-CN"/>
              </w:rPr>
              <w:t>设置化粪池</w:t>
            </w:r>
            <w:r>
              <w:rPr>
                <w:rFonts w:hint="default" w:ascii="Times New Roman" w:hAnsi="Times New Roman" w:eastAsia="宋体" w:cs="Times New Roman"/>
                <w:color w:val="000000"/>
                <w:spacing w:val="0"/>
                <w:w w:val="100"/>
                <w:position w:val="0"/>
                <w:sz w:val="24"/>
                <w:szCs w:val="24"/>
                <w:highlight w:val="none"/>
              </w:rPr>
              <w:t>，</w:t>
            </w:r>
            <w:r>
              <w:rPr>
                <w:color w:val="auto"/>
                <w:sz w:val="24"/>
                <w:highlight w:val="none"/>
              </w:rPr>
              <w:t>化粪池要求采取防渗措施</w:t>
            </w:r>
            <w:r>
              <w:rPr>
                <w:rFonts w:hint="eastAsia"/>
                <w:color w:val="auto"/>
                <w:sz w:val="24"/>
                <w:highlight w:val="none"/>
                <w:lang w:eastAsia="zh-CN"/>
              </w:rPr>
              <w:t>，</w:t>
            </w:r>
            <w:r>
              <w:rPr>
                <w:rFonts w:hint="default" w:ascii="Times New Roman" w:hAnsi="Times New Roman" w:eastAsia="宋体" w:cs="Times New Roman"/>
                <w:color w:val="000000"/>
                <w:spacing w:val="0"/>
                <w:w w:val="100"/>
                <w:position w:val="0"/>
                <w:sz w:val="24"/>
                <w:szCs w:val="24"/>
                <w:highlight w:val="none"/>
                <w:lang w:val="en-US" w:eastAsia="zh-CN"/>
              </w:rPr>
              <w:t>施工人员</w:t>
            </w:r>
            <w:r>
              <w:rPr>
                <w:rFonts w:hint="eastAsia" w:ascii="Times New Roman" w:hAnsi="Times New Roman" w:eastAsia="宋体" w:cs="Times New Roman"/>
                <w:color w:val="000000"/>
                <w:spacing w:val="0"/>
                <w:w w:val="100"/>
                <w:position w:val="0"/>
                <w:sz w:val="24"/>
                <w:szCs w:val="24"/>
                <w:highlight w:val="none"/>
                <w:lang w:val="en-US" w:eastAsia="zh-CN"/>
              </w:rPr>
              <w:t>日常</w:t>
            </w:r>
            <w:r>
              <w:rPr>
                <w:color w:val="000000"/>
                <w:sz w:val="24"/>
                <w:highlight w:val="none"/>
              </w:rPr>
              <w:t>产生的生活</w:t>
            </w:r>
            <w:r>
              <w:rPr>
                <w:rFonts w:hint="eastAsia"/>
                <w:color w:val="000000"/>
                <w:sz w:val="24"/>
                <w:highlight w:val="none"/>
                <w:lang w:val="en-US" w:eastAsia="zh-CN"/>
              </w:rPr>
              <w:t>污水利用施工营地拟建化粪池处理</w:t>
            </w:r>
            <w:r>
              <w:rPr>
                <w:color w:val="auto"/>
                <w:sz w:val="24"/>
                <w:highlight w:val="none"/>
              </w:rPr>
              <w:t>，</w:t>
            </w:r>
            <w:r>
              <w:rPr>
                <w:rFonts w:hint="eastAsia"/>
                <w:color w:val="auto"/>
                <w:sz w:val="24"/>
                <w:highlight w:val="none"/>
                <w:lang w:val="en-US" w:eastAsia="zh-CN"/>
              </w:rPr>
              <w:t>并</w:t>
            </w:r>
            <w:r>
              <w:rPr>
                <w:color w:val="auto"/>
                <w:sz w:val="24"/>
                <w:highlight w:val="none"/>
              </w:rPr>
              <w:t>定期</w:t>
            </w:r>
            <w:r>
              <w:rPr>
                <w:rFonts w:hint="eastAsia"/>
                <w:color w:val="auto"/>
                <w:sz w:val="24"/>
                <w:highlight w:val="none"/>
              </w:rPr>
              <w:t>委托环卫部门进行</w:t>
            </w:r>
            <w:r>
              <w:rPr>
                <w:color w:val="auto"/>
                <w:sz w:val="24"/>
                <w:highlight w:val="none"/>
              </w:rPr>
              <w:t>清掏</w:t>
            </w:r>
            <w:r>
              <w:rPr>
                <w:rFonts w:hint="eastAsia"/>
                <w:color w:val="000000"/>
                <w:sz w:val="24"/>
                <w:highlight w:val="none"/>
                <w:lang w:val="en-US" w:eastAsia="zh-CN"/>
              </w:rPr>
              <w:t>。</w:t>
            </w:r>
            <w:r>
              <w:rPr>
                <w:rFonts w:hint="eastAsia" w:ascii="Times New Roman" w:hAnsi="Times New Roman" w:eastAsia="宋体" w:cs="Times New Roman"/>
                <w:color w:val="auto"/>
                <w:sz w:val="24"/>
                <w:highlight w:val="none"/>
                <w:lang w:val="en-US" w:eastAsia="zh-CN"/>
              </w:rPr>
              <w:t>输电线路</w:t>
            </w:r>
            <w:r>
              <w:rPr>
                <w:rFonts w:hint="default" w:ascii="Times New Roman" w:hAnsi="Times New Roman" w:eastAsia="宋体" w:cs="Times New Roman"/>
                <w:color w:val="auto"/>
                <w:sz w:val="24"/>
                <w:highlight w:val="none"/>
                <w:lang w:val="en-US" w:eastAsia="zh-CN"/>
              </w:rPr>
              <w:t>施工人员生活办公场所租用项目附近的民房，</w:t>
            </w:r>
            <w:r>
              <w:rPr>
                <w:rFonts w:hint="default" w:ascii="Times New Roman" w:hAnsi="Times New Roman" w:eastAsia="宋体" w:cs="Times New Roman"/>
                <w:color w:val="auto"/>
                <w:sz w:val="24"/>
                <w:highlight w:val="none"/>
                <w:lang w:eastAsia="zh-CN"/>
              </w:rPr>
              <w:t>产生的生活污水纳入</w:t>
            </w:r>
            <w:r>
              <w:rPr>
                <w:rFonts w:hint="default" w:ascii="Times New Roman" w:hAnsi="Times New Roman" w:eastAsia="宋体" w:cs="Times New Roman"/>
                <w:color w:val="auto"/>
                <w:sz w:val="24"/>
                <w:highlight w:val="none"/>
                <w:lang w:val="en-US" w:eastAsia="zh-CN"/>
              </w:rPr>
              <w:t>居住地</w:t>
            </w:r>
            <w:r>
              <w:rPr>
                <w:rFonts w:hint="default" w:ascii="Times New Roman" w:hAnsi="Times New Roman" w:eastAsia="宋体" w:cs="Times New Roman"/>
                <w:color w:val="auto"/>
                <w:sz w:val="24"/>
                <w:highlight w:val="none"/>
                <w:lang w:eastAsia="zh-CN"/>
              </w:rPr>
              <w:t>生活污水处理设施</w:t>
            </w:r>
            <w:r>
              <w:rPr>
                <w:rFonts w:hint="eastAsia" w:ascii="Times New Roman" w:hAnsi="Times New Roman" w:eastAsia="宋体" w:cs="Times New Roman"/>
                <w:color w:val="auto"/>
                <w:sz w:val="24"/>
                <w:highlight w:val="none"/>
                <w:lang w:eastAsia="zh-CN"/>
              </w:rPr>
              <w:t>。</w:t>
            </w:r>
          </w:p>
          <w:p w14:paraId="0B206535">
            <w:pPr>
              <w:pStyle w:val="8"/>
              <w:spacing w:after="0" w:line="360" w:lineRule="auto"/>
              <w:ind w:left="0" w:leftChars="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项目在经过一档跨越</w:t>
            </w:r>
            <w:r>
              <w:rPr>
                <w:rFonts w:hint="eastAsia" w:eastAsia="宋体" w:cs="Times New Roman"/>
                <w:color w:val="auto"/>
                <w:spacing w:val="0"/>
                <w:w w:val="100"/>
                <w:position w:val="0"/>
                <w:sz w:val="24"/>
                <w:szCs w:val="24"/>
                <w:highlight w:val="none"/>
                <w:lang w:val="en-US" w:eastAsia="zh-CN"/>
              </w:rPr>
              <w:t>庙沟、筛子河及其他冲沟等水体时</w:t>
            </w:r>
            <w:r>
              <w:rPr>
                <w:rFonts w:hint="default" w:ascii="Times New Roman" w:hAnsi="Times New Roman" w:eastAsia="宋体" w:cs="Times New Roman"/>
                <w:color w:val="auto"/>
                <w:sz w:val="24"/>
                <w:highlight w:val="none"/>
                <w:lang w:val="en-US" w:eastAsia="zh-CN"/>
              </w:rPr>
              <w:t>，不在水中立塔，不涉及水中施工。施工时设置施工</w:t>
            </w:r>
            <w:r>
              <w:rPr>
                <w:rFonts w:hint="eastAsia" w:ascii="Times New Roman" w:hAnsi="Times New Roman" w:eastAsia="宋体" w:cs="Times New Roman"/>
                <w:color w:val="auto"/>
                <w:sz w:val="24"/>
                <w:highlight w:val="none"/>
                <w:lang w:val="en-US" w:eastAsia="zh-CN"/>
              </w:rPr>
              <w:t>围栏</w:t>
            </w:r>
            <w:r>
              <w:rPr>
                <w:rFonts w:hint="default" w:ascii="Times New Roman" w:hAnsi="Times New Roman" w:eastAsia="宋体" w:cs="Times New Roman"/>
                <w:color w:val="auto"/>
                <w:sz w:val="24"/>
                <w:highlight w:val="none"/>
                <w:lang w:val="en-US" w:eastAsia="zh-CN"/>
              </w:rPr>
              <w:t>，限定施工作业范围，临时物料堆放场</w:t>
            </w:r>
            <w:r>
              <w:rPr>
                <w:rFonts w:hint="eastAsia" w:cs="Times New Roman"/>
                <w:color w:val="auto"/>
                <w:sz w:val="24"/>
                <w:highlight w:val="none"/>
                <w:lang w:val="en-US" w:eastAsia="zh-CN"/>
              </w:rPr>
              <w:t>等</w:t>
            </w:r>
            <w:r>
              <w:rPr>
                <w:rFonts w:hint="default" w:ascii="Times New Roman" w:hAnsi="Times New Roman" w:eastAsia="宋体" w:cs="Times New Roman"/>
                <w:color w:val="auto"/>
                <w:sz w:val="24"/>
                <w:highlight w:val="none"/>
                <w:lang w:val="en-US" w:eastAsia="zh-CN"/>
              </w:rPr>
              <w:t>均远离水体设置；加强施工人员管理，禁止向水体中倾倒施工废水、固体废弃物。</w:t>
            </w:r>
            <w:r>
              <w:rPr>
                <w:rFonts w:hint="default" w:ascii="Times New Roman" w:hAnsi="Times New Roman" w:eastAsia="宋体" w:cs="Times New Roman"/>
                <w:color w:val="auto"/>
                <w:sz w:val="24"/>
                <w:highlight w:val="none"/>
                <w:lang w:eastAsia="zh-CN"/>
              </w:rPr>
              <w:t>施工结束后，及时对施工作业区域进行清理，</w:t>
            </w:r>
            <w:r>
              <w:rPr>
                <w:rFonts w:hint="default" w:ascii="Times New Roman" w:hAnsi="Times New Roman" w:eastAsia="宋体" w:cs="Times New Roman"/>
                <w:color w:val="auto"/>
                <w:sz w:val="24"/>
                <w:highlight w:val="none"/>
                <w:lang w:val="en-US" w:eastAsia="zh-CN"/>
              </w:rPr>
              <w:t>在落实以上措施后，对周围水环境影响较小。</w:t>
            </w:r>
          </w:p>
          <w:p w14:paraId="7BA2A957">
            <w:pPr>
              <w:pStyle w:val="8"/>
              <w:spacing w:after="0" w:line="360" w:lineRule="auto"/>
              <w:ind w:left="0" w:leftChars="0" w:firstLine="480" w:firstLineChars="200"/>
              <w:rPr>
                <w:color w:val="auto"/>
                <w:highlight w:val="none"/>
              </w:rPr>
            </w:pPr>
            <w:r>
              <w:rPr>
                <w:rFonts w:hint="default" w:ascii="Times New Roman" w:hAnsi="Times New Roman" w:eastAsia="宋体" w:cs="Times New Roman"/>
                <w:color w:val="auto"/>
                <w:sz w:val="24"/>
                <w:highlight w:val="none"/>
                <w:lang w:eastAsia="zh-CN"/>
              </w:rPr>
              <w:t>综上所述，本项目施工期产生的废（污）水均得到了妥善的处理处置，不外排，对周围环境产生的影响较小。</w:t>
            </w:r>
          </w:p>
        </w:tc>
      </w:tr>
      <w:tr w14:paraId="19642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56" w:type="dxa"/>
            <w:tcMar>
              <w:left w:w="28" w:type="dxa"/>
              <w:right w:w="28" w:type="dxa"/>
            </w:tcMar>
            <w:vAlign w:val="center"/>
          </w:tcPr>
          <w:p w14:paraId="1338F884">
            <w:pPr>
              <w:pStyle w:val="26"/>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bCs/>
                <w:color w:val="auto"/>
                <w:spacing w:val="10"/>
                <w:kern w:val="2"/>
                <w:highlight w:val="none"/>
              </w:rPr>
              <w:t>运营期生态环境影响分析</w:t>
            </w:r>
          </w:p>
        </w:tc>
        <w:tc>
          <w:tcPr>
            <w:tcW w:w="8728" w:type="dxa"/>
          </w:tcPr>
          <w:p w14:paraId="3CBB334C">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1、生态</w:t>
            </w:r>
            <w:r>
              <w:rPr>
                <w:rFonts w:hint="default" w:ascii="Times New Roman" w:hAnsi="Times New Roman" w:cs="Times New Roman"/>
                <w:b/>
                <w:bCs/>
                <w:color w:val="auto"/>
                <w:sz w:val="24"/>
                <w:highlight w:val="none"/>
              </w:rPr>
              <w:t>影响分析</w:t>
            </w:r>
          </w:p>
          <w:p w14:paraId="3CB67EBC">
            <w:pPr>
              <w:adjustRightInd w:val="0"/>
              <w:snapToGrid w:val="0"/>
              <w:spacing w:line="360" w:lineRule="auto"/>
              <w:ind w:firstLine="480" w:firstLineChars="200"/>
              <w:rPr>
                <w:rFonts w:hint="default" w:ascii="Times New Roman" w:hAnsi="Times New Roman" w:eastAsia="宋体" w:cs="Times New Roman"/>
                <w:color w:val="auto"/>
                <w:spacing w:val="0"/>
                <w:w w:val="100"/>
                <w:position w:val="0"/>
                <w:sz w:val="24"/>
                <w:szCs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由于在施工结束后，项目临时占地均会进行植被恢复，故在施工期损失生物物种量会有所补偿。输电线路主要为塔基占地，运行期不会阻隔动物正常活动。</w:t>
            </w:r>
            <w:r>
              <w:rPr>
                <w:rFonts w:hint="default" w:ascii="Times New Roman" w:hAnsi="Times New Roman" w:eastAsia="宋体" w:cs="Times New Roman"/>
                <w:color w:val="auto"/>
                <w:spacing w:val="0"/>
                <w:w w:val="100"/>
                <w:position w:val="0"/>
                <w:sz w:val="24"/>
                <w:highlight w:val="none"/>
              </w:rPr>
              <w:t>线路巡检人员，沿固定巡检道路行驶，定期对沿线生态保护和防护措施进行检查，跟踪生态保护与恢复效果</w:t>
            </w:r>
            <w:r>
              <w:rPr>
                <w:rFonts w:hint="default" w:ascii="Times New Roman" w:hAnsi="Times New Roman" w:eastAsia="宋体" w:cs="Times New Roman"/>
                <w:color w:val="auto"/>
                <w:spacing w:val="0"/>
                <w:w w:val="100"/>
                <w:position w:val="0"/>
                <w:sz w:val="24"/>
                <w:highlight w:val="none"/>
                <w:lang w:eastAsia="zh-CN"/>
              </w:rPr>
              <w:t>。</w:t>
            </w:r>
            <w:r>
              <w:rPr>
                <w:rFonts w:hint="default" w:ascii="Times New Roman" w:hAnsi="Times New Roman" w:eastAsia="宋体" w:cs="Times New Roman"/>
                <w:color w:val="auto"/>
                <w:spacing w:val="0"/>
                <w:w w:val="100"/>
                <w:position w:val="0"/>
                <w:sz w:val="24"/>
                <w:szCs w:val="24"/>
                <w:highlight w:val="none"/>
                <w:lang w:val="en-US" w:eastAsia="zh-CN"/>
              </w:rPr>
              <w:t>因此，运行期随着临时占地的逐步恢复，运行期对生态环境的影响很小。</w:t>
            </w:r>
          </w:p>
          <w:p w14:paraId="02C42F0A">
            <w:pPr>
              <w:adjustRightInd w:val="0"/>
              <w:snapToGrid w:val="0"/>
              <w:spacing w:line="360" w:lineRule="auto"/>
              <w:ind w:firstLine="482" w:firstLineChars="200"/>
              <w:rPr>
                <w:b/>
                <w:bCs/>
                <w:color w:val="auto"/>
                <w:sz w:val="24"/>
                <w:highlight w:val="none"/>
              </w:rPr>
            </w:pPr>
            <w:r>
              <w:rPr>
                <w:rFonts w:hint="default" w:ascii="Times New Roman" w:hAnsi="Times New Roman" w:cs="Times New Roman"/>
                <w:b/>
                <w:bCs/>
                <w:color w:val="auto"/>
                <w:sz w:val="24"/>
                <w:szCs w:val="24"/>
                <w:highlight w:val="none"/>
                <w:lang w:val="en-US" w:eastAsia="zh-CN"/>
              </w:rPr>
              <w:t>对</w:t>
            </w:r>
            <w:r>
              <w:rPr>
                <w:rFonts w:hint="default" w:ascii="Times New Roman" w:hAnsi="Times New Roman" w:eastAsia="宋体" w:cs="Times New Roman"/>
                <w:b/>
                <w:bCs/>
                <w:color w:val="auto"/>
                <w:spacing w:val="0"/>
                <w:w w:val="100"/>
                <w:position w:val="0"/>
                <w:sz w:val="24"/>
                <w:szCs w:val="24"/>
                <w:highlight w:val="none"/>
                <w:lang w:val="en-US" w:eastAsia="zh-CN"/>
              </w:rPr>
              <w:t>生态保护红线影响分析</w:t>
            </w:r>
            <w:r>
              <w:rPr>
                <w:rFonts w:hint="eastAsia" w:ascii="Times New Roman" w:hAnsi="Times New Roman" w:eastAsia="宋体" w:cs="Times New Roman"/>
                <w:b/>
                <w:bCs/>
                <w:color w:val="auto"/>
                <w:spacing w:val="0"/>
                <w:w w:val="100"/>
                <w:position w:val="0"/>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本项目输电线路运行期无废气、废水产生，且</w:t>
            </w:r>
            <w:r>
              <w:rPr>
                <w:rFonts w:hint="eastAsia" w:cs="Times New Roman"/>
                <w:b w:val="0"/>
                <w:bCs w:val="0"/>
                <w:color w:val="auto"/>
                <w:sz w:val="24"/>
                <w:szCs w:val="24"/>
                <w:highlight w:val="none"/>
                <w:lang w:val="en-US" w:eastAsia="zh-CN"/>
              </w:rPr>
              <w:t>生态保护红线内不新增永久、临时占地，</w:t>
            </w:r>
            <w:r>
              <w:rPr>
                <w:rFonts w:hint="default" w:ascii="Times New Roman" w:hAnsi="Times New Roman" w:cs="Times New Roman"/>
                <w:b w:val="0"/>
                <w:bCs w:val="0"/>
                <w:color w:val="auto"/>
                <w:sz w:val="24"/>
                <w:szCs w:val="24"/>
                <w:highlight w:val="none"/>
                <w:lang w:val="en-US" w:eastAsia="zh-CN"/>
              </w:rPr>
              <w:t>项目运行期不会</w:t>
            </w:r>
            <w:r>
              <w:rPr>
                <w:rFonts w:hint="eastAsia" w:cs="Times New Roman"/>
                <w:b w:val="0"/>
                <w:bCs w:val="0"/>
                <w:color w:val="auto"/>
                <w:sz w:val="24"/>
                <w:szCs w:val="24"/>
                <w:highlight w:val="none"/>
                <w:lang w:val="en-US" w:eastAsia="zh-CN"/>
              </w:rPr>
              <w:t>对</w:t>
            </w:r>
            <w:r>
              <w:rPr>
                <w:rFonts w:hint="default" w:ascii="Times New Roman" w:hAnsi="Times New Roman" w:eastAsia="宋体" w:cs="Times New Roman"/>
                <w:color w:val="auto"/>
                <w:spacing w:val="0"/>
                <w:w w:val="100"/>
                <w:position w:val="0"/>
                <w:sz w:val="24"/>
                <w:szCs w:val="24"/>
                <w:highlight w:val="none"/>
                <w:lang w:val="en-US" w:eastAsia="zh-CN"/>
              </w:rPr>
              <w:t>生态保护红线产生影响</w:t>
            </w:r>
            <w:r>
              <w:rPr>
                <w:rFonts w:hint="default" w:ascii="Times New Roman" w:hAnsi="Times New Roman" w:cs="Times New Roman"/>
                <w:b w:val="0"/>
                <w:bCs w:val="0"/>
                <w:color w:val="auto"/>
                <w:sz w:val="24"/>
                <w:szCs w:val="24"/>
                <w:highlight w:val="none"/>
                <w:lang w:val="en-US" w:eastAsia="zh-CN"/>
              </w:rPr>
              <w:t>。</w:t>
            </w:r>
          </w:p>
          <w:p w14:paraId="0BA29B00">
            <w:pPr>
              <w:spacing w:line="360" w:lineRule="auto"/>
              <w:ind w:firstLine="482" w:firstLineChars="200"/>
              <w:rPr>
                <w:b/>
                <w:bCs/>
                <w:color w:val="auto"/>
                <w:sz w:val="24"/>
                <w:highlight w:val="none"/>
              </w:rPr>
            </w:pPr>
            <w:r>
              <w:rPr>
                <w:rFonts w:hint="eastAsia"/>
                <w:b/>
                <w:bCs/>
                <w:color w:val="auto"/>
                <w:sz w:val="24"/>
                <w:highlight w:val="none"/>
                <w:lang w:val="en-US" w:eastAsia="zh-CN"/>
              </w:rPr>
              <w:t>2</w:t>
            </w:r>
            <w:r>
              <w:rPr>
                <w:b/>
                <w:bCs/>
                <w:color w:val="auto"/>
                <w:sz w:val="24"/>
                <w:highlight w:val="none"/>
              </w:rPr>
              <w:t>、电磁环境影响分析</w:t>
            </w:r>
          </w:p>
          <w:p w14:paraId="78210791">
            <w:pPr>
              <w:spacing w:line="360" w:lineRule="auto"/>
              <w:ind w:firstLine="480" w:firstLineChars="200"/>
              <w:rPr>
                <w:color w:val="auto"/>
                <w:sz w:val="24"/>
                <w:highlight w:val="none"/>
              </w:rPr>
            </w:pPr>
            <w:r>
              <w:rPr>
                <w:color w:val="auto"/>
                <w:sz w:val="24"/>
                <w:highlight w:val="none"/>
              </w:rPr>
              <w:t>根据《环境影响评价技术导则 输变电》（HJ24-2020），</w:t>
            </w:r>
            <w:r>
              <w:rPr>
                <w:rFonts w:hint="default" w:ascii="Times New Roman" w:hAnsi="Times New Roman" w:cs="Times New Roman"/>
                <w:color w:val="auto"/>
                <w:sz w:val="24"/>
                <w:highlight w:val="none"/>
              </w:rPr>
              <w:t>本项目新建变电站的电磁环境影响预测采用类比监测的方式；新建架空线路的电磁环境影响预测采用模式预测的方式。</w:t>
            </w:r>
          </w:p>
          <w:p w14:paraId="262C4B33">
            <w:pPr>
              <w:spacing w:line="360" w:lineRule="auto"/>
              <w:ind w:firstLine="482" w:firstLineChars="200"/>
              <w:rPr>
                <w:b/>
                <w:bCs/>
                <w:color w:val="auto"/>
                <w:sz w:val="24"/>
                <w:highlight w:val="none"/>
              </w:rPr>
            </w:pPr>
            <w:r>
              <w:rPr>
                <w:b/>
                <w:bCs/>
                <w:color w:val="auto"/>
                <w:sz w:val="24"/>
                <w:highlight w:val="none"/>
              </w:rPr>
              <w:t>（1）变电站工程</w:t>
            </w:r>
          </w:p>
          <w:p w14:paraId="0C4DB162">
            <w:pPr>
              <w:spacing w:line="360" w:lineRule="auto"/>
              <w:ind w:firstLine="480" w:firstLineChars="200"/>
              <w:rPr>
                <w:color w:val="auto"/>
                <w:sz w:val="24"/>
                <w:highlight w:val="none"/>
              </w:rPr>
            </w:pPr>
            <w:r>
              <w:rPr>
                <w:color w:val="auto"/>
                <w:sz w:val="24"/>
                <w:highlight w:val="none"/>
              </w:rPr>
              <w:t>根据类比监测结果可知，本项目变电站建成</w:t>
            </w:r>
            <w:r>
              <w:rPr>
                <w:rFonts w:hint="eastAsia"/>
                <w:color w:val="auto"/>
                <w:sz w:val="24"/>
                <w:highlight w:val="none"/>
                <w:lang w:val="en-US" w:eastAsia="zh-CN"/>
              </w:rPr>
              <w:t>正常</w:t>
            </w:r>
            <w:r>
              <w:rPr>
                <w:color w:val="auto"/>
                <w:sz w:val="24"/>
                <w:highlight w:val="none"/>
              </w:rPr>
              <w:t>运行产生的工频电场强度、工频磁感应强度均小于《电磁环境控制限值》（GB8702-2014）中规定的4000V/m</w:t>
            </w:r>
            <w:r>
              <w:rPr>
                <w:rFonts w:hint="eastAsia"/>
                <w:color w:val="auto"/>
                <w:sz w:val="24"/>
                <w:highlight w:val="none"/>
                <w:lang w:eastAsia="zh-CN"/>
              </w:rPr>
              <w:t>、</w:t>
            </w:r>
            <w:r>
              <w:rPr>
                <w:color w:val="auto"/>
                <w:sz w:val="24"/>
                <w:highlight w:val="none"/>
              </w:rPr>
              <w:t>100μT</w:t>
            </w:r>
            <w:r>
              <w:rPr>
                <w:rFonts w:hint="eastAsia" w:cs="Times New Roman"/>
                <w:color w:val="auto"/>
                <w:kern w:val="0"/>
                <w:sz w:val="24"/>
                <w:highlight w:val="none"/>
                <w:lang w:val="en-US" w:eastAsia="zh-CN"/>
              </w:rPr>
              <w:t>公众曝露控制限值</w:t>
            </w:r>
            <w:r>
              <w:rPr>
                <w:color w:val="auto"/>
                <w:sz w:val="24"/>
                <w:highlight w:val="none"/>
              </w:rPr>
              <w:t>。</w:t>
            </w:r>
          </w:p>
          <w:p w14:paraId="3C6B3DFE">
            <w:pPr>
              <w:spacing w:line="360" w:lineRule="auto"/>
              <w:ind w:firstLine="482" w:firstLineChars="200"/>
              <w:rPr>
                <w:b/>
                <w:bCs/>
                <w:color w:val="auto"/>
                <w:sz w:val="24"/>
                <w:highlight w:val="none"/>
              </w:rPr>
            </w:pPr>
            <w:r>
              <w:rPr>
                <w:b/>
                <w:bCs/>
                <w:color w:val="auto"/>
                <w:sz w:val="24"/>
                <w:highlight w:val="none"/>
              </w:rPr>
              <w:t>（</w:t>
            </w:r>
            <w:r>
              <w:rPr>
                <w:rFonts w:hint="eastAsia"/>
                <w:b/>
                <w:bCs/>
                <w:color w:val="auto"/>
                <w:sz w:val="24"/>
                <w:highlight w:val="none"/>
              </w:rPr>
              <w:t>2</w:t>
            </w:r>
            <w:r>
              <w:rPr>
                <w:b/>
                <w:bCs/>
                <w:color w:val="auto"/>
                <w:sz w:val="24"/>
                <w:highlight w:val="none"/>
              </w:rPr>
              <w:t>）输电线路工程</w:t>
            </w:r>
          </w:p>
          <w:p w14:paraId="36B6E974">
            <w:pPr>
              <w:pStyle w:val="8"/>
              <w:spacing w:after="0" w:line="360" w:lineRule="auto"/>
              <w:ind w:left="0" w:leftChars="0" w:firstLine="480" w:firstLineChars="200"/>
              <w:rPr>
                <w:rFonts w:hint="default" w:ascii="Times New Roman" w:hAnsi="Times New Roman" w:eastAsia="宋体" w:cs="Times New Roman"/>
                <w:bCs/>
                <w:color w:val="auto"/>
                <w:spacing w:val="0"/>
                <w:w w:val="100"/>
                <w:position w:val="0"/>
                <w:sz w:val="24"/>
                <w:highlight w:val="none"/>
              </w:rPr>
            </w:pPr>
            <w:r>
              <w:rPr>
                <w:rFonts w:hint="eastAsia"/>
                <w:color w:val="auto"/>
                <w:sz w:val="24"/>
                <w:highlight w:val="none"/>
              </w:rPr>
              <w:t>根据模式预测结果</w:t>
            </w:r>
            <w:r>
              <w:rPr>
                <w:rFonts w:hint="eastAsia"/>
                <w:color w:val="auto"/>
                <w:sz w:val="24"/>
                <w:highlight w:val="none"/>
                <w:lang w:val="en-US" w:eastAsia="zh-CN"/>
              </w:rPr>
              <w:t>可知</w:t>
            </w:r>
            <w:r>
              <w:rPr>
                <w:rFonts w:hint="eastAsia"/>
                <w:color w:val="auto"/>
                <w:sz w:val="24"/>
                <w:highlight w:val="none"/>
              </w:rPr>
              <w:t>，</w:t>
            </w:r>
            <w:r>
              <w:rPr>
                <w:rFonts w:hint="eastAsia"/>
                <w:bCs/>
                <w:color w:val="auto"/>
                <w:sz w:val="24"/>
                <w:highlight w:val="none"/>
                <w:lang w:val="en-US" w:eastAsia="zh-CN"/>
              </w:rPr>
              <w:t>本项目输电线路单回路塔架设段、双回路塔单侧挂线段，在导线对地高度不低于10m时，距地面高度1.5m处，其产生的工频电场强度、工频磁感应强度</w:t>
            </w:r>
            <w:r>
              <w:rPr>
                <w:bCs/>
                <w:color w:val="auto"/>
                <w:sz w:val="24"/>
                <w:highlight w:val="none"/>
              </w:rPr>
              <w:t>均</w:t>
            </w:r>
            <w:r>
              <w:rPr>
                <w:color w:val="auto"/>
                <w:sz w:val="24"/>
                <w:highlight w:val="none"/>
              </w:rPr>
              <w:t>小于《电磁环境控制限值》（GB8702-2014）规定的10kV/m（线路经过耕地、园地、牧草地、畜禽饲养地、养殖水面、道路等场所）</w:t>
            </w:r>
            <w:r>
              <w:rPr>
                <w:rFonts w:hint="eastAsia"/>
                <w:bCs/>
                <w:color w:val="auto"/>
                <w:sz w:val="24"/>
                <w:highlight w:val="none"/>
                <w:lang w:eastAsia="zh-CN"/>
              </w:rPr>
              <w:t>、</w:t>
            </w:r>
            <w:r>
              <w:rPr>
                <w:bCs/>
                <w:color w:val="auto"/>
                <w:sz w:val="24"/>
                <w:highlight w:val="none"/>
              </w:rPr>
              <w:t>100μT公众曝露控制限值。</w:t>
            </w:r>
            <w:r>
              <w:rPr>
                <w:rFonts w:hint="default" w:ascii="Times New Roman" w:hAnsi="Times New Roman" w:eastAsia="宋体" w:cs="Times New Roman"/>
                <w:color w:val="auto"/>
                <w:spacing w:val="0"/>
                <w:w w:val="100"/>
                <w:position w:val="0"/>
                <w:sz w:val="24"/>
                <w:highlight w:val="none"/>
                <w:lang w:val="en-US" w:eastAsia="zh-CN"/>
              </w:rPr>
              <w:t>本项目输电线路</w:t>
            </w:r>
            <w:r>
              <w:rPr>
                <w:rFonts w:hint="default" w:ascii="Times New Roman" w:hAnsi="Times New Roman" w:eastAsia="宋体" w:cs="Times New Roman"/>
                <w:bCs/>
                <w:color w:val="auto"/>
                <w:spacing w:val="0"/>
                <w:w w:val="100"/>
                <w:position w:val="0"/>
                <w:sz w:val="24"/>
                <w:highlight w:val="none"/>
                <w:lang w:eastAsia="zh-CN"/>
              </w:rPr>
              <w:t>导线</w:t>
            </w:r>
            <w:r>
              <w:rPr>
                <w:rFonts w:hint="default" w:ascii="Times New Roman" w:hAnsi="Times New Roman" w:eastAsia="宋体" w:cs="Times New Roman"/>
                <w:bCs/>
                <w:color w:val="auto"/>
                <w:spacing w:val="0"/>
                <w:w w:val="100"/>
                <w:position w:val="0"/>
                <w:sz w:val="24"/>
                <w:highlight w:val="none"/>
              </w:rPr>
              <w:t>对地高度</w:t>
            </w:r>
            <w:r>
              <w:rPr>
                <w:rFonts w:hint="eastAsia" w:ascii="Times New Roman" w:hAnsi="Times New Roman" w:eastAsia="宋体" w:cs="Times New Roman"/>
                <w:bCs/>
                <w:color w:val="auto"/>
                <w:spacing w:val="0"/>
                <w:w w:val="100"/>
                <w:position w:val="0"/>
                <w:sz w:val="24"/>
                <w:highlight w:val="none"/>
                <w:lang w:val="en-US" w:eastAsia="zh-CN"/>
              </w:rPr>
              <w:t>1</w:t>
            </w:r>
            <w:r>
              <w:rPr>
                <w:rFonts w:hint="eastAsia" w:cs="Times New Roman"/>
                <w:bCs/>
                <w:color w:val="auto"/>
                <w:spacing w:val="0"/>
                <w:w w:val="100"/>
                <w:position w:val="0"/>
                <w:sz w:val="24"/>
                <w:highlight w:val="none"/>
                <w:lang w:val="en-US" w:eastAsia="zh-CN"/>
              </w:rPr>
              <w:t>0</w:t>
            </w:r>
            <w:r>
              <w:rPr>
                <w:rFonts w:hint="default" w:ascii="Times New Roman" w:hAnsi="Times New Roman" w:eastAsia="宋体" w:cs="Times New Roman"/>
                <w:bCs/>
                <w:color w:val="auto"/>
                <w:spacing w:val="0"/>
                <w:w w:val="100"/>
                <w:position w:val="0"/>
                <w:sz w:val="24"/>
                <w:highlight w:val="none"/>
                <w:lang w:val="en-US" w:eastAsia="zh-CN"/>
              </w:rPr>
              <w:t>m</w:t>
            </w:r>
            <w:r>
              <w:rPr>
                <w:rFonts w:hint="default" w:ascii="Times New Roman" w:hAnsi="Times New Roman" w:eastAsia="宋体" w:cs="Times New Roman"/>
                <w:bCs/>
                <w:color w:val="auto"/>
                <w:spacing w:val="0"/>
                <w:w w:val="100"/>
                <w:position w:val="0"/>
                <w:sz w:val="24"/>
                <w:highlight w:val="none"/>
                <w:lang w:eastAsia="zh-CN"/>
              </w:rPr>
              <w:t>，</w:t>
            </w:r>
            <w:r>
              <w:rPr>
                <w:rFonts w:hint="eastAsia" w:cs="Times New Roman"/>
                <w:bCs/>
                <w:color w:val="auto"/>
                <w:spacing w:val="0"/>
                <w:w w:val="100"/>
                <w:position w:val="0"/>
                <w:sz w:val="24"/>
                <w:highlight w:val="none"/>
                <w:lang w:val="en-US" w:eastAsia="zh-CN"/>
              </w:rPr>
              <w:t>电磁</w:t>
            </w:r>
            <w:r>
              <w:rPr>
                <w:rFonts w:hint="default" w:ascii="Times New Roman" w:hAnsi="Times New Roman" w:eastAsia="宋体" w:cs="Times New Roman"/>
                <w:bCs/>
                <w:color w:val="auto"/>
                <w:spacing w:val="0"/>
                <w:w w:val="100"/>
                <w:position w:val="0"/>
                <w:sz w:val="24"/>
                <w:highlight w:val="none"/>
                <w:lang w:eastAsia="zh-CN"/>
              </w:rPr>
              <w:t>环境</w:t>
            </w:r>
            <w:r>
              <w:rPr>
                <w:rFonts w:hint="eastAsia" w:cs="Times New Roman"/>
                <w:bCs/>
                <w:color w:val="auto"/>
                <w:spacing w:val="0"/>
                <w:w w:val="100"/>
                <w:position w:val="0"/>
                <w:sz w:val="24"/>
                <w:highlight w:val="none"/>
                <w:lang w:val="en-US" w:eastAsia="zh-CN"/>
              </w:rPr>
              <w:t>敏感</w:t>
            </w:r>
            <w:r>
              <w:rPr>
                <w:rFonts w:hint="default" w:ascii="Times New Roman" w:hAnsi="Times New Roman" w:eastAsia="宋体" w:cs="Times New Roman"/>
                <w:bCs/>
                <w:color w:val="auto"/>
                <w:spacing w:val="0"/>
                <w:w w:val="100"/>
                <w:position w:val="0"/>
                <w:sz w:val="24"/>
                <w:highlight w:val="none"/>
                <w:lang w:eastAsia="zh-CN"/>
              </w:rPr>
              <w:t>目标</w:t>
            </w:r>
            <w:r>
              <w:rPr>
                <w:rFonts w:hint="default" w:ascii="Times New Roman" w:hAnsi="Times New Roman" w:eastAsia="宋体" w:cs="Times New Roman"/>
                <w:bCs/>
                <w:color w:val="auto"/>
                <w:spacing w:val="0"/>
                <w:w w:val="100"/>
                <w:position w:val="0"/>
                <w:sz w:val="24"/>
                <w:highlight w:val="none"/>
              </w:rPr>
              <w:t>处的</w:t>
            </w:r>
            <w:r>
              <w:rPr>
                <w:rFonts w:hint="eastAsia" w:cs="Times New Roman"/>
                <w:bCs/>
                <w:color w:val="auto"/>
                <w:spacing w:val="0"/>
                <w:w w:val="100"/>
                <w:position w:val="0"/>
                <w:sz w:val="24"/>
                <w:highlight w:val="none"/>
                <w:lang w:val="en-US" w:eastAsia="zh-CN"/>
              </w:rPr>
              <w:t>工</w:t>
            </w:r>
            <w:r>
              <w:rPr>
                <w:color w:val="auto"/>
                <w:sz w:val="24"/>
                <w:highlight w:val="none"/>
              </w:rPr>
              <w:t>频电场强度、工频磁感应强度均小于《电磁环境控制限值》（GB8702-2014）中规定的4000V/m</w:t>
            </w:r>
            <w:r>
              <w:rPr>
                <w:rFonts w:hint="eastAsia"/>
                <w:color w:val="auto"/>
                <w:sz w:val="24"/>
                <w:highlight w:val="none"/>
                <w:lang w:eastAsia="zh-CN"/>
              </w:rPr>
              <w:t>、</w:t>
            </w:r>
            <w:r>
              <w:rPr>
                <w:color w:val="auto"/>
                <w:sz w:val="24"/>
                <w:highlight w:val="none"/>
              </w:rPr>
              <w:t>100μT</w:t>
            </w:r>
            <w:r>
              <w:rPr>
                <w:rFonts w:hint="eastAsia" w:cs="Times New Roman"/>
                <w:color w:val="auto"/>
                <w:kern w:val="0"/>
                <w:sz w:val="24"/>
                <w:highlight w:val="none"/>
                <w:lang w:val="en-US" w:eastAsia="zh-CN"/>
              </w:rPr>
              <w:t>公众曝露控制限值</w:t>
            </w:r>
            <w:r>
              <w:rPr>
                <w:color w:val="auto"/>
                <w:sz w:val="24"/>
                <w:highlight w:val="none"/>
              </w:rPr>
              <w:t>。</w:t>
            </w:r>
          </w:p>
          <w:p w14:paraId="2C5F7C00">
            <w:pPr>
              <w:spacing w:line="360" w:lineRule="auto"/>
              <w:ind w:firstLine="480" w:firstLineChars="200"/>
              <w:rPr>
                <w:color w:val="auto"/>
                <w:sz w:val="24"/>
                <w:highlight w:val="none"/>
              </w:rPr>
            </w:pPr>
            <w:r>
              <w:rPr>
                <w:color w:val="auto"/>
                <w:sz w:val="24"/>
                <w:highlight w:val="none"/>
              </w:rPr>
              <w:t>综上所述，本项目运行后对周围电磁环境影响很小。</w:t>
            </w:r>
            <w:r>
              <w:rPr>
                <w:b/>
                <w:bCs/>
                <w:color w:val="auto"/>
                <w:sz w:val="24"/>
                <w:highlight w:val="none"/>
              </w:rPr>
              <w:t>具体电磁环境影响预测评价详见本报告电磁环境影响专题评价。</w:t>
            </w:r>
          </w:p>
          <w:p w14:paraId="6624CDDC">
            <w:pPr>
              <w:keepNext w:val="0"/>
              <w:keepLines w:val="0"/>
              <w:pageBreakBefore w:val="0"/>
              <w:tabs>
                <w:tab w:val="center" w:pos="4409"/>
              </w:tabs>
              <w:kinsoku/>
              <w:wordWrap/>
              <w:overflowPunct/>
              <w:topLinePunct w:val="0"/>
              <w:autoSpaceDE/>
              <w:autoSpaceDN/>
              <w:bidi w:val="0"/>
              <w:spacing w:line="360" w:lineRule="auto"/>
              <w:ind w:firstLine="482" w:firstLineChars="200"/>
              <w:textAlignment w:val="auto"/>
              <w:rPr>
                <w:color w:val="auto"/>
                <w:sz w:val="24"/>
                <w:szCs w:val="24"/>
                <w:highlight w:val="none"/>
              </w:rPr>
            </w:pPr>
            <w:r>
              <w:rPr>
                <w:rFonts w:hint="eastAsia"/>
                <w:b/>
                <w:bCs/>
                <w:color w:val="auto"/>
                <w:sz w:val="24"/>
                <w:szCs w:val="24"/>
                <w:highlight w:val="none"/>
                <w:lang w:val="en-US" w:eastAsia="zh-CN"/>
              </w:rPr>
              <w:t>3</w:t>
            </w:r>
            <w:r>
              <w:rPr>
                <w:b/>
                <w:bCs/>
                <w:color w:val="auto"/>
                <w:sz w:val="24"/>
                <w:szCs w:val="24"/>
                <w:highlight w:val="none"/>
              </w:rPr>
              <w:t>、声环境影响分析</w:t>
            </w:r>
            <w:r>
              <w:rPr>
                <w:color w:val="auto"/>
                <w:sz w:val="24"/>
                <w:szCs w:val="24"/>
                <w:highlight w:val="none"/>
              </w:rPr>
              <w:tab/>
            </w:r>
          </w:p>
          <w:p w14:paraId="7F03F98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color w:val="auto"/>
                <w:sz w:val="24"/>
                <w:szCs w:val="24"/>
                <w:highlight w:val="none"/>
              </w:rPr>
              <w:t>根据《环境影响评价技术导则 输变电》（HJ24-2020），本项目新建变电站的声环境影响</w:t>
            </w:r>
            <w:r>
              <w:rPr>
                <w:rFonts w:hint="eastAsia"/>
                <w:color w:val="auto"/>
                <w:sz w:val="24"/>
                <w:szCs w:val="24"/>
                <w:highlight w:val="none"/>
                <w:lang w:val="en-US" w:eastAsia="zh-CN"/>
              </w:rPr>
              <w:t>预测</w:t>
            </w:r>
            <w:r>
              <w:rPr>
                <w:color w:val="auto"/>
                <w:sz w:val="24"/>
                <w:szCs w:val="24"/>
                <w:highlight w:val="none"/>
              </w:rPr>
              <w:t>采用模式预测的方式</w:t>
            </w:r>
            <w:r>
              <w:rPr>
                <w:rFonts w:hint="eastAsia"/>
                <w:color w:val="auto"/>
                <w:sz w:val="24"/>
                <w:szCs w:val="24"/>
                <w:highlight w:val="none"/>
              </w:rPr>
              <w:t>，</w:t>
            </w:r>
            <w:r>
              <w:rPr>
                <w:rFonts w:hint="default" w:ascii="Times New Roman" w:hAnsi="Times New Roman" w:cs="Times New Roman"/>
                <w:color w:val="auto"/>
                <w:sz w:val="24"/>
                <w:szCs w:val="24"/>
                <w:highlight w:val="none"/>
              </w:rPr>
              <w:t>新建架空线路的</w:t>
            </w:r>
            <w:r>
              <w:rPr>
                <w:rFonts w:hint="eastAsia" w:ascii="Times New Roman" w:hAnsi="Times New Roman" w:cs="Times New Roman"/>
                <w:color w:val="auto"/>
                <w:sz w:val="24"/>
                <w:szCs w:val="24"/>
                <w:highlight w:val="none"/>
                <w:lang w:val="en-US" w:eastAsia="zh-CN"/>
              </w:rPr>
              <w:t>声</w:t>
            </w:r>
            <w:r>
              <w:rPr>
                <w:rFonts w:hint="default" w:ascii="Times New Roman" w:hAnsi="Times New Roman" w:cs="Times New Roman"/>
                <w:color w:val="auto"/>
                <w:sz w:val="24"/>
                <w:szCs w:val="24"/>
                <w:highlight w:val="none"/>
              </w:rPr>
              <w:t>环境影响预测采用</w:t>
            </w:r>
            <w:r>
              <w:rPr>
                <w:rFonts w:hint="eastAsia" w:ascii="Times New Roman" w:hAnsi="Times New Roman" w:cs="Times New Roman"/>
                <w:color w:val="auto"/>
                <w:sz w:val="24"/>
                <w:szCs w:val="24"/>
                <w:highlight w:val="none"/>
                <w:lang w:val="en-US" w:eastAsia="zh-CN"/>
              </w:rPr>
              <w:t>类比监测</w:t>
            </w:r>
            <w:r>
              <w:rPr>
                <w:rFonts w:hint="default" w:ascii="Times New Roman" w:hAnsi="Times New Roman" w:cs="Times New Roman"/>
                <w:color w:val="auto"/>
                <w:sz w:val="24"/>
                <w:szCs w:val="24"/>
                <w:highlight w:val="none"/>
              </w:rPr>
              <w:t>的方式。</w:t>
            </w:r>
          </w:p>
          <w:p w14:paraId="37CD806E">
            <w:pPr>
              <w:keepNext w:val="0"/>
              <w:keepLines w:val="0"/>
              <w:pageBreakBefore w:val="0"/>
              <w:kinsoku/>
              <w:wordWrap/>
              <w:overflowPunct/>
              <w:topLinePunct w:val="0"/>
              <w:autoSpaceDE/>
              <w:autoSpaceDN/>
              <w:bidi w:val="0"/>
              <w:spacing w:line="360" w:lineRule="auto"/>
              <w:ind w:firstLine="482" w:firstLineChars="200"/>
              <w:textAlignment w:val="auto"/>
              <w:rPr>
                <w:b/>
                <w:bCs/>
                <w:color w:val="auto"/>
                <w:sz w:val="24"/>
                <w:szCs w:val="24"/>
                <w:highlight w:val="none"/>
              </w:rPr>
            </w:pPr>
            <w:r>
              <w:rPr>
                <w:b/>
                <w:bCs/>
                <w:color w:val="auto"/>
                <w:sz w:val="24"/>
                <w:szCs w:val="24"/>
                <w:highlight w:val="none"/>
              </w:rPr>
              <w:t>（1）变电站工程</w:t>
            </w:r>
          </w:p>
          <w:p w14:paraId="28EFA8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eastAsia"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 xml:space="preserve">预测方法 </w:t>
            </w:r>
          </w:p>
          <w:p w14:paraId="686DE3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采用理论计算对变电站运行时的声环境影响进行预测和评价。 </w:t>
            </w:r>
          </w:p>
          <w:p w14:paraId="28E08D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eastAsia"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 xml:space="preserve">预测软件及计算模式 </w:t>
            </w:r>
          </w:p>
          <w:p w14:paraId="10AC6F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根据《环境影响评价技术导则 声环境》</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HJ2.4-2021</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中规定的工业噪声预测模式，采用</w:t>
            </w:r>
            <w:r>
              <w:rPr>
                <w:rFonts w:hint="eastAsia" w:eastAsia="宋体" w:cs="Times New Roman"/>
                <w:color w:val="auto"/>
                <w:kern w:val="0"/>
                <w:sz w:val="24"/>
                <w:szCs w:val="24"/>
                <w:highlight w:val="none"/>
                <w:lang w:val="en-US" w:eastAsia="zh-CN" w:bidi="ar"/>
              </w:rPr>
              <w:t>环按科技</w:t>
            </w:r>
            <w:r>
              <w:rPr>
                <w:rFonts w:hint="default" w:ascii="Times New Roman" w:hAnsi="Times New Roman" w:eastAsia="宋体" w:cs="Times New Roman"/>
                <w:color w:val="auto"/>
                <w:kern w:val="0"/>
                <w:sz w:val="24"/>
                <w:szCs w:val="24"/>
                <w:highlight w:val="none"/>
                <w:lang w:val="en-US" w:eastAsia="zh-CN" w:bidi="ar"/>
              </w:rPr>
              <w:t>噪声</w:t>
            </w:r>
            <w:r>
              <w:rPr>
                <w:rFonts w:hint="eastAsia" w:eastAsia="宋体" w:cs="Times New Roman"/>
                <w:color w:val="auto"/>
                <w:kern w:val="0"/>
                <w:sz w:val="24"/>
                <w:szCs w:val="24"/>
                <w:highlight w:val="none"/>
                <w:lang w:val="en-US" w:eastAsia="zh-CN" w:bidi="ar"/>
              </w:rPr>
              <w:t>预测</w:t>
            </w:r>
            <w:r>
              <w:rPr>
                <w:rFonts w:hint="default" w:ascii="Times New Roman" w:hAnsi="Times New Roman" w:eastAsia="宋体" w:cs="Times New Roman"/>
                <w:color w:val="auto"/>
                <w:kern w:val="0"/>
                <w:sz w:val="24"/>
                <w:szCs w:val="24"/>
                <w:highlight w:val="none"/>
                <w:lang w:val="en-US" w:eastAsia="zh-CN" w:bidi="ar"/>
              </w:rPr>
              <w:t>软件。预测变电站主要噪声源的噪声贡献值，并按5dB的等声级线间隔绘制地面1.</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m</w:t>
            </w:r>
            <w:r>
              <w:rPr>
                <w:rFonts w:hint="eastAsia" w:cs="Times New Roman"/>
                <w:color w:val="auto"/>
                <w:kern w:val="0"/>
                <w:sz w:val="24"/>
                <w:szCs w:val="24"/>
                <w:highlight w:val="none"/>
                <w:lang w:val="en-US" w:eastAsia="zh-CN" w:bidi="ar"/>
              </w:rPr>
              <w:t>以上</w:t>
            </w:r>
            <w:r>
              <w:rPr>
                <w:rFonts w:hint="default" w:ascii="Times New Roman" w:hAnsi="Times New Roman" w:eastAsia="宋体" w:cs="Times New Roman"/>
                <w:color w:val="auto"/>
                <w:kern w:val="0"/>
                <w:sz w:val="24"/>
                <w:szCs w:val="24"/>
                <w:highlight w:val="none"/>
                <w:lang w:val="en-US" w:eastAsia="zh-CN" w:bidi="ar"/>
              </w:rPr>
              <w:t>高度的等声级线图，然后与环境标准对比进行评价。</w:t>
            </w:r>
          </w:p>
          <w:p w14:paraId="4BFC8B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eastAsia="宋体" w:cs="Times New Roman"/>
                <w:color w:val="auto"/>
                <w:kern w:val="0"/>
                <w:sz w:val="24"/>
                <w:szCs w:val="24"/>
                <w:highlight w:val="none"/>
                <w:lang w:val="en-US" w:eastAsia="zh-CN" w:bidi="ar"/>
              </w:rPr>
              <w:t>3）</w:t>
            </w:r>
            <w:r>
              <w:rPr>
                <w:rFonts w:hint="default" w:ascii="Times New Roman" w:hAnsi="Times New Roman" w:cs="Times New Roman"/>
                <w:color w:val="auto"/>
                <w:kern w:val="0"/>
                <w:sz w:val="24"/>
                <w:szCs w:val="24"/>
                <w:highlight w:val="none"/>
                <w:lang w:val="en-US" w:eastAsia="zh-CN" w:bidi="ar"/>
              </w:rPr>
              <w:t>计算条件</w:t>
            </w:r>
          </w:p>
          <w:p w14:paraId="002ED0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1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预测时段 </w:t>
            </w:r>
          </w:p>
          <w:p w14:paraId="74B141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变电站24h连续运行，噪声源稳定，均按其满负荷工况下噪声源强值进行预测的情况下，昼、夜间对周围环境的贡献值基本一致。 </w:t>
            </w:r>
          </w:p>
          <w:p w14:paraId="2E79484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2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②</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衰减因素选取 </w:t>
            </w:r>
          </w:p>
          <w:p w14:paraId="0D2D6DF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噪声预测计算过程中，在满足工程所需精度的前提下，采用较为保守的方法。本次评价主要考虑几何发散（Adiv）、屏障屏蔽（Abar） 引起的噪声衰减，而未考虑大气吸收（Aatm）、地面效应（Agr）、其他多方面效应（Amisc66）引起的噪声衰减。</w:t>
            </w:r>
          </w:p>
          <w:p w14:paraId="70BF378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本项目噪声源受到站内建筑物的遮挡屏蔽作用，站内</w:t>
            </w:r>
            <w:r>
              <w:rPr>
                <w:rFonts w:hint="default" w:ascii="Times New Roman" w:hAnsi="Times New Roman" w:cs="Times New Roman"/>
                <w:color w:val="auto"/>
                <w:kern w:val="0"/>
                <w:sz w:val="24"/>
                <w:szCs w:val="24"/>
                <w:highlight w:val="none"/>
                <w:lang w:val="en-US" w:eastAsia="zh-CN" w:bidi="ar"/>
              </w:rPr>
              <w:t>建构筑物</w:t>
            </w:r>
            <w:r>
              <w:rPr>
                <w:rFonts w:hint="eastAsia" w:eastAsia="宋体" w:cs="Times New Roman"/>
                <w:color w:val="auto"/>
                <w:kern w:val="0"/>
                <w:sz w:val="24"/>
                <w:szCs w:val="24"/>
                <w:highlight w:val="none"/>
                <w:lang w:val="en-US" w:eastAsia="zh-CN" w:bidi="ar"/>
              </w:rPr>
              <w:t>为配电装置室、一体化辅助用房、</w:t>
            </w:r>
            <w:r>
              <w:rPr>
                <w:rFonts w:hint="default" w:ascii="Times New Roman" w:hAnsi="Times New Roman" w:eastAsia="宋体" w:cs="Times New Roman"/>
                <w:color w:val="auto"/>
                <w:kern w:val="0"/>
                <w:sz w:val="24"/>
                <w:szCs w:val="24"/>
                <w:highlight w:val="none"/>
                <w:lang w:val="en-US" w:eastAsia="zh-CN" w:bidi="ar"/>
              </w:rPr>
              <w:t>围墙等。</w:t>
            </w:r>
          </w:p>
          <w:p w14:paraId="7ABC3883">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 3 \* GB3 \* MERGEFORMAT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站内主要构筑物</w:t>
            </w:r>
          </w:p>
          <w:p w14:paraId="4E2C0F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䅂䍄䕅⯋컌" w:cs="Times New Roman"/>
                <w:color w:val="auto"/>
                <w:kern w:val="0"/>
                <w:sz w:val="24"/>
                <w:szCs w:val="24"/>
                <w:highlight w:val="none"/>
                <w:lang w:val="en-US" w:eastAsia="zh-CN" w:bidi="ar"/>
              </w:rPr>
              <w:t>本期变电站站内主要建构筑物见表</w:t>
            </w:r>
            <w:r>
              <w:rPr>
                <w:rFonts w:hint="eastAsia"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w:t>
            </w:r>
            <w:r>
              <w:rPr>
                <w:rFonts w:hint="default" w:ascii="Times New Roman" w:hAnsi="Times New Roman" w:eastAsia="䅂䍄䕅⯋컌" w:cs="Times New Roman"/>
                <w:color w:val="auto"/>
                <w:kern w:val="0"/>
                <w:sz w:val="24"/>
                <w:szCs w:val="24"/>
                <w:highlight w:val="none"/>
                <w:lang w:val="en-US" w:eastAsia="zh-CN" w:bidi="ar"/>
              </w:rPr>
              <w:t xml:space="preserve">。 </w:t>
            </w:r>
          </w:p>
          <w:p w14:paraId="2502639A">
            <w:pPr>
              <w:pStyle w:val="18"/>
              <w:spacing w:line="360" w:lineRule="auto"/>
              <w:jc w:val="center"/>
              <w:rPr>
                <w:rFonts w:hint="default" w:ascii="Times New Roman" w:hAnsi="Times New Roman" w:eastAsia="黑体" w:cs="Times New Roman"/>
                <w:b/>
                <w:bCs/>
                <w:color w:val="auto"/>
                <w:sz w:val="24"/>
                <w:highlight w:val="none"/>
              </w:rPr>
            </w:pPr>
            <w:r>
              <w:rPr>
                <w:rFonts w:hint="default" w:ascii="Times New Roman" w:hAnsi="Times New Roman" w:eastAsia="黑体" w:cs="Times New Roman"/>
                <w:b/>
                <w:bCs/>
                <w:color w:val="auto"/>
                <w:sz w:val="24"/>
                <w:szCs w:val="24"/>
                <w:highlight w:val="none"/>
                <w:lang w:val="en-US" w:eastAsia="zh-CN"/>
              </w:rPr>
              <w:t>表</w:t>
            </w:r>
            <w:r>
              <w:rPr>
                <w:rFonts w:hint="eastAsia" w:ascii="Times New Roman" w:hAnsi="Times New Roman" w:eastAsia="黑体" w:cs="Times New Roman"/>
                <w:b/>
                <w:bCs/>
                <w:color w:val="auto"/>
                <w:sz w:val="24"/>
                <w:szCs w:val="24"/>
                <w:highlight w:val="none"/>
                <w:lang w:val="en-US" w:eastAsia="zh-CN"/>
              </w:rPr>
              <w:t>4</w:t>
            </w:r>
            <w:r>
              <w:rPr>
                <w:rFonts w:hint="default" w:ascii="Times New Roman" w:hAnsi="Times New Roman" w:eastAsia="黑体" w:cs="Times New Roman"/>
                <w:b/>
                <w:bCs/>
                <w:color w:val="auto"/>
                <w:sz w:val="24"/>
                <w:szCs w:val="24"/>
                <w:highlight w:val="none"/>
                <w:lang w:val="en-US" w:eastAsia="zh-CN"/>
              </w:rPr>
              <w:t>-</w:t>
            </w:r>
            <w:r>
              <w:rPr>
                <w:rFonts w:hint="eastAsia" w:eastAsia="黑体" w:cs="Times New Roman"/>
                <w:b/>
                <w:bCs/>
                <w:color w:val="auto"/>
                <w:sz w:val="24"/>
                <w:szCs w:val="24"/>
                <w:highlight w:val="none"/>
                <w:lang w:val="en-US" w:eastAsia="zh-CN"/>
              </w:rPr>
              <w:t>5</w:t>
            </w:r>
            <w:r>
              <w:rPr>
                <w:rFonts w:hint="default" w:ascii="Times New Roman" w:hAnsi="Times New Roman" w:eastAsia="黑体" w:cs="Times New Roman"/>
                <w:b/>
                <w:bCs/>
                <w:color w:val="auto"/>
                <w:sz w:val="24"/>
                <w:szCs w:val="24"/>
                <w:highlight w:val="none"/>
                <w:lang w:val="en-US" w:eastAsia="zh-CN"/>
              </w:rPr>
              <w:t xml:space="preserve"> </w:t>
            </w:r>
            <w:r>
              <w:rPr>
                <w:rFonts w:hint="eastAsia" w:ascii="Times New Roman" w:hAnsi="Times New Roman" w:eastAsia="黑体" w:cs="Times New Roman"/>
                <w:b/>
                <w:bCs/>
                <w:color w:val="auto"/>
                <w:sz w:val="24"/>
                <w:szCs w:val="24"/>
                <w:highlight w:val="none"/>
                <w:lang w:val="en-US" w:eastAsia="zh-CN"/>
              </w:rPr>
              <w:t xml:space="preserve"> 本期</w:t>
            </w:r>
            <w:r>
              <w:rPr>
                <w:rFonts w:hint="default" w:ascii="Times New Roman" w:hAnsi="Times New Roman" w:eastAsia="黑体" w:cs="Times New Roman"/>
                <w:b/>
                <w:bCs/>
                <w:color w:val="auto"/>
                <w:sz w:val="24"/>
                <w:szCs w:val="24"/>
                <w:highlight w:val="none"/>
                <w:lang w:val="en-US" w:eastAsia="zh-CN"/>
              </w:rPr>
              <w:t>站内主要建构筑物一览表</w:t>
            </w:r>
          </w:p>
          <w:tbl>
            <w:tblPr>
              <w:tblStyle w:val="29"/>
              <w:tblW w:w="8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85"/>
              <w:gridCol w:w="4699"/>
            </w:tblGrid>
            <w:tr w14:paraId="2BF3C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5" w:type="dxa"/>
                  <w:tcBorders>
                    <w:tl2br w:val="nil"/>
                    <w:tr2bl w:val="nil"/>
                  </w:tcBorders>
                  <w:noWrap w:val="0"/>
                  <w:vAlign w:val="center"/>
                </w:tcPr>
                <w:p w14:paraId="6B3C40BA">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建构筑物</w:t>
                  </w:r>
                </w:p>
              </w:tc>
              <w:tc>
                <w:tcPr>
                  <w:tcW w:w="4699" w:type="dxa"/>
                  <w:tcBorders>
                    <w:tl2br w:val="nil"/>
                    <w:tr2bl w:val="nil"/>
                  </w:tcBorders>
                  <w:noWrap w:val="0"/>
                  <w:vAlign w:val="center"/>
                </w:tcPr>
                <w:p w14:paraId="0787C722">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尺寸（m）</w:t>
                  </w:r>
                </w:p>
              </w:tc>
            </w:tr>
            <w:tr w14:paraId="6EEFF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5" w:type="dxa"/>
                  <w:tcBorders>
                    <w:tl2br w:val="nil"/>
                    <w:tr2bl w:val="nil"/>
                  </w:tcBorders>
                  <w:noWrap w:val="0"/>
                  <w:vAlign w:val="center"/>
                </w:tcPr>
                <w:p w14:paraId="4DCD494C">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配电装置室</w:t>
                  </w:r>
                </w:p>
              </w:tc>
              <w:tc>
                <w:tcPr>
                  <w:tcW w:w="4699" w:type="dxa"/>
                  <w:tcBorders>
                    <w:tl2br w:val="nil"/>
                    <w:tr2bl w:val="nil"/>
                  </w:tcBorders>
                  <w:noWrap w:val="0"/>
                  <w:vAlign w:val="center"/>
                </w:tcPr>
                <w:p w14:paraId="45BDCAB1">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53.2×11×5.8</w:t>
                  </w:r>
                </w:p>
              </w:tc>
            </w:tr>
            <w:tr w14:paraId="188C1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5" w:type="dxa"/>
                  <w:tcBorders>
                    <w:tl2br w:val="nil"/>
                    <w:tr2bl w:val="nil"/>
                  </w:tcBorders>
                  <w:noWrap w:val="0"/>
                  <w:vAlign w:val="center"/>
                </w:tcPr>
                <w:p w14:paraId="011CA5E0">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一体化辅助用房</w:t>
                  </w:r>
                </w:p>
              </w:tc>
              <w:tc>
                <w:tcPr>
                  <w:tcW w:w="4699" w:type="dxa"/>
                  <w:tcBorders>
                    <w:tl2br w:val="nil"/>
                    <w:tr2bl w:val="nil"/>
                  </w:tcBorders>
                  <w:noWrap w:val="0"/>
                  <w:vAlign w:val="center"/>
                </w:tcPr>
                <w:p w14:paraId="5D0946CE">
                  <w:pPr>
                    <w:pStyle w:val="11"/>
                    <w:keepNext w:val="0"/>
                    <w:keepLines w:val="0"/>
                    <w:pageBreakBefore w:val="0"/>
                    <w:widowControl/>
                    <w:kinsoku/>
                    <w:wordWrap/>
                    <w:overflowPunct/>
                    <w:topLinePunct w:val="0"/>
                    <w:autoSpaceDE/>
                    <w:autoSpaceDN/>
                    <w:bidi w:val="0"/>
                    <w:adjustRightInd/>
                    <w:snapToGrid/>
                    <w:spacing w:before="0" w:after="0" w:line="240" w:lineRule="auto"/>
                    <w:ind w:right="113"/>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3.6×13.23×3</w:t>
                  </w:r>
                  <w:r>
                    <w:rPr>
                      <w:rFonts w:hint="eastAsia" w:ascii="Times New Roman" w:hAnsi="Times New Roman" w:cs="Times New Roman"/>
                      <w:color w:val="auto"/>
                      <w:sz w:val="21"/>
                      <w:szCs w:val="21"/>
                      <w:highlight w:val="none"/>
                      <w:lang w:val="en-US" w:eastAsia="zh-CN"/>
                    </w:rPr>
                    <w:t>.2</w:t>
                  </w:r>
                </w:p>
              </w:tc>
            </w:tr>
            <w:tr w14:paraId="17D58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5" w:type="dxa"/>
                  <w:tcBorders>
                    <w:tl2br w:val="nil"/>
                    <w:tr2bl w:val="nil"/>
                  </w:tcBorders>
                  <w:noWrap w:val="0"/>
                  <w:vAlign w:val="center"/>
                </w:tcPr>
                <w:p w14:paraId="0C1B5706">
                  <w:pPr>
                    <w:pStyle w:val="11"/>
                    <w:keepNext w:val="0"/>
                    <w:keepLines w:val="0"/>
                    <w:pageBreakBefore w:val="0"/>
                    <w:widowControl/>
                    <w:kinsoku/>
                    <w:wordWrap/>
                    <w:overflowPunct/>
                    <w:topLinePunct w:val="0"/>
                    <w:autoSpaceDE/>
                    <w:autoSpaceDN/>
                    <w:bidi w:val="0"/>
                    <w:adjustRightInd/>
                    <w:snapToGrid/>
                    <w:spacing w:before="0" w:after="0" w:line="240" w:lineRule="auto"/>
                    <w:ind w:right="113" w:firstLine="210" w:firstLineChars="10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围墙</w:t>
                  </w:r>
                </w:p>
              </w:tc>
              <w:tc>
                <w:tcPr>
                  <w:tcW w:w="4699" w:type="dxa"/>
                  <w:tcBorders>
                    <w:tl2br w:val="nil"/>
                    <w:tr2bl w:val="nil"/>
                  </w:tcBorders>
                  <w:noWrap w:val="0"/>
                  <w:vAlign w:val="center"/>
                </w:tcPr>
                <w:p w14:paraId="07AE4060">
                  <w:pPr>
                    <w:pStyle w:val="11"/>
                    <w:keepNext w:val="0"/>
                    <w:keepLines w:val="0"/>
                    <w:pageBreakBefore w:val="0"/>
                    <w:widowControl/>
                    <w:kinsoku/>
                    <w:wordWrap/>
                    <w:overflowPunct/>
                    <w:topLinePunct w:val="0"/>
                    <w:autoSpaceDE/>
                    <w:autoSpaceDN/>
                    <w:bidi w:val="0"/>
                    <w:adjustRightInd/>
                    <w:snapToGrid/>
                    <w:spacing w:before="0" w:after="0" w:line="240" w:lineRule="auto"/>
                    <w:ind w:right="113" w:firstLine="210" w:firstLineChars="10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2.3</w:t>
                  </w:r>
                </w:p>
              </w:tc>
            </w:tr>
          </w:tbl>
          <w:p w14:paraId="514B742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4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④</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预测参数</w:t>
            </w:r>
          </w:p>
          <w:p w14:paraId="702B35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
                <w:bCs/>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本期</w:t>
            </w:r>
            <w:r>
              <w:rPr>
                <w:rFonts w:hint="default" w:ascii="Times New Roman" w:hAnsi="Times New Roman" w:eastAsia="宋体" w:cs="Times New Roman"/>
                <w:color w:val="auto"/>
                <w:kern w:val="0"/>
                <w:sz w:val="24"/>
                <w:szCs w:val="24"/>
                <w:highlight w:val="none"/>
                <w:lang w:val="en-US" w:eastAsia="zh-CN" w:bidi="ar"/>
              </w:rPr>
              <w:t>变电站运行期间的噪声主要来自主变压器、</w:t>
            </w:r>
            <w:r>
              <w:rPr>
                <w:rFonts w:hint="eastAsia" w:cs="Times New Roman"/>
                <w:color w:val="auto"/>
                <w:kern w:val="0"/>
                <w:sz w:val="24"/>
                <w:szCs w:val="24"/>
                <w:highlight w:val="none"/>
                <w:lang w:val="en-US" w:eastAsia="zh-CN" w:bidi="ar"/>
              </w:rPr>
              <w:t>接地变（</w:t>
            </w:r>
            <w:r>
              <w:rPr>
                <w:rFonts w:hint="eastAsia" w:ascii="Times New Roman" w:hAnsi="Times New Roman" w:cs="Times New Roman"/>
                <w:color w:val="auto"/>
                <w:kern w:val="0"/>
                <w:sz w:val="24"/>
                <w:szCs w:val="24"/>
                <w:highlight w:val="none"/>
                <w:lang w:val="en-US" w:eastAsia="zh-CN" w:bidi="ar"/>
              </w:rPr>
              <w:t>站用变压器</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。预测模型将主变压器、</w:t>
            </w:r>
            <w:r>
              <w:rPr>
                <w:rFonts w:hint="eastAsia" w:cs="Times New Roman"/>
                <w:color w:val="auto"/>
                <w:kern w:val="0"/>
                <w:sz w:val="24"/>
                <w:szCs w:val="24"/>
                <w:highlight w:val="none"/>
                <w:lang w:val="en-US" w:eastAsia="zh-CN" w:bidi="ar"/>
              </w:rPr>
              <w:t>接地变（</w:t>
            </w:r>
            <w:r>
              <w:rPr>
                <w:rFonts w:hint="eastAsia" w:ascii="Times New Roman" w:hAnsi="Times New Roman" w:cs="Times New Roman"/>
                <w:color w:val="auto"/>
                <w:kern w:val="0"/>
                <w:sz w:val="24"/>
                <w:szCs w:val="24"/>
                <w:highlight w:val="none"/>
                <w:lang w:val="en-US" w:eastAsia="zh-CN" w:bidi="ar"/>
              </w:rPr>
              <w:t>站用变压器</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等效为</w:t>
            </w:r>
            <w:r>
              <w:rPr>
                <w:rFonts w:hint="eastAsia" w:eastAsia="宋体" w:cs="Times New Roman"/>
                <w:color w:val="auto"/>
                <w:kern w:val="0"/>
                <w:sz w:val="24"/>
                <w:szCs w:val="24"/>
                <w:highlight w:val="none"/>
                <w:lang w:val="en-US" w:eastAsia="zh-CN" w:bidi="ar"/>
              </w:rPr>
              <w:t>点</w:t>
            </w:r>
            <w:r>
              <w:rPr>
                <w:rFonts w:hint="default" w:ascii="Times New Roman" w:hAnsi="Times New Roman" w:eastAsia="宋体" w:cs="Times New Roman"/>
                <w:color w:val="auto"/>
                <w:kern w:val="0"/>
                <w:sz w:val="24"/>
                <w:szCs w:val="24"/>
                <w:highlight w:val="none"/>
                <w:lang w:val="en-US" w:eastAsia="zh-CN" w:bidi="ar"/>
              </w:rPr>
              <w:t>声源计算。根据《变电站噪声控制技术导则》（DL/T1518-2016）</w:t>
            </w:r>
            <w:r>
              <w:rPr>
                <w:rFonts w:hint="eastAsia" w:ascii="Times New Roman" w:hAnsi="Times New Roman" w:cs="Times New Roman"/>
                <w:color w:val="000000"/>
                <w:kern w:val="0"/>
                <w:sz w:val="24"/>
                <w:szCs w:val="24"/>
                <w:highlight w:val="none"/>
                <w:lang w:val="en-US" w:eastAsia="zh-CN" w:bidi="ar"/>
              </w:rPr>
              <w:t>及《国家电网公司输变电工程通用设备35-750kV变电站分册（上下册）（2018年版）》</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具体声源参数见表</w:t>
            </w:r>
            <w:r>
              <w:rPr>
                <w:rFonts w:hint="eastAsia" w:ascii="Times New Roman" w:hAnsi="Times New Roman" w:cs="Times New Roman"/>
                <w:color w:val="auto"/>
                <w:kern w:val="0"/>
                <w:sz w:val="24"/>
                <w:szCs w:val="24"/>
                <w:highlight w:val="none"/>
                <w:lang w:val="en-US" w:eastAsia="zh-CN" w:bidi="ar"/>
              </w:rPr>
              <w:t>4-</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p>
          <w:p w14:paraId="592571C6">
            <w:pPr>
              <w:pStyle w:val="18"/>
              <w:spacing w:line="360" w:lineRule="auto"/>
              <w:jc w:val="center"/>
              <w:rPr>
                <w:rFonts w:hint="default" w:ascii="Times New Roman" w:hAnsi="Times New Roman" w:eastAsia="黑体" w:cs="Times New Roman"/>
                <w:b/>
                <w:bCs/>
                <w:color w:val="auto"/>
                <w:sz w:val="24"/>
                <w:szCs w:val="24"/>
                <w:highlight w:val="none"/>
                <w:lang w:val="en-US" w:eastAsia="zh-CN"/>
              </w:rPr>
            </w:pPr>
            <w:r>
              <w:rPr>
                <w:rFonts w:hint="default" w:ascii="Times New Roman" w:hAnsi="Times New Roman" w:eastAsia="黑体" w:cs="Times New Roman"/>
                <w:b/>
                <w:bCs/>
                <w:color w:val="auto"/>
                <w:sz w:val="24"/>
                <w:szCs w:val="24"/>
                <w:highlight w:val="none"/>
                <w:lang w:val="en-US" w:eastAsia="zh-CN"/>
              </w:rPr>
              <w:t xml:space="preserve">表 </w:t>
            </w:r>
            <w:r>
              <w:rPr>
                <w:rFonts w:hint="eastAsia" w:ascii="Times New Roman" w:hAnsi="Times New Roman" w:eastAsia="黑体" w:cs="Times New Roman"/>
                <w:b/>
                <w:bCs/>
                <w:color w:val="auto"/>
                <w:sz w:val="24"/>
                <w:szCs w:val="24"/>
                <w:highlight w:val="none"/>
                <w:lang w:val="en-US" w:eastAsia="zh-CN"/>
              </w:rPr>
              <w:t>4</w:t>
            </w:r>
            <w:r>
              <w:rPr>
                <w:rFonts w:hint="default" w:ascii="Times New Roman" w:hAnsi="Times New Roman" w:eastAsia="黑体" w:cs="Times New Roman"/>
                <w:b/>
                <w:bCs/>
                <w:color w:val="auto"/>
                <w:sz w:val="24"/>
                <w:szCs w:val="24"/>
                <w:highlight w:val="none"/>
                <w:lang w:val="en-US" w:eastAsia="zh-CN"/>
              </w:rPr>
              <w:t>-</w:t>
            </w:r>
            <w:r>
              <w:rPr>
                <w:rFonts w:hint="eastAsia" w:eastAsia="黑体" w:cs="Times New Roman"/>
                <w:b/>
                <w:bCs/>
                <w:color w:val="auto"/>
                <w:sz w:val="24"/>
                <w:szCs w:val="24"/>
                <w:highlight w:val="none"/>
                <w:lang w:val="en-US" w:eastAsia="zh-CN"/>
              </w:rPr>
              <w:t>6</w:t>
            </w:r>
            <w:r>
              <w:rPr>
                <w:rFonts w:hint="default" w:ascii="Times New Roman" w:hAnsi="Times New Roman" w:eastAsia="黑体" w:cs="Times New Roman"/>
                <w:b/>
                <w:bCs/>
                <w:color w:val="auto"/>
                <w:sz w:val="24"/>
                <w:szCs w:val="24"/>
                <w:highlight w:val="none"/>
                <w:lang w:val="en-US" w:eastAsia="zh-CN"/>
              </w:rPr>
              <w:t xml:space="preserve"> </w:t>
            </w:r>
            <w:r>
              <w:rPr>
                <w:rFonts w:hint="eastAsia" w:ascii="Times New Roman" w:hAnsi="Times New Roman" w:eastAsia="黑体" w:cs="Times New Roman"/>
                <w:b/>
                <w:bCs/>
                <w:color w:val="auto"/>
                <w:sz w:val="24"/>
                <w:szCs w:val="24"/>
                <w:highlight w:val="none"/>
                <w:lang w:val="en-US" w:eastAsia="zh-CN"/>
              </w:rPr>
              <w:t xml:space="preserve"> 本期</w:t>
            </w:r>
            <w:r>
              <w:rPr>
                <w:rFonts w:hint="default" w:ascii="Times New Roman" w:hAnsi="Times New Roman" w:eastAsia="黑体" w:cs="Times New Roman"/>
                <w:b/>
                <w:bCs/>
                <w:color w:val="auto"/>
                <w:sz w:val="24"/>
                <w:szCs w:val="24"/>
                <w:highlight w:val="none"/>
                <w:lang w:val="en-US" w:eastAsia="zh-CN"/>
              </w:rPr>
              <w:t>变电站预测声源一览表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478"/>
              <w:gridCol w:w="814"/>
              <w:gridCol w:w="870"/>
              <w:gridCol w:w="1000"/>
              <w:gridCol w:w="1674"/>
              <w:gridCol w:w="1044"/>
              <w:gridCol w:w="812"/>
            </w:tblGrid>
            <w:tr w14:paraId="7316F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vMerge w:val="restart"/>
                  <w:tcBorders>
                    <w:tl2br w:val="nil"/>
                    <w:tr2bl w:val="nil"/>
                  </w:tcBorders>
                  <w:noWrap w:val="0"/>
                  <w:vAlign w:val="center"/>
                </w:tcPr>
                <w:p w14:paraId="2A1655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478" w:type="dxa"/>
                  <w:vMerge w:val="restart"/>
                  <w:tcBorders>
                    <w:tl2br w:val="nil"/>
                    <w:tr2bl w:val="nil"/>
                  </w:tcBorders>
                  <w:noWrap w:val="0"/>
                  <w:vAlign w:val="center"/>
                </w:tcPr>
                <w:p w14:paraId="153A463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声源名称</w:t>
                  </w:r>
                </w:p>
              </w:tc>
              <w:tc>
                <w:tcPr>
                  <w:tcW w:w="2684" w:type="dxa"/>
                  <w:gridSpan w:val="3"/>
                  <w:tcBorders>
                    <w:tl2br w:val="nil"/>
                    <w:tr2bl w:val="nil"/>
                  </w:tcBorders>
                  <w:noWrap w:val="0"/>
                  <w:vAlign w:val="center"/>
                </w:tcPr>
                <w:p w14:paraId="6EAA39A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中心坐标</w:t>
                  </w:r>
                </w:p>
              </w:tc>
              <w:tc>
                <w:tcPr>
                  <w:tcW w:w="1674" w:type="dxa"/>
                  <w:vMerge w:val="restart"/>
                  <w:tcBorders>
                    <w:tl2br w:val="nil"/>
                    <w:tr2bl w:val="nil"/>
                  </w:tcBorders>
                  <w:noWrap w:val="0"/>
                  <w:vAlign w:val="center"/>
                </w:tcPr>
                <w:p w14:paraId="1BC2AEF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声压级/距声源距离（dB(A)/m）</w:t>
                  </w:r>
                </w:p>
              </w:tc>
              <w:tc>
                <w:tcPr>
                  <w:tcW w:w="1044" w:type="dxa"/>
                  <w:vMerge w:val="restart"/>
                  <w:tcBorders>
                    <w:tl2br w:val="nil"/>
                    <w:tr2bl w:val="nil"/>
                  </w:tcBorders>
                  <w:noWrap w:val="0"/>
                  <w:vAlign w:val="center"/>
                </w:tcPr>
                <w:p w14:paraId="237397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噪声控制措施</w:t>
                  </w:r>
                </w:p>
              </w:tc>
              <w:tc>
                <w:tcPr>
                  <w:tcW w:w="812" w:type="dxa"/>
                  <w:vMerge w:val="restart"/>
                  <w:tcBorders>
                    <w:tl2br w:val="nil"/>
                    <w:tr2bl w:val="nil"/>
                  </w:tcBorders>
                  <w:noWrap w:val="0"/>
                  <w:vAlign w:val="center"/>
                </w:tcPr>
                <w:p w14:paraId="1A1873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运行方式</w:t>
                  </w:r>
                </w:p>
              </w:tc>
            </w:tr>
            <w:tr w14:paraId="7F46A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vMerge w:val="continue"/>
                  <w:tcBorders>
                    <w:tl2br w:val="nil"/>
                    <w:tr2bl w:val="nil"/>
                  </w:tcBorders>
                  <w:noWrap w:val="0"/>
                  <w:vAlign w:val="center"/>
                </w:tcPr>
                <w:p w14:paraId="6B1308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1478" w:type="dxa"/>
                  <w:vMerge w:val="continue"/>
                  <w:tcBorders>
                    <w:tl2br w:val="nil"/>
                    <w:tr2bl w:val="nil"/>
                  </w:tcBorders>
                  <w:noWrap w:val="0"/>
                  <w:vAlign w:val="center"/>
                </w:tcPr>
                <w:p w14:paraId="3AD187E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814" w:type="dxa"/>
                  <w:tcBorders>
                    <w:tl2br w:val="nil"/>
                    <w:tr2bl w:val="nil"/>
                  </w:tcBorders>
                  <w:noWrap w:val="0"/>
                  <w:vAlign w:val="center"/>
                </w:tcPr>
                <w:p w14:paraId="46DA871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X</w:t>
                  </w:r>
                  <w:r>
                    <w:rPr>
                      <w:rFonts w:hint="eastAsia" w:ascii="Times New Roman" w:hAnsi="Times New Roman" w:cs="Times New Roman"/>
                      <w:b/>
                      <w:bCs/>
                      <w:color w:val="auto"/>
                      <w:sz w:val="21"/>
                      <w:szCs w:val="21"/>
                      <w:highlight w:val="none"/>
                      <w:vertAlign w:val="baseline"/>
                      <w:lang w:val="en-US" w:eastAsia="zh-CN"/>
                    </w:rPr>
                    <w:t>（m）</w:t>
                  </w:r>
                </w:p>
              </w:tc>
              <w:tc>
                <w:tcPr>
                  <w:tcW w:w="870" w:type="dxa"/>
                  <w:tcBorders>
                    <w:tl2br w:val="nil"/>
                    <w:tr2bl w:val="nil"/>
                  </w:tcBorders>
                  <w:noWrap w:val="0"/>
                  <w:vAlign w:val="center"/>
                </w:tcPr>
                <w:p w14:paraId="08C3B8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Y</w:t>
                  </w:r>
                  <w:r>
                    <w:rPr>
                      <w:rFonts w:hint="eastAsia" w:ascii="Times New Roman" w:hAnsi="Times New Roman" w:cs="Times New Roman"/>
                      <w:b/>
                      <w:bCs/>
                      <w:color w:val="auto"/>
                      <w:sz w:val="21"/>
                      <w:szCs w:val="21"/>
                      <w:highlight w:val="none"/>
                      <w:vertAlign w:val="baseline"/>
                      <w:lang w:val="en-US" w:eastAsia="zh-CN"/>
                    </w:rPr>
                    <w:t>（m）</w:t>
                  </w:r>
                </w:p>
              </w:tc>
              <w:tc>
                <w:tcPr>
                  <w:tcW w:w="1000" w:type="dxa"/>
                  <w:tcBorders>
                    <w:tl2br w:val="nil"/>
                    <w:tr2bl w:val="nil"/>
                  </w:tcBorders>
                  <w:noWrap w:val="0"/>
                  <w:vAlign w:val="center"/>
                </w:tcPr>
                <w:p w14:paraId="0211C6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Z</w:t>
                  </w:r>
                  <w:r>
                    <w:rPr>
                      <w:rFonts w:hint="eastAsia" w:ascii="Times New Roman" w:hAnsi="Times New Roman" w:cs="Times New Roman"/>
                      <w:b/>
                      <w:bCs/>
                      <w:color w:val="auto"/>
                      <w:sz w:val="21"/>
                      <w:szCs w:val="21"/>
                      <w:highlight w:val="none"/>
                      <w:vertAlign w:val="baseline"/>
                      <w:lang w:val="en-US" w:eastAsia="zh-CN"/>
                    </w:rPr>
                    <w:t>（m）</w:t>
                  </w:r>
                </w:p>
              </w:tc>
              <w:tc>
                <w:tcPr>
                  <w:tcW w:w="1674" w:type="dxa"/>
                  <w:vMerge w:val="continue"/>
                  <w:tcBorders>
                    <w:tl2br w:val="nil"/>
                    <w:tr2bl w:val="nil"/>
                  </w:tcBorders>
                  <w:noWrap w:val="0"/>
                  <w:vAlign w:val="center"/>
                </w:tcPr>
                <w:p w14:paraId="1DC491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p>
              </w:tc>
              <w:tc>
                <w:tcPr>
                  <w:tcW w:w="1044" w:type="dxa"/>
                  <w:vMerge w:val="continue"/>
                  <w:tcBorders>
                    <w:tl2br w:val="nil"/>
                    <w:tr2bl w:val="nil"/>
                  </w:tcBorders>
                  <w:noWrap w:val="0"/>
                  <w:vAlign w:val="center"/>
                </w:tcPr>
                <w:p w14:paraId="718F2D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p>
              </w:tc>
              <w:tc>
                <w:tcPr>
                  <w:tcW w:w="812" w:type="dxa"/>
                  <w:vMerge w:val="continue"/>
                  <w:tcBorders>
                    <w:tl2br w:val="nil"/>
                    <w:tr2bl w:val="nil"/>
                  </w:tcBorders>
                  <w:noWrap w:val="0"/>
                  <w:vAlign w:val="center"/>
                </w:tcPr>
                <w:p w14:paraId="7F9F91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p>
              </w:tc>
            </w:tr>
            <w:tr w14:paraId="2A575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tcBorders>
                    <w:tl2br w:val="nil"/>
                    <w:tr2bl w:val="nil"/>
                  </w:tcBorders>
                  <w:noWrap w:val="0"/>
                  <w:vAlign w:val="center"/>
                </w:tcPr>
                <w:p w14:paraId="63BD3F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c>
                <w:tcPr>
                  <w:tcW w:w="1478" w:type="dxa"/>
                  <w:tcBorders>
                    <w:tl2br w:val="nil"/>
                    <w:tr2bl w:val="nil"/>
                  </w:tcBorders>
                  <w:noWrap w:val="0"/>
                  <w:vAlign w:val="center"/>
                </w:tcPr>
                <w:p w14:paraId="18F13C6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 xml:space="preserve">1#主变 </w:t>
                  </w:r>
                </w:p>
              </w:tc>
              <w:tc>
                <w:tcPr>
                  <w:tcW w:w="814" w:type="dxa"/>
                  <w:tcBorders>
                    <w:tl2br w:val="nil"/>
                    <w:tr2bl w:val="nil"/>
                  </w:tcBorders>
                  <w:noWrap w:val="0"/>
                  <w:vAlign w:val="center"/>
                </w:tcPr>
                <w:p w14:paraId="505FBBF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cs="Times New Roman"/>
                      <w:b w:val="0"/>
                      <w:bCs w:val="0"/>
                      <w:color w:val="auto"/>
                      <w:sz w:val="21"/>
                      <w:szCs w:val="21"/>
                      <w:highlight w:val="none"/>
                      <w:vertAlign w:val="baseline"/>
                      <w:lang w:val="en-US" w:eastAsia="zh-CN"/>
                    </w:rPr>
                    <w:t>64.3</w:t>
                  </w:r>
                </w:p>
              </w:tc>
              <w:tc>
                <w:tcPr>
                  <w:tcW w:w="870" w:type="dxa"/>
                  <w:tcBorders>
                    <w:tl2br w:val="nil"/>
                    <w:tr2bl w:val="nil"/>
                  </w:tcBorders>
                  <w:noWrap w:val="0"/>
                  <w:vAlign w:val="center"/>
                </w:tcPr>
                <w:p w14:paraId="2ED298F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cs="Times New Roman"/>
                      <w:b w:val="0"/>
                      <w:bCs w:val="0"/>
                      <w:color w:val="auto"/>
                      <w:sz w:val="21"/>
                      <w:szCs w:val="21"/>
                      <w:highlight w:val="none"/>
                      <w:vertAlign w:val="baseline"/>
                      <w:lang w:val="en-US" w:eastAsia="zh-CN"/>
                    </w:rPr>
                    <w:t>32.6</w:t>
                  </w:r>
                </w:p>
              </w:tc>
              <w:tc>
                <w:tcPr>
                  <w:tcW w:w="1000" w:type="dxa"/>
                  <w:tcBorders>
                    <w:tl2br w:val="nil"/>
                    <w:tr2bl w:val="nil"/>
                  </w:tcBorders>
                  <w:noWrap w:val="0"/>
                  <w:vAlign w:val="center"/>
                </w:tcPr>
                <w:p w14:paraId="6CC682C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eastAsia="宋体" w:cs="Times New Roman"/>
                      <w:b w:val="0"/>
                      <w:bCs w:val="0"/>
                      <w:color w:val="auto"/>
                      <w:sz w:val="21"/>
                      <w:szCs w:val="21"/>
                      <w:highlight w:val="none"/>
                      <w:vertAlign w:val="baseline"/>
                      <w:lang w:val="en-US" w:eastAsia="zh-CN"/>
                    </w:rPr>
                    <w:t>1.75</w:t>
                  </w:r>
                </w:p>
              </w:tc>
              <w:tc>
                <w:tcPr>
                  <w:tcW w:w="1674" w:type="dxa"/>
                  <w:tcBorders>
                    <w:tl2br w:val="nil"/>
                    <w:tr2bl w:val="nil"/>
                  </w:tcBorders>
                  <w:noWrap w:val="0"/>
                  <w:vAlign w:val="center"/>
                </w:tcPr>
                <w:p w14:paraId="49F36CD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rPr>
                  </w:pPr>
                  <w:r>
                    <w:rPr>
                      <w:rFonts w:hint="eastAsia" w:eastAsia="宋体" w:cs="Times New Roman"/>
                      <w:color w:val="auto"/>
                      <w:sz w:val="21"/>
                      <w:szCs w:val="21"/>
                      <w:highlight w:val="none"/>
                      <w:lang w:val="en-US" w:eastAsia="zh-CN"/>
                    </w:rPr>
                    <w:t>63.7</w:t>
                  </w:r>
                  <w:r>
                    <w:rPr>
                      <w:rFonts w:hint="default" w:ascii="Times New Roman" w:hAnsi="Times New Roman" w:eastAsia="Arial" w:cs="Times New Roman"/>
                      <w:color w:val="auto"/>
                      <w:sz w:val="21"/>
                      <w:szCs w:val="21"/>
                      <w:highlight w:val="none"/>
                    </w:rPr>
                    <w:t>/1</w:t>
                  </w:r>
                </w:p>
              </w:tc>
              <w:tc>
                <w:tcPr>
                  <w:tcW w:w="1044" w:type="dxa"/>
                  <w:vMerge w:val="restart"/>
                  <w:tcBorders>
                    <w:tl2br w:val="nil"/>
                    <w:tr2bl w:val="nil"/>
                  </w:tcBorders>
                  <w:noWrap w:val="0"/>
                  <w:vAlign w:val="center"/>
                </w:tcPr>
                <w:p w14:paraId="692BAA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低噪声设备</w:t>
                  </w:r>
                </w:p>
              </w:tc>
              <w:tc>
                <w:tcPr>
                  <w:tcW w:w="812" w:type="dxa"/>
                  <w:vMerge w:val="restart"/>
                  <w:tcBorders>
                    <w:tl2br w:val="nil"/>
                    <w:tr2bl w:val="nil"/>
                  </w:tcBorders>
                  <w:noWrap w:val="0"/>
                  <w:vAlign w:val="center"/>
                </w:tcPr>
                <w:p w14:paraId="05AD74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r>
                    <w:rPr>
                      <w:rFonts w:hint="default" w:ascii="Times New Roman" w:hAnsi="Times New Roman" w:cs="Times New Roman"/>
                      <w:b w:val="0"/>
                      <w:bCs w:val="0"/>
                      <w:color w:val="auto"/>
                      <w:sz w:val="21"/>
                      <w:szCs w:val="21"/>
                      <w:highlight w:val="none"/>
                      <w:vertAlign w:val="baseline"/>
                      <w:lang w:val="en-US" w:eastAsia="zh-CN"/>
                    </w:rPr>
                    <w:t>连续运行</w:t>
                  </w:r>
                </w:p>
              </w:tc>
            </w:tr>
            <w:tr w14:paraId="5E73C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tcBorders>
                    <w:tl2br w:val="nil"/>
                    <w:tr2bl w:val="nil"/>
                  </w:tcBorders>
                  <w:noWrap w:val="0"/>
                  <w:vAlign w:val="center"/>
                </w:tcPr>
                <w:p w14:paraId="388FCF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2</w:t>
                  </w:r>
                </w:p>
              </w:tc>
              <w:tc>
                <w:tcPr>
                  <w:tcW w:w="1478" w:type="dxa"/>
                  <w:tcBorders>
                    <w:tl2br w:val="nil"/>
                    <w:tr2bl w:val="nil"/>
                  </w:tcBorders>
                  <w:noWrap w:val="0"/>
                  <w:vAlign w:val="center"/>
                </w:tcPr>
                <w:p w14:paraId="77E015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rPr>
                  </w:pPr>
                  <w:r>
                    <w:rPr>
                      <w:rFonts w:hint="eastAsia" w:eastAsia="宋体"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#主变 </w:t>
                  </w:r>
                </w:p>
              </w:tc>
              <w:tc>
                <w:tcPr>
                  <w:tcW w:w="814" w:type="dxa"/>
                  <w:tcBorders>
                    <w:tl2br w:val="nil"/>
                    <w:tr2bl w:val="nil"/>
                  </w:tcBorders>
                  <w:noWrap w:val="0"/>
                  <w:vAlign w:val="center"/>
                </w:tcPr>
                <w:p w14:paraId="128F035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cs="Times New Roman"/>
                      <w:b w:val="0"/>
                      <w:bCs w:val="0"/>
                      <w:color w:val="auto"/>
                      <w:sz w:val="21"/>
                      <w:szCs w:val="21"/>
                      <w:highlight w:val="none"/>
                      <w:vertAlign w:val="baseline"/>
                      <w:lang w:val="en-US" w:eastAsia="zh-CN"/>
                    </w:rPr>
                    <w:t>47.4</w:t>
                  </w:r>
                </w:p>
              </w:tc>
              <w:tc>
                <w:tcPr>
                  <w:tcW w:w="870" w:type="dxa"/>
                  <w:tcBorders>
                    <w:tl2br w:val="nil"/>
                    <w:tr2bl w:val="nil"/>
                  </w:tcBorders>
                  <w:noWrap w:val="0"/>
                  <w:vAlign w:val="center"/>
                </w:tcPr>
                <w:p w14:paraId="6AE1007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cs="Times New Roman"/>
                      <w:b w:val="0"/>
                      <w:bCs w:val="0"/>
                      <w:color w:val="auto"/>
                      <w:sz w:val="21"/>
                      <w:szCs w:val="21"/>
                      <w:highlight w:val="none"/>
                      <w:vertAlign w:val="baseline"/>
                      <w:lang w:val="en-US" w:eastAsia="zh-CN"/>
                    </w:rPr>
                    <w:t>32.6</w:t>
                  </w:r>
                </w:p>
              </w:tc>
              <w:tc>
                <w:tcPr>
                  <w:tcW w:w="1000" w:type="dxa"/>
                  <w:tcBorders>
                    <w:tl2br w:val="nil"/>
                    <w:tr2bl w:val="nil"/>
                  </w:tcBorders>
                  <w:noWrap w:val="0"/>
                  <w:vAlign w:val="center"/>
                </w:tcPr>
                <w:p w14:paraId="353BDEA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eastAsia" w:eastAsia="宋体" w:cs="Times New Roman"/>
                      <w:b w:val="0"/>
                      <w:bCs w:val="0"/>
                      <w:color w:val="auto"/>
                      <w:sz w:val="21"/>
                      <w:szCs w:val="21"/>
                      <w:highlight w:val="none"/>
                      <w:vertAlign w:val="baseline"/>
                      <w:lang w:val="en-US" w:eastAsia="zh-CN"/>
                    </w:rPr>
                    <w:t>1.75</w:t>
                  </w:r>
                </w:p>
              </w:tc>
              <w:tc>
                <w:tcPr>
                  <w:tcW w:w="1674" w:type="dxa"/>
                  <w:tcBorders>
                    <w:tl2br w:val="nil"/>
                    <w:tr2bl w:val="nil"/>
                  </w:tcBorders>
                  <w:noWrap w:val="0"/>
                  <w:vAlign w:val="center"/>
                </w:tcPr>
                <w:p w14:paraId="727F212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rPr>
                  </w:pPr>
                  <w:r>
                    <w:rPr>
                      <w:rFonts w:hint="eastAsia" w:eastAsia="宋体" w:cs="Times New Roman"/>
                      <w:color w:val="auto"/>
                      <w:sz w:val="21"/>
                      <w:szCs w:val="21"/>
                      <w:highlight w:val="none"/>
                      <w:lang w:val="en-US" w:eastAsia="zh-CN"/>
                    </w:rPr>
                    <w:t>63.7</w:t>
                  </w:r>
                  <w:r>
                    <w:rPr>
                      <w:rFonts w:hint="default" w:ascii="Times New Roman" w:hAnsi="Times New Roman" w:eastAsia="Arial" w:cs="Times New Roman"/>
                      <w:color w:val="auto"/>
                      <w:sz w:val="21"/>
                      <w:szCs w:val="21"/>
                      <w:highlight w:val="none"/>
                    </w:rPr>
                    <w:t>/1</w:t>
                  </w:r>
                </w:p>
              </w:tc>
              <w:tc>
                <w:tcPr>
                  <w:tcW w:w="1044" w:type="dxa"/>
                  <w:vMerge w:val="continue"/>
                  <w:tcBorders>
                    <w:tl2br w:val="nil"/>
                    <w:tr2bl w:val="nil"/>
                  </w:tcBorders>
                  <w:noWrap w:val="0"/>
                  <w:vAlign w:val="center"/>
                </w:tcPr>
                <w:p w14:paraId="4A7D53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812" w:type="dxa"/>
                  <w:vMerge w:val="continue"/>
                  <w:tcBorders>
                    <w:tl2br w:val="nil"/>
                    <w:tr2bl w:val="nil"/>
                  </w:tcBorders>
                  <w:noWrap w:val="0"/>
                  <w:vAlign w:val="center"/>
                </w:tcPr>
                <w:p w14:paraId="7EC8B3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7B106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tcBorders>
                    <w:tl2br w:val="nil"/>
                    <w:tr2bl w:val="nil"/>
                  </w:tcBorders>
                  <w:noWrap w:val="0"/>
                  <w:vAlign w:val="center"/>
                </w:tcPr>
                <w:p w14:paraId="4998A6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3</w:t>
                  </w:r>
                </w:p>
              </w:tc>
              <w:tc>
                <w:tcPr>
                  <w:tcW w:w="1478" w:type="dxa"/>
                  <w:tcBorders>
                    <w:tl2br w:val="nil"/>
                    <w:tr2bl w:val="nil"/>
                  </w:tcBorders>
                  <w:shd w:val="clear" w:color="auto" w:fill="auto"/>
                  <w:noWrap w:val="0"/>
                  <w:vAlign w:val="center"/>
                </w:tcPr>
                <w:p w14:paraId="1A47783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站用变压器1</w:t>
                  </w:r>
                </w:p>
              </w:tc>
              <w:tc>
                <w:tcPr>
                  <w:tcW w:w="814" w:type="dxa"/>
                  <w:tcBorders>
                    <w:tl2br w:val="nil"/>
                    <w:tr2bl w:val="nil"/>
                  </w:tcBorders>
                  <w:shd w:val="clear" w:color="auto" w:fill="auto"/>
                  <w:noWrap w:val="0"/>
                  <w:vAlign w:val="center"/>
                </w:tcPr>
                <w:p w14:paraId="4337A72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74.5</w:t>
                  </w:r>
                </w:p>
              </w:tc>
              <w:tc>
                <w:tcPr>
                  <w:tcW w:w="870" w:type="dxa"/>
                  <w:tcBorders>
                    <w:tl2br w:val="nil"/>
                    <w:tr2bl w:val="nil"/>
                  </w:tcBorders>
                  <w:shd w:val="clear" w:color="auto" w:fill="auto"/>
                  <w:noWrap w:val="0"/>
                  <w:vAlign w:val="center"/>
                </w:tcPr>
                <w:p w14:paraId="20903ED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19.7</w:t>
                  </w:r>
                </w:p>
              </w:tc>
              <w:tc>
                <w:tcPr>
                  <w:tcW w:w="1000" w:type="dxa"/>
                  <w:tcBorders>
                    <w:tl2br w:val="nil"/>
                    <w:tr2bl w:val="nil"/>
                  </w:tcBorders>
                  <w:shd w:val="clear" w:color="auto" w:fill="auto"/>
                  <w:noWrap w:val="0"/>
                  <w:vAlign w:val="center"/>
                </w:tcPr>
                <w:p w14:paraId="2BEC25C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b w:val="0"/>
                      <w:bCs w:val="0"/>
                      <w:color w:val="auto"/>
                      <w:sz w:val="21"/>
                      <w:szCs w:val="21"/>
                      <w:highlight w:val="none"/>
                      <w:vertAlign w:val="baseline"/>
                      <w:lang w:val="en-US" w:eastAsia="zh-CN"/>
                    </w:rPr>
                    <w:t>1.2</w:t>
                  </w:r>
                </w:p>
              </w:tc>
              <w:tc>
                <w:tcPr>
                  <w:tcW w:w="1674" w:type="dxa"/>
                  <w:tcBorders>
                    <w:tl2br w:val="nil"/>
                    <w:tr2bl w:val="nil"/>
                  </w:tcBorders>
                  <w:noWrap w:val="0"/>
                  <w:vAlign w:val="center"/>
                </w:tcPr>
                <w:p w14:paraId="6543667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rPr>
                  </w:pPr>
                  <w:r>
                    <w:rPr>
                      <w:rFonts w:hint="eastAsia" w:cs="Times New Roman"/>
                      <w:color w:val="auto"/>
                      <w:sz w:val="21"/>
                      <w:szCs w:val="21"/>
                      <w:highlight w:val="none"/>
                      <w:lang w:val="en-US" w:eastAsia="zh-CN"/>
                    </w:rPr>
                    <w:t>60</w:t>
                  </w:r>
                  <w:r>
                    <w:rPr>
                      <w:rFonts w:hint="default" w:ascii="Times New Roman" w:hAnsi="Times New Roman" w:eastAsia="Arial" w:cs="Times New Roman"/>
                      <w:color w:val="auto"/>
                      <w:sz w:val="21"/>
                      <w:szCs w:val="21"/>
                      <w:highlight w:val="none"/>
                    </w:rPr>
                    <w:t>/1</w:t>
                  </w:r>
                </w:p>
              </w:tc>
              <w:tc>
                <w:tcPr>
                  <w:tcW w:w="1044" w:type="dxa"/>
                  <w:vMerge w:val="continue"/>
                  <w:tcBorders>
                    <w:tl2br w:val="nil"/>
                    <w:tr2bl w:val="nil"/>
                  </w:tcBorders>
                  <w:noWrap w:val="0"/>
                  <w:vAlign w:val="center"/>
                </w:tcPr>
                <w:p w14:paraId="56D6214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c>
                <w:tcPr>
                  <w:tcW w:w="812" w:type="dxa"/>
                  <w:vMerge w:val="continue"/>
                  <w:tcBorders>
                    <w:tl2br w:val="nil"/>
                    <w:tr2bl w:val="nil"/>
                  </w:tcBorders>
                  <w:noWrap w:val="0"/>
                  <w:vAlign w:val="center"/>
                </w:tcPr>
                <w:p w14:paraId="38E64E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r w14:paraId="16A78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61" w:type="dxa"/>
                  <w:tcBorders>
                    <w:tl2br w:val="nil"/>
                    <w:tr2bl w:val="nil"/>
                  </w:tcBorders>
                  <w:noWrap w:val="0"/>
                  <w:vAlign w:val="center"/>
                </w:tcPr>
                <w:p w14:paraId="29FFC7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4</w:t>
                  </w:r>
                </w:p>
              </w:tc>
              <w:tc>
                <w:tcPr>
                  <w:tcW w:w="1478" w:type="dxa"/>
                  <w:tcBorders>
                    <w:tl2br w:val="nil"/>
                    <w:tr2bl w:val="nil"/>
                  </w:tcBorders>
                  <w:shd w:val="clear" w:color="auto" w:fill="auto"/>
                  <w:noWrap w:val="0"/>
                  <w:vAlign w:val="center"/>
                </w:tcPr>
                <w:p w14:paraId="07769EC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vertAlign w:val="baseline"/>
                      <w:lang w:val="en-US" w:eastAsia="zh-CN"/>
                    </w:rPr>
                    <w:t>站用变压器2</w:t>
                  </w:r>
                </w:p>
              </w:tc>
              <w:tc>
                <w:tcPr>
                  <w:tcW w:w="814" w:type="dxa"/>
                  <w:tcBorders>
                    <w:tl2br w:val="nil"/>
                    <w:tr2bl w:val="nil"/>
                  </w:tcBorders>
                  <w:shd w:val="clear" w:color="auto" w:fill="auto"/>
                  <w:noWrap w:val="0"/>
                  <w:vAlign w:val="center"/>
                </w:tcPr>
                <w:p w14:paraId="7C7833F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74.5</w:t>
                  </w:r>
                </w:p>
              </w:tc>
              <w:tc>
                <w:tcPr>
                  <w:tcW w:w="870" w:type="dxa"/>
                  <w:tcBorders>
                    <w:tl2br w:val="nil"/>
                    <w:tr2bl w:val="nil"/>
                  </w:tcBorders>
                  <w:shd w:val="clear" w:color="auto" w:fill="auto"/>
                  <w:noWrap w:val="0"/>
                  <w:vAlign w:val="center"/>
                </w:tcPr>
                <w:p w14:paraId="074B41F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23</w:t>
                  </w:r>
                  <w:r>
                    <w:rPr>
                      <w:rFonts w:hint="eastAsia" w:eastAsia="宋体" w:cs="Times New Roman"/>
                      <w:b w:val="0"/>
                      <w:bCs w:val="0"/>
                      <w:color w:val="auto"/>
                      <w:sz w:val="21"/>
                      <w:szCs w:val="21"/>
                      <w:highlight w:val="none"/>
                      <w:vertAlign w:val="baseline"/>
                      <w:lang w:val="en-US" w:eastAsia="zh-CN"/>
                    </w:rPr>
                    <w:t>.4</w:t>
                  </w:r>
                </w:p>
              </w:tc>
              <w:tc>
                <w:tcPr>
                  <w:tcW w:w="1000" w:type="dxa"/>
                  <w:tcBorders>
                    <w:tl2br w:val="nil"/>
                    <w:tr2bl w:val="nil"/>
                  </w:tcBorders>
                  <w:shd w:val="clear" w:color="auto" w:fill="auto"/>
                  <w:noWrap w:val="0"/>
                  <w:vAlign w:val="center"/>
                </w:tcPr>
                <w:p w14:paraId="681193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b w:val="0"/>
                      <w:bCs w:val="0"/>
                      <w:color w:val="auto"/>
                      <w:sz w:val="21"/>
                      <w:szCs w:val="21"/>
                      <w:highlight w:val="none"/>
                      <w:vertAlign w:val="baseline"/>
                      <w:lang w:val="en-US" w:eastAsia="zh-CN"/>
                    </w:rPr>
                    <w:t>1.2</w:t>
                  </w:r>
                </w:p>
              </w:tc>
              <w:tc>
                <w:tcPr>
                  <w:tcW w:w="1674" w:type="dxa"/>
                  <w:tcBorders>
                    <w:tl2br w:val="nil"/>
                    <w:tr2bl w:val="nil"/>
                  </w:tcBorders>
                  <w:noWrap w:val="0"/>
                  <w:vAlign w:val="center"/>
                </w:tcPr>
                <w:p w14:paraId="6441F91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rPr>
                  </w:pPr>
                  <w:r>
                    <w:rPr>
                      <w:rFonts w:hint="eastAsia" w:cs="Times New Roman"/>
                      <w:color w:val="auto"/>
                      <w:sz w:val="21"/>
                      <w:szCs w:val="21"/>
                      <w:highlight w:val="none"/>
                      <w:lang w:val="en-US" w:eastAsia="zh-CN"/>
                    </w:rPr>
                    <w:t>60</w:t>
                  </w:r>
                  <w:r>
                    <w:rPr>
                      <w:rFonts w:hint="default" w:ascii="Times New Roman" w:hAnsi="Times New Roman" w:eastAsia="Arial" w:cs="Times New Roman"/>
                      <w:color w:val="auto"/>
                      <w:sz w:val="21"/>
                      <w:szCs w:val="21"/>
                      <w:highlight w:val="none"/>
                    </w:rPr>
                    <w:t>/1</w:t>
                  </w:r>
                </w:p>
              </w:tc>
              <w:tc>
                <w:tcPr>
                  <w:tcW w:w="1044" w:type="dxa"/>
                  <w:vMerge w:val="continue"/>
                  <w:tcBorders>
                    <w:tl2br w:val="nil"/>
                    <w:tr2bl w:val="nil"/>
                  </w:tcBorders>
                  <w:noWrap w:val="0"/>
                  <w:vAlign w:val="center"/>
                </w:tcPr>
                <w:p w14:paraId="553AD0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12" w:type="dxa"/>
                  <w:vMerge w:val="continue"/>
                  <w:tcBorders>
                    <w:tl2br w:val="nil"/>
                    <w:tr2bl w:val="nil"/>
                  </w:tcBorders>
                  <w:noWrap w:val="0"/>
                  <w:vAlign w:val="center"/>
                </w:tcPr>
                <w:p w14:paraId="58B934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rPr>
                  </w:pPr>
                </w:p>
              </w:tc>
            </w:tr>
          </w:tbl>
          <w:p w14:paraId="6F15374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b/>
                <w:bCs w:val="0"/>
                <w:color w:val="auto"/>
                <w:sz w:val="21"/>
                <w:szCs w:val="21"/>
                <w:highlight w:val="none"/>
                <w:lang w:val="en-US" w:eastAsia="zh-CN"/>
              </w:rPr>
              <w:t>注：</w:t>
            </w:r>
            <w:r>
              <w:rPr>
                <w:rFonts w:hint="default" w:ascii="Times New Roman" w:hAnsi="Times New Roman" w:cs="Times New Roman"/>
                <w:b w:val="0"/>
                <w:bCs/>
                <w:color w:val="auto"/>
                <w:sz w:val="21"/>
                <w:szCs w:val="21"/>
                <w:highlight w:val="none"/>
                <w:lang w:val="en-US" w:eastAsia="zh-CN"/>
              </w:rPr>
              <w:t>空间相对位置：</w:t>
            </w:r>
            <w:r>
              <w:rPr>
                <w:rFonts w:hint="eastAsia" w:ascii="Times New Roman" w:hAnsi="Times New Roman" w:cs="Times New Roman"/>
                <w:b w:val="0"/>
                <w:bCs/>
                <w:color w:val="auto"/>
                <w:sz w:val="21"/>
                <w:szCs w:val="21"/>
                <w:highlight w:val="none"/>
                <w:lang w:val="en-US" w:eastAsia="zh-CN"/>
              </w:rPr>
              <w:t>①</w:t>
            </w:r>
            <w:r>
              <w:rPr>
                <w:rFonts w:hint="default" w:ascii="Times New Roman" w:hAnsi="Times New Roman" w:cs="Times New Roman"/>
                <w:b w:val="0"/>
                <w:bCs/>
                <w:color w:val="auto"/>
                <w:sz w:val="21"/>
                <w:szCs w:val="21"/>
                <w:highlight w:val="none"/>
                <w:lang w:val="en-US" w:eastAsia="zh-CN"/>
              </w:rPr>
              <w:t>定义变电站围墙西南角为</w:t>
            </w:r>
            <w:r>
              <w:rPr>
                <w:rFonts w:hint="eastAsia" w:cs="Times New Roman"/>
                <w:b w:val="0"/>
                <w:bCs/>
                <w:color w:val="auto"/>
                <w:sz w:val="21"/>
                <w:szCs w:val="21"/>
                <w:highlight w:val="none"/>
                <w:lang w:val="en-US" w:eastAsia="zh-CN"/>
              </w:rPr>
              <w:t>坐标原点</w:t>
            </w:r>
            <w:r>
              <w:rPr>
                <w:rFonts w:hint="default" w:ascii="Times New Roman" w:hAnsi="Times New Roman" w:cs="Times New Roman"/>
                <w:b w:val="0"/>
                <w:bCs/>
                <w:color w:val="auto"/>
                <w:sz w:val="21"/>
                <w:szCs w:val="21"/>
                <w:highlight w:val="none"/>
                <w:lang w:val="en-US" w:eastAsia="zh-CN"/>
              </w:rPr>
              <w:t>，以南侧围墙方向为X轴正方向，以西侧围墙方向为Y轴正方向，以垂直水平方向为Z轴。②噪声源空间相对位置：以声源中心位置为声源空间相对位置坐标，Z为声源中心相对地面高度。</w:t>
            </w:r>
            <w:r>
              <w:rPr>
                <w:rFonts w:hint="default" w:ascii="Times New Roman" w:hAnsi="Times New Roman" w:cs="Times New Roman"/>
                <w:b/>
                <w:bCs w:val="0"/>
                <w:color w:val="auto"/>
                <w:sz w:val="21"/>
                <w:szCs w:val="21"/>
                <w:highlight w:val="none"/>
                <w:lang w:val="en-US" w:eastAsia="zh-CN"/>
              </w:rPr>
              <w:tab/>
            </w:r>
          </w:p>
          <w:p w14:paraId="2A18BEC4">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5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预测与评价内容 </w:t>
            </w:r>
          </w:p>
          <w:p w14:paraId="142CDF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厂界噪声预测：绘制噪声等值线分布图，给出厂界噪声达标情况。 </w:t>
            </w:r>
          </w:p>
          <w:p w14:paraId="50E011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6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预测时段 </w:t>
            </w:r>
          </w:p>
          <w:p w14:paraId="2C0B40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lang w:val="en-US" w:eastAsia="zh-CN" w:bidi="ar"/>
              </w:rPr>
              <w:t>变电站</w:t>
            </w:r>
            <w:r>
              <w:rPr>
                <w:rFonts w:hint="default" w:ascii="Times New Roman" w:hAnsi="Times New Roman" w:eastAsia="宋体" w:cs="Times New Roman"/>
                <w:color w:val="auto"/>
                <w:kern w:val="0"/>
                <w:sz w:val="24"/>
                <w:szCs w:val="24"/>
                <w:highlight w:val="none"/>
                <w:lang w:val="en-US" w:eastAsia="zh-CN" w:bidi="ar"/>
              </w:rPr>
              <w:t xml:space="preserve">为24h连续运行，噪声源稳定，昼、夜间对周围环境的贡献值基本一致。 </w:t>
            </w:r>
          </w:p>
          <w:p w14:paraId="463B8A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7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预测点位及高度 </w:t>
            </w:r>
          </w:p>
          <w:p w14:paraId="181714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根据《工业企业厂界环境噪声排放标准》（GB12348-2008）的规定，</w:t>
            </w:r>
            <w:r>
              <w:rPr>
                <w:rFonts w:hint="default" w:ascii="Times New Roman" w:hAnsi="Times New Roman" w:cs="Times New Roman"/>
                <w:color w:val="auto"/>
                <w:kern w:val="0"/>
                <w:sz w:val="24"/>
                <w:szCs w:val="24"/>
                <w:highlight w:val="none"/>
                <w:lang w:val="en-US" w:eastAsia="zh-CN" w:bidi="ar"/>
              </w:rPr>
              <w:t>变电站</w:t>
            </w:r>
            <w:r>
              <w:rPr>
                <w:rFonts w:hint="default" w:ascii="Times New Roman" w:hAnsi="Times New Roman" w:eastAsia="宋体" w:cs="Times New Roman"/>
                <w:color w:val="auto"/>
                <w:kern w:val="0"/>
                <w:sz w:val="24"/>
                <w:szCs w:val="24"/>
                <w:highlight w:val="none"/>
                <w:lang w:val="en-US" w:eastAsia="zh-CN" w:bidi="ar"/>
              </w:rPr>
              <w:t>厂界噪声选取围墙外1m 处、地面之上1.</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m</w:t>
            </w:r>
            <w:r>
              <w:rPr>
                <w:rFonts w:hint="eastAsia" w:cs="Times New Roman"/>
                <w:color w:val="auto"/>
                <w:kern w:val="0"/>
                <w:sz w:val="24"/>
                <w:szCs w:val="24"/>
                <w:highlight w:val="none"/>
                <w:lang w:val="en-US" w:eastAsia="zh-CN" w:bidi="ar"/>
              </w:rPr>
              <w:t>以上</w:t>
            </w:r>
            <w:r>
              <w:rPr>
                <w:rFonts w:hint="default" w:ascii="Times New Roman" w:hAnsi="Times New Roman" w:eastAsia="宋体" w:cs="Times New Roman"/>
                <w:color w:val="auto"/>
                <w:kern w:val="0"/>
                <w:sz w:val="24"/>
                <w:szCs w:val="24"/>
                <w:highlight w:val="none"/>
                <w:lang w:val="en-US" w:eastAsia="zh-CN" w:bidi="ar"/>
              </w:rPr>
              <w:t xml:space="preserve">高度处进行预测。 </w:t>
            </w:r>
          </w:p>
          <w:p w14:paraId="51C192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8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cs="Times New Roman"/>
                <w:color w:val="auto"/>
                <w:sz w:val="24"/>
                <w:szCs w:val="24"/>
                <w:highlight w:val="none"/>
              </w:rPr>
              <w:t>⑧</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b w:val="0"/>
                <w:bCs w:val="0"/>
                <w:color w:val="auto"/>
                <w:sz w:val="24"/>
                <w:szCs w:val="24"/>
                <w:highlight w:val="none"/>
                <w:lang w:val="en-US" w:eastAsia="zh-CN"/>
              </w:rPr>
              <w:t>预测结果</w:t>
            </w:r>
          </w:p>
          <w:p w14:paraId="51025524">
            <w:pPr>
              <w:pStyle w:val="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本期</w:t>
            </w:r>
            <w:r>
              <w:rPr>
                <w:rFonts w:hint="default" w:ascii="Times New Roman" w:hAnsi="Times New Roman" w:cs="Times New Roman"/>
                <w:color w:val="auto"/>
                <w:sz w:val="24"/>
                <w:szCs w:val="24"/>
                <w:highlight w:val="none"/>
                <w:lang w:val="en-US" w:eastAsia="zh-CN"/>
              </w:rPr>
              <w:t>变电站</w:t>
            </w:r>
            <w:r>
              <w:rPr>
                <w:rFonts w:hint="eastAsia" w:cs="Times New Roman"/>
                <w:color w:val="auto"/>
                <w:sz w:val="24"/>
                <w:szCs w:val="24"/>
                <w:highlight w:val="none"/>
                <w:lang w:val="en-US" w:eastAsia="zh-CN"/>
              </w:rPr>
              <w:t>投运后</w:t>
            </w:r>
            <w:r>
              <w:rPr>
                <w:rFonts w:hint="default" w:ascii="Times New Roman" w:hAnsi="Times New Roman" w:cs="Times New Roman"/>
                <w:color w:val="auto"/>
                <w:sz w:val="24"/>
                <w:szCs w:val="24"/>
                <w:highlight w:val="none"/>
                <w:lang w:val="en-US" w:eastAsia="zh-CN"/>
              </w:rPr>
              <w:t>产生的噪声预测结果见表</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7，噪声贡献值等声级线分布见图4-1</w:t>
            </w:r>
            <w:r>
              <w:rPr>
                <w:rFonts w:hint="default" w:ascii="Times New Roman" w:hAnsi="Times New Roman" w:cs="Times New Roman"/>
                <w:color w:val="auto"/>
                <w:sz w:val="24"/>
                <w:szCs w:val="24"/>
                <w:highlight w:val="none"/>
                <w:lang w:val="en-US" w:eastAsia="zh-CN"/>
              </w:rPr>
              <w:t>。</w:t>
            </w:r>
          </w:p>
          <w:p w14:paraId="2615A443">
            <w:pPr>
              <w:pStyle w:val="46"/>
              <w:spacing w:line="360" w:lineRule="auto"/>
              <w:ind w:firstLine="0"/>
              <w:jc w:val="right"/>
              <w:rPr>
                <w:color w:val="auto"/>
                <w:sz w:val="24"/>
                <w:szCs w:val="24"/>
                <w:highlight w:val="none"/>
              </w:rPr>
            </w:pPr>
            <w:r>
              <w:rPr>
                <w:rFonts w:hint="eastAsia" w:ascii="Times New Roman" w:hAnsi="Times New Roman" w:eastAsia="黑体" w:cs="Times New Roman"/>
                <w:b/>
                <w:bCs/>
                <w:color w:val="auto"/>
                <w:sz w:val="24"/>
                <w:szCs w:val="24"/>
                <w:highlight w:val="none"/>
                <w:lang w:val="en-US" w:eastAsia="zh-CN"/>
              </w:rPr>
              <w:t xml:space="preserve"> </w:t>
            </w:r>
            <w:r>
              <w:rPr>
                <w:rFonts w:eastAsia="黑体"/>
                <w:b/>
                <w:bCs/>
                <w:color w:val="auto"/>
                <w:sz w:val="24"/>
                <w:highlight w:val="none"/>
              </w:rPr>
              <w:t>表4-</w:t>
            </w:r>
            <w:r>
              <w:rPr>
                <w:rFonts w:hint="eastAsia" w:eastAsia="黑体"/>
                <w:b/>
                <w:bCs/>
                <w:color w:val="auto"/>
                <w:sz w:val="24"/>
                <w:highlight w:val="none"/>
                <w:lang w:val="en-US" w:eastAsia="zh-CN"/>
              </w:rPr>
              <w:t>7</w:t>
            </w:r>
            <w:r>
              <w:rPr>
                <w:rFonts w:eastAsia="黑体"/>
                <w:b/>
                <w:bCs/>
                <w:color w:val="auto"/>
                <w:sz w:val="24"/>
                <w:highlight w:val="none"/>
              </w:rPr>
              <w:t xml:space="preserve">  本期变电站投运后噪声预测</w:t>
            </w:r>
            <w:r>
              <w:rPr>
                <w:rFonts w:hint="eastAsia" w:eastAsia="黑体"/>
                <w:b/>
                <w:bCs/>
                <w:color w:val="auto"/>
                <w:sz w:val="24"/>
                <w:highlight w:val="none"/>
                <w:lang w:eastAsia="zh-CN"/>
              </w:rPr>
              <w:t>结果</w:t>
            </w:r>
            <w:r>
              <w:rPr>
                <w:rFonts w:hint="eastAsia" w:eastAsia="黑体"/>
                <w:b/>
                <w:bCs/>
                <w:color w:val="auto"/>
                <w:sz w:val="24"/>
                <w:highlight w:val="none"/>
                <w:lang w:val="en-US" w:eastAsia="zh-CN"/>
              </w:rPr>
              <w:t xml:space="preserve">  </w:t>
            </w:r>
            <w:r>
              <w:rPr>
                <w:rFonts w:eastAsia="黑体"/>
                <w:b/>
                <w:bCs/>
                <w:color w:val="auto"/>
                <w:sz w:val="24"/>
                <w:highlight w:val="none"/>
              </w:rPr>
              <w:t xml:space="preserve"> </w:t>
            </w:r>
            <w:r>
              <w:rPr>
                <w:rFonts w:hint="eastAsia" w:eastAsia="黑体"/>
                <w:b/>
                <w:bCs/>
                <w:color w:val="auto"/>
                <w:sz w:val="24"/>
                <w:highlight w:val="none"/>
                <w:lang w:val="en-US" w:eastAsia="zh-CN"/>
              </w:rPr>
              <w:t xml:space="preserve">  </w:t>
            </w:r>
            <w:r>
              <w:rPr>
                <w:color w:val="auto"/>
                <w:sz w:val="24"/>
                <w:highlight w:val="none"/>
              </w:rPr>
              <w:t xml:space="preserve">  </w:t>
            </w:r>
            <w:r>
              <w:rPr>
                <w:rFonts w:eastAsia="黑体"/>
                <w:color w:val="auto"/>
                <w:sz w:val="24"/>
                <w:highlight w:val="none"/>
              </w:rPr>
              <w:t>单位：dB(A)</w:t>
            </w:r>
          </w:p>
          <w:tbl>
            <w:tblPr>
              <w:tblStyle w:val="28"/>
              <w:tblW w:w="819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4"/>
              <w:gridCol w:w="1845"/>
              <w:gridCol w:w="887"/>
              <w:gridCol w:w="783"/>
              <w:gridCol w:w="767"/>
              <w:gridCol w:w="800"/>
              <w:gridCol w:w="850"/>
              <w:gridCol w:w="783"/>
              <w:gridCol w:w="760"/>
            </w:tblGrid>
            <w:tr w14:paraId="6A960B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724" w:type="dxa"/>
                  <w:vMerge w:val="restart"/>
                  <w:tcBorders>
                    <w:right w:val="single" w:color="auto" w:sz="4" w:space="0"/>
                  </w:tcBorders>
                  <w:noWrap w:val="0"/>
                  <w:vAlign w:val="center"/>
                </w:tcPr>
                <w:p w14:paraId="1CCE6B5F">
                  <w:pPr>
                    <w:spacing w:line="240" w:lineRule="atLeast"/>
                    <w:jc w:val="center"/>
                    <w:rPr>
                      <w:rFonts w:hint="eastAsia" w:eastAsia="宋体"/>
                      <w:b/>
                      <w:bCs/>
                      <w:color w:val="auto"/>
                      <w:szCs w:val="21"/>
                      <w:highlight w:val="none"/>
                      <w:lang w:val="en-US" w:eastAsia="zh-CN"/>
                    </w:rPr>
                  </w:pPr>
                  <w:r>
                    <w:rPr>
                      <w:rFonts w:hint="eastAsia"/>
                      <w:b/>
                      <w:bCs/>
                      <w:color w:val="auto"/>
                      <w:szCs w:val="21"/>
                      <w:highlight w:val="none"/>
                      <w:lang w:val="en-US" w:eastAsia="zh-CN"/>
                    </w:rPr>
                    <w:t>序号</w:t>
                  </w:r>
                </w:p>
              </w:tc>
              <w:tc>
                <w:tcPr>
                  <w:tcW w:w="1845" w:type="dxa"/>
                  <w:vMerge w:val="restart"/>
                  <w:tcBorders>
                    <w:left w:val="single" w:color="auto" w:sz="4" w:space="0"/>
                  </w:tcBorders>
                  <w:noWrap w:val="0"/>
                  <w:vAlign w:val="center"/>
                </w:tcPr>
                <w:p w14:paraId="767884B8">
                  <w:pPr>
                    <w:spacing w:line="240" w:lineRule="atLeast"/>
                    <w:jc w:val="center"/>
                    <w:rPr>
                      <w:b/>
                      <w:bCs/>
                      <w:color w:val="auto"/>
                      <w:szCs w:val="21"/>
                      <w:highlight w:val="none"/>
                    </w:rPr>
                  </w:pPr>
                  <w:r>
                    <w:rPr>
                      <w:b/>
                      <w:bCs/>
                      <w:color w:val="auto"/>
                      <w:szCs w:val="21"/>
                      <w:highlight w:val="none"/>
                    </w:rPr>
                    <w:t>预测位置</w:t>
                  </w:r>
                </w:p>
              </w:tc>
              <w:tc>
                <w:tcPr>
                  <w:tcW w:w="887" w:type="dxa"/>
                  <w:vMerge w:val="restart"/>
                  <w:tcBorders>
                    <w:right w:val="single" w:color="auto" w:sz="4" w:space="0"/>
                  </w:tcBorders>
                  <w:noWrap w:val="0"/>
                  <w:vAlign w:val="center"/>
                </w:tcPr>
                <w:p w14:paraId="6813EA8E">
                  <w:pPr>
                    <w:spacing w:line="240" w:lineRule="atLeast"/>
                    <w:jc w:val="center"/>
                    <w:rPr>
                      <w:b/>
                      <w:bCs/>
                      <w:color w:val="auto"/>
                      <w:szCs w:val="21"/>
                      <w:highlight w:val="none"/>
                    </w:rPr>
                  </w:pPr>
                  <w:r>
                    <w:rPr>
                      <w:rFonts w:hint="eastAsia"/>
                      <w:b/>
                      <w:bCs/>
                      <w:color w:val="auto"/>
                      <w:szCs w:val="21"/>
                      <w:highlight w:val="none"/>
                      <w:lang w:val="en-US" w:eastAsia="zh-CN"/>
                    </w:rPr>
                    <w:t>最大</w:t>
                  </w:r>
                  <w:r>
                    <w:rPr>
                      <w:b/>
                      <w:bCs/>
                      <w:color w:val="auto"/>
                      <w:szCs w:val="21"/>
                      <w:highlight w:val="none"/>
                    </w:rPr>
                    <w:t>贡献值</w:t>
                  </w:r>
                </w:p>
              </w:tc>
              <w:tc>
                <w:tcPr>
                  <w:tcW w:w="1550" w:type="dxa"/>
                  <w:gridSpan w:val="2"/>
                  <w:tcBorders>
                    <w:left w:val="single" w:color="auto" w:sz="4" w:space="0"/>
                    <w:bottom w:val="single" w:color="auto" w:sz="4" w:space="0"/>
                    <w:right w:val="single" w:color="auto" w:sz="4" w:space="0"/>
                  </w:tcBorders>
                  <w:noWrap w:val="0"/>
                  <w:vAlign w:val="center"/>
                </w:tcPr>
                <w:p w14:paraId="6F27FEC9">
                  <w:pPr>
                    <w:spacing w:line="240" w:lineRule="atLeast"/>
                    <w:jc w:val="center"/>
                    <w:rPr>
                      <w:b/>
                      <w:bCs/>
                      <w:color w:val="auto"/>
                      <w:kern w:val="2"/>
                      <w:sz w:val="21"/>
                      <w:szCs w:val="21"/>
                      <w:highlight w:val="none"/>
                      <w:lang w:val="en-US" w:eastAsia="zh-CN" w:bidi="ar-SA"/>
                    </w:rPr>
                  </w:pPr>
                  <w:r>
                    <w:rPr>
                      <w:rFonts w:hint="eastAsia"/>
                      <w:b/>
                      <w:bCs/>
                      <w:color w:val="auto"/>
                      <w:szCs w:val="21"/>
                      <w:highlight w:val="none"/>
                      <w:lang w:eastAsia="zh-CN"/>
                    </w:rPr>
                    <w:t>现状值</w:t>
                  </w:r>
                </w:p>
              </w:tc>
              <w:tc>
                <w:tcPr>
                  <w:tcW w:w="1650" w:type="dxa"/>
                  <w:gridSpan w:val="2"/>
                  <w:tcBorders>
                    <w:left w:val="single" w:color="auto" w:sz="4" w:space="0"/>
                    <w:bottom w:val="single" w:color="auto" w:sz="4" w:space="0"/>
                    <w:right w:val="single" w:color="auto" w:sz="4" w:space="0"/>
                  </w:tcBorders>
                  <w:noWrap w:val="0"/>
                  <w:vAlign w:val="center"/>
                </w:tcPr>
                <w:p w14:paraId="243E4D97">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预测值</w:t>
                  </w:r>
                </w:p>
              </w:tc>
              <w:tc>
                <w:tcPr>
                  <w:tcW w:w="1543" w:type="dxa"/>
                  <w:gridSpan w:val="2"/>
                  <w:tcBorders>
                    <w:left w:val="single" w:color="auto" w:sz="4" w:space="0"/>
                    <w:bottom w:val="single" w:color="auto" w:sz="4" w:space="0"/>
                  </w:tcBorders>
                  <w:noWrap w:val="0"/>
                  <w:vAlign w:val="center"/>
                </w:tcPr>
                <w:p w14:paraId="51C65CD6">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标准值</w:t>
                  </w:r>
                </w:p>
              </w:tc>
            </w:tr>
            <w:tr w14:paraId="50A77F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tblHeader/>
                <w:jc w:val="center"/>
              </w:trPr>
              <w:tc>
                <w:tcPr>
                  <w:tcW w:w="724" w:type="dxa"/>
                  <w:vMerge w:val="continue"/>
                  <w:tcBorders>
                    <w:right w:val="single" w:color="auto" w:sz="4" w:space="0"/>
                  </w:tcBorders>
                  <w:noWrap w:val="0"/>
                  <w:vAlign w:val="center"/>
                </w:tcPr>
                <w:p w14:paraId="33D31090">
                  <w:pPr>
                    <w:spacing w:line="240" w:lineRule="atLeast"/>
                    <w:jc w:val="center"/>
                    <w:rPr>
                      <w:b/>
                      <w:bCs/>
                      <w:color w:val="auto"/>
                      <w:szCs w:val="21"/>
                      <w:highlight w:val="none"/>
                    </w:rPr>
                  </w:pPr>
                </w:p>
              </w:tc>
              <w:tc>
                <w:tcPr>
                  <w:tcW w:w="1845" w:type="dxa"/>
                  <w:vMerge w:val="continue"/>
                  <w:tcBorders>
                    <w:left w:val="single" w:color="auto" w:sz="4" w:space="0"/>
                  </w:tcBorders>
                  <w:noWrap w:val="0"/>
                  <w:vAlign w:val="center"/>
                </w:tcPr>
                <w:p w14:paraId="2825F397">
                  <w:pPr>
                    <w:spacing w:line="240" w:lineRule="atLeast"/>
                    <w:jc w:val="center"/>
                    <w:rPr>
                      <w:b/>
                      <w:bCs/>
                      <w:color w:val="auto"/>
                      <w:szCs w:val="21"/>
                      <w:highlight w:val="none"/>
                    </w:rPr>
                  </w:pPr>
                </w:p>
              </w:tc>
              <w:tc>
                <w:tcPr>
                  <w:tcW w:w="887" w:type="dxa"/>
                  <w:vMerge w:val="continue"/>
                  <w:tcBorders>
                    <w:right w:val="single" w:color="auto" w:sz="4" w:space="0"/>
                  </w:tcBorders>
                  <w:noWrap w:val="0"/>
                  <w:vAlign w:val="center"/>
                </w:tcPr>
                <w:p w14:paraId="0D21D56B">
                  <w:pPr>
                    <w:spacing w:line="240" w:lineRule="atLeast"/>
                    <w:jc w:val="center"/>
                    <w:rPr>
                      <w:rFonts w:hint="eastAsia" w:eastAsia="宋体"/>
                      <w:b/>
                      <w:bCs/>
                      <w:color w:val="auto"/>
                      <w:szCs w:val="21"/>
                      <w:highlight w:val="none"/>
                      <w:lang w:eastAsia="zh-CN"/>
                    </w:rPr>
                  </w:pPr>
                </w:p>
              </w:tc>
              <w:tc>
                <w:tcPr>
                  <w:tcW w:w="783" w:type="dxa"/>
                  <w:tcBorders>
                    <w:top w:val="single" w:color="auto" w:sz="4" w:space="0"/>
                    <w:left w:val="single" w:color="auto" w:sz="4" w:space="0"/>
                    <w:right w:val="single" w:color="auto" w:sz="4" w:space="0"/>
                  </w:tcBorders>
                  <w:noWrap w:val="0"/>
                  <w:vAlign w:val="center"/>
                </w:tcPr>
                <w:p w14:paraId="4206ACE3">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昼间</w:t>
                  </w:r>
                </w:p>
              </w:tc>
              <w:tc>
                <w:tcPr>
                  <w:tcW w:w="767" w:type="dxa"/>
                  <w:tcBorders>
                    <w:top w:val="single" w:color="auto" w:sz="4" w:space="0"/>
                    <w:left w:val="single" w:color="auto" w:sz="4" w:space="0"/>
                    <w:right w:val="single" w:color="auto" w:sz="4" w:space="0"/>
                  </w:tcBorders>
                  <w:noWrap w:val="0"/>
                  <w:vAlign w:val="center"/>
                </w:tcPr>
                <w:p w14:paraId="1DE3BEC5">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夜间</w:t>
                  </w:r>
                </w:p>
              </w:tc>
              <w:tc>
                <w:tcPr>
                  <w:tcW w:w="800" w:type="dxa"/>
                  <w:tcBorders>
                    <w:top w:val="single" w:color="auto" w:sz="4" w:space="0"/>
                    <w:left w:val="single" w:color="auto" w:sz="4" w:space="0"/>
                    <w:right w:val="single" w:color="auto" w:sz="4" w:space="0"/>
                  </w:tcBorders>
                  <w:noWrap w:val="0"/>
                  <w:vAlign w:val="center"/>
                </w:tcPr>
                <w:p w14:paraId="18D4346C">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昼间</w:t>
                  </w:r>
                </w:p>
              </w:tc>
              <w:tc>
                <w:tcPr>
                  <w:tcW w:w="850" w:type="dxa"/>
                  <w:tcBorders>
                    <w:top w:val="single" w:color="auto" w:sz="4" w:space="0"/>
                    <w:left w:val="single" w:color="auto" w:sz="4" w:space="0"/>
                    <w:right w:val="single" w:color="auto" w:sz="4" w:space="0"/>
                  </w:tcBorders>
                  <w:noWrap w:val="0"/>
                  <w:vAlign w:val="center"/>
                </w:tcPr>
                <w:p w14:paraId="080DFB5F">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夜间</w:t>
                  </w:r>
                </w:p>
              </w:tc>
              <w:tc>
                <w:tcPr>
                  <w:tcW w:w="783" w:type="dxa"/>
                  <w:tcBorders>
                    <w:top w:val="single" w:color="auto" w:sz="4" w:space="0"/>
                    <w:left w:val="single" w:color="auto" w:sz="4" w:space="0"/>
                    <w:right w:val="single" w:color="auto" w:sz="4" w:space="0"/>
                  </w:tcBorders>
                  <w:noWrap w:val="0"/>
                  <w:vAlign w:val="center"/>
                </w:tcPr>
                <w:p w14:paraId="5D0B6DFE">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昼间</w:t>
                  </w:r>
                </w:p>
              </w:tc>
              <w:tc>
                <w:tcPr>
                  <w:tcW w:w="760" w:type="dxa"/>
                  <w:tcBorders>
                    <w:top w:val="single" w:color="auto" w:sz="4" w:space="0"/>
                    <w:left w:val="single" w:color="auto" w:sz="4" w:space="0"/>
                  </w:tcBorders>
                  <w:noWrap w:val="0"/>
                  <w:vAlign w:val="center"/>
                </w:tcPr>
                <w:p w14:paraId="03C4BA54">
                  <w:pPr>
                    <w:spacing w:line="240" w:lineRule="atLeast"/>
                    <w:jc w:val="center"/>
                    <w:rPr>
                      <w:rFonts w:hint="eastAsia" w:eastAsia="宋体"/>
                      <w:b/>
                      <w:bCs/>
                      <w:color w:val="auto"/>
                      <w:kern w:val="2"/>
                      <w:sz w:val="21"/>
                      <w:szCs w:val="21"/>
                      <w:highlight w:val="none"/>
                      <w:lang w:val="en-US" w:eastAsia="zh-CN" w:bidi="ar-SA"/>
                    </w:rPr>
                  </w:pPr>
                  <w:r>
                    <w:rPr>
                      <w:rFonts w:hint="eastAsia"/>
                      <w:b/>
                      <w:bCs/>
                      <w:color w:val="auto"/>
                      <w:szCs w:val="21"/>
                      <w:highlight w:val="none"/>
                      <w:lang w:eastAsia="zh-CN"/>
                    </w:rPr>
                    <w:t>夜间</w:t>
                  </w:r>
                </w:p>
              </w:tc>
            </w:tr>
            <w:tr w14:paraId="6D571D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1328E235">
                  <w:pPr>
                    <w:spacing w:line="240" w:lineRule="atLeast"/>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1</w:t>
                  </w:r>
                </w:p>
              </w:tc>
              <w:tc>
                <w:tcPr>
                  <w:tcW w:w="1845" w:type="dxa"/>
                  <w:tcBorders>
                    <w:left w:val="single" w:color="auto" w:sz="4" w:space="0"/>
                  </w:tcBorders>
                  <w:noWrap w:val="0"/>
                  <w:vAlign w:val="center"/>
                </w:tcPr>
                <w:p w14:paraId="32E726DA">
                  <w:pPr>
                    <w:spacing w:line="240" w:lineRule="atLeast"/>
                    <w:jc w:val="center"/>
                    <w:rPr>
                      <w:rFonts w:hint="eastAsia"/>
                      <w:b w:val="0"/>
                      <w:bCs w:val="0"/>
                      <w:color w:val="auto"/>
                      <w:szCs w:val="21"/>
                      <w:highlight w:val="none"/>
                      <w:lang w:eastAsia="zh-CN"/>
                    </w:rPr>
                  </w:pPr>
                  <w:r>
                    <w:rPr>
                      <w:rFonts w:hint="eastAsia"/>
                      <w:b w:val="0"/>
                      <w:bCs w:val="0"/>
                      <w:color w:val="auto"/>
                      <w:szCs w:val="21"/>
                      <w:highlight w:val="none"/>
                      <w:lang w:eastAsia="zh-CN"/>
                    </w:rPr>
                    <w:t>变电站</w:t>
                  </w:r>
                  <w:r>
                    <w:rPr>
                      <w:b w:val="0"/>
                      <w:bCs w:val="0"/>
                      <w:color w:val="auto"/>
                      <w:szCs w:val="21"/>
                      <w:highlight w:val="none"/>
                    </w:rPr>
                    <w:t>东侧厂界</w:t>
                  </w:r>
                </w:p>
              </w:tc>
              <w:tc>
                <w:tcPr>
                  <w:tcW w:w="887" w:type="dxa"/>
                  <w:tcBorders>
                    <w:right w:val="single" w:color="auto" w:sz="4" w:space="0"/>
                  </w:tcBorders>
                  <w:shd w:val="clear" w:color="auto" w:fill="auto"/>
                  <w:noWrap w:val="0"/>
                  <w:vAlign w:val="center"/>
                </w:tcPr>
                <w:p w14:paraId="271801DB">
                  <w:pPr>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783" w:type="dxa"/>
                  <w:tcBorders>
                    <w:left w:val="single" w:color="auto" w:sz="4" w:space="0"/>
                    <w:right w:val="single" w:color="auto" w:sz="4" w:space="0"/>
                  </w:tcBorders>
                  <w:shd w:val="clear" w:color="auto" w:fill="auto"/>
                  <w:noWrap w:val="0"/>
                  <w:vAlign w:val="center"/>
                </w:tcPr>
                <w:p w14:paraId="04D5C699">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olor w:val="auto"/>
                      <w:szCs w:val="21"/>
                      <w:highlight w:val="none"/>
                    </w:rPr>
                    <w:t>/</w:t>
                  </w:r>
                </w:p>
              </w:tc>
              <w:tc>
                <w:tcPr>
                  <w:tcW w:w="767" w:type="dxa"/>
                  <w:tcBorders>
                    <w:left w:val="single" w:color="auto" w:sz="4" w:space="0"/>
                    <w:right w:val="single" w:color="auto" w:sz="4" w:space="0"/>
                  </w:tcBorders>
                  <w:shd w:val="clear" w:color="auto" w:fill="auto"/>
                  <w:noWrap w:val="0"/>
                  <w:vAlign w:val="center"/>
                </w:tcPr>
                <w:p w14:paraId="0787AD9D">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olor w:val="auto"/>
                      <w:szCs w:val="21"/>
                      <w:highlight w:val="none"/>
                    </w:rPr>
                    <w:t>/</w:t>
                  </w:r>
                </w:p>
              </w:tc>
              <w:tc>
                <w:tcPr>
                  <w:tcW w:w="800" w:type="dxa"/>
                  <w:tcBorders>
                    <w:left w:val="single" w:color="auto" w:sz="4" w:space="0"/>
                    <w:right w:val="single" w:color="auto" w:sz="4" w:space="0"/>
                  </w:tcBorders>
                  <w:shd w:val="clear" w:color="auto" w:fill="auto"/>
                  <w:noWrap w:val="0"/>
                  <w:vAlign w:val="center"/>
                </w:tcPr>
                <w:p w14:paraId="0874B5D7">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olor w:val="auto"/>
                      <w:szCs w:val="21"/>
                      <w:highlight w:val="none"/>
                    </w:rPr>
                    <w:t>/</w:t>
                  </w:r>
                </w:p>
              </w:tc>
              <w:tc>
                <w:tcPr>
                  <w:tcW w:w="850" w:type="dxa"/>
                  <w:tcBorders>
                    <w:left w:val="single" w:color="auto" w:sz="4" w:space="0"/>
                    <w:right w:val="single" w:color="auto" w:sz="4" w:space="0"/>
                  </w:tcBorders>
                  <w:shd w:val="clear" w:color="auto" w:fill="auto"/>
                  <w:noWrap w:val="0"/>
                  <w:vAlign w:val="center"/>
                </w:tcPr>
                <w:p w14:paraId="24FFD1D9">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olor w:val="auto"/>
                      <w:szCs w:val="21"/>
                      <w:highlight w:val="none"/>
                    </w:rPr>
                    <w:t>/</w:t>
                  </w:r>
                </w:p>
              </w:tc>
              <w:tc>
                <w:tcPr>
                  <w:tcW w:w="783" w:type="dxa"/>
                  <w:vMerge w:val="restart"/>
                  <w:tcBorders>
                    <w:left w:val="single" w:color="auto" w:sz="4" w:space="0"/>
                    <w:right w:val="single" w:color="auto" w:sz="4" w:space="0"/>
                  </w:tcBorders>
                  <w:noWrap w:val="0"/>
                  <w:vAlign w:val="center"/>
                </w:tcPr>
                <w:p w14:paraId="0FD0D1C0">
                  <w:pPr>
                    <w:spacing w:line="240" w:lineRule="atLeast"/>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60</w:t>
                  </w:r>
                </w:p>
              </w:tc>
              <w:tc>
                <w:tcPr>
                  <w:tcW w:w="760" w:type="dxa"/>
                  <w:vMerge w:val="restart"/>
                  <w:tcBorders>
                    <w:left w:val="single" w:color="auto" w:sz="4" w:space="0"/>
                  </w:tcBorders>
                  <w:noWrap w:val="0"/>
                  <w:vAlign w:val="center"/>
                </w:tcPr>
                <w:p w14:paraId="116E23D6">
                  <w:pPr>
                    <w:spacing w:line="240" w:lineRule="atLeast"/>
                    <w:jc w:val="center"/>
                    <w:rPr>
                      <w:b w:val="0"/>
                      <w:bCs w:val="0"/>
                      <w:color w:val="auto"/>
                      <w:szCs w:val="21"/>
                      <w:highlight w:val="none"/>
                    </w:rPr>
                  </w:pPr>
                  <w:r>
                    <w:rPr>
                      <w:rFonts w:hint="eastAsia"/>
                      <w:b w:val="0"/>
                      <w:bCs w:val="0"/>
                      <w:color w:val="auto"/>
                      <w:szCs w:val="21"/>
                      <w:highlight w:val="none"/>
                      <w:lang w:val="en-US" w:eastAsia="zh-CN"/>
                    </w:rPr>
                    <w:t>50</w:t>
                  </w:r>
                </w:p>
              </w:tc>
            </w:tr>
            <w:tr w14:paraId="364C2DF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05D33714">
                  <w:pPr>
                    <w:spacing w:line="240" w:lineRule="atLeast"/>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2</w:t>
                  </w:r>
                </w:p>
              </w:tc>
              <w:tc>
                <w:tcPr>
                  <w:tcW w:w="1845" w:type="dxa"/>
                  <w:tcBorders>
                    <w:left w:val="single" w:color="auto" w:sz="4" w:space="0"/>
                  </w:tcBorders>
                  <w:noWrap w:val="0"/>
                  <w:vAlign w:val="center"/>
                </w:tcPr>
                <w:p w14:paraId="498F56C7">
                  <w:pPr>
                    <w:spacing w:line="240" w:lineRule="atLeast"/>
                    <w:jc w:val="center"/>
                    <w:rPr>
                      <w:rFonts w:hint="eastAsia"/>
                      <w:b w:val="0"/>
                      <w:bCs w:val="0"/>
                      <w:color w:val="auto"/>
                      <w:szCs w:val="21"/>
                      <w:highlight w:val="none"/>
                      <w:lang w:eastAsia="zh-CN"/>
                    </w:rPr>
                  </w:pPr>
                  <w:r>
                    <w:rPr>
                      <w:rFonts w:hint="eastAsia"/>
                      <w:b w:val="0"/>
                      <w:bCs w:val="0"/>
                      <w:color w:val="auto"/>
                      <w:szCs w:val="21"/>
                      <w:highlight w:val="none"/>
                      <w:lang w:eastAsia="zh-CN"/>
                    </w:rPr>
                    <w:t>变电站</w:t>
                  </w:r>
                  <w:r>
                    <w:rPr>
                      <w:b w:val="0"/>
                      <w:bCs w:val="0"/>
                      <w:color w:val="auto"/>
                      <w:szCs w:val="21"/>
                      <w:highlight w:val="none"/>
                    </w:rPr>
                    <w:t>南侧厂界</w:t>
                  </w:r>
                </w:p>
              </w:tc>
              <w:tc>
                <w:tcPr>
                  <w:tcW w:w="887" w:type="dxa"/>
                  <w:tcBorders>
                    <w:right w:val="single" w:color="auto" w:sz="4" w:space="0"/>
                  </w:tcBorders>
                  <w:noWrap w:val="0"/>
                  <w:vAlign w:val="center"/>
                </w:tcPr>
                <w:p w14:paraId="6A1361F6">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21</w:t>
                  </w:r>
                </w:p>
              </w:tc>
              <w:tc>
                <w:tcPr>
                  <w:tcW w:w="783" w:type="dxa"/>
                  <w:tcBorders>
                    <w:left w:val="single" w:color="auto" w:sz="4" w:space="0"/>
                    <w:right w:val="single" w:color="auto" w:sz="4" w:space="0"/>
                  </w:tcBorders>
                  <w:shd w:val="clear" w:color="auto" w:fill="auto"/>
                  <w:noWrap w:val="0"/>
                  <w:vAlign w:val="center"/>
                </w:tcPr>
                <w:p w14:paraId="79EB00F1">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67" w:type="dxa"/>
                  <w:tcBorders>
                    <w:left w:val="single" w:color="auto" w:sz="4" w:space="0"/>
                    <w:right w:val="single" w:color="auto" w:sz="4" w:space="0"/>
                  </w:tcBorders>
                  <w:shd w:val="clear" w:color="auto" w:fill="auto"/>
                  <w:noWrap w:val="0"/>
                  <w:vAlign w:val="center"/>
                </w:tcPr>
                <w:p w14:paraId="78B338C9">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00" w:type="dxa"/>
                  <w:tcBorders>
                    <w:left w:val="single" w:color="auto" w:sz="4" w:space="0"/>
                    <w:right w:val="single" w:color="auto" w:sz="4" w:space="0"/>
                  </w:tcBorders>
                  <w:shd w:val="clear" w:color="auto" w:fill="auto"/>
                  <w:noWrap w:val="0"/>
                  <w:vAlign w:val="center"/>
                </w:tcPr>
                <w:p w14:paraId="4B94A960">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50" w:type="dxa"/>
                  <w:tcBorders>
                    <w:left w:val="single" w:color="auto" w:sz="4" w:space="0"/>
                    <w:right w:val="single" w:color="auto" w:sz="4" w:space="0"/>
                  </w:tcBorders>
                  <w:shd w:val="clear" w:color="auto" w:fill="auto"/>
                  <w:noWrap w:val="0"/>
                  <w:vAlign w:val="center"/>
                </w:tcPr>
                <w:p w14:paraId="1D3823AD">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83" w:type="dxa"/>
                  <w:vMerge w:val="continue"/>
                  <w:tcBorders>
                    <w:left w:val="single" w:color="auto" w:sz="4" w:space="0"/>
                    <w:right w:val="single" w:color="auto" w:sz="4" w:space="0"/>
                  </w:tcBorders>
                  <w:noWrap w:val="0"/>
                  <w:vAlign w:val="center"/>
                </w:tcPr>
                <w:p w14:paraId="49729F69">
                  <w:pPr>
                    <w:spacing w:line="240" w:lineRule="atLeast"/>
                    <w:jc w:val="center"/>
                    <w:rPr>
                      <w:rFonts w:hint="default" w:eastAsia="宋体"/>
                      <w:b/>
                      <w:bCs/>
                      <w:color w:val="auto"/>
                      <w:szCs w:val="21"/>
                      <w:highlight w:val="none"/>
                      <w:lang w:val="en-US" w:eastAsia="zh-CN"/>
                    </w:rPr>
                  </w:pPr>
                </w:p>
              </w:tc>
              <w:tc>
                <w:tcPr>
                  <w:tcW w:w="760" w:type="dxa"/>
                  <w:vMerge w:val="continue"/>
                  <w:tcBorders>
                    <w:left w:val="single" w:color="auto" w:sz="4" w:space="0"/>
                  </w:tcBorders>
                  <w:noWrap w:val="0"/>
                  <w:vAlign w:val="center"/>
                </w:tcPr>
                <w:p w14:paraId="4467E879">
                  <w:pPr>
                    <w:spacing w:line="240" w:lineRule="atLeast"/>
                    <w:jc w:val="center"/>
                    <w:rPr>
                      <w:b/>
                      <w:bCs/>
                      <w:color w:val="auto"/>
                      <w:szCs w:val="21"/>
                      <w:highlight w:val="none"/>
                    </w:rPr>
                  </w:pPr>
                </w:p>
              </w:tc>
            </w:tr>
            <w:tr w14:paraId="58D956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591F4C88">
                  <w:pPr>
                    <w:spacing w:line="240" w:lineRule="atLeast"/>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3</w:t>
                  </w:r>
                </w:p>
              </w:tc>
              <w:tc>
                <w:tcPr>
                  <w:tcW w:w="1845" w:type="dxa"/>
                  <w:tcBorders>
                    <w:left w:val="single" w:color="auto" w:sz="4" w:space="0"/>
                  </w:tcBorders>
                  <w:noWrap w:val="0"/>
                  <w:vAlign w:val="center"/>
                </w:tcPr>
                <w:p w14:paraId="4986571B">
                  <w:pPr>
                    <w:spacing w:line="240" w:lineRule="atLeast"/>
                    <w:jc w:val="center"/>
                    <w:rPr>
                      <w:rFonts w:hint="eastAsia"/>
                      <w:b w:val="0"/>
                      <w:bCs w:val="0"/>
                      <w:color w:val="auto"/>
                      <w:szCs w:val="21"/>
                      <w:highlight w:val="none"/>
                      <w:lang w:eastAsia="zh-CN"/>
                    </w:rPr>
                  </w:pPr>
                  <w:r>
                    <w:rPr>
                      <w:rFonts w:hint="eastAsia"/>
                      <w:b w:val="0"/>
                      <w:bCs w:val="0"/>
                      <w:color w:val="auto"/>
                      <w:szCs w:val="21"/>
                      <w:highlight w:val="none"/>
                      <w:lang w:eastAsia="zh-CN"/>
                    </w:rPr>
                    <w:t>变电站</w:t>
                  </w:r>
                  <w:r>
                    <w:rPr>
                      <w:b w:val="0"/>
                      <w:bCs w:val="0"/>
                      <w:color w:val="auto"/>
                      <w:szCs w:val="21"/>
                      <w:highlight w:val="none"/>
                    </w:rPr>
                    <w:t>西侧厂界</w:t>
                  </w:r>
                </w:p>
              </w:tc>
              <w:tc>
                <w:tcPr>
                  <w:tcW w:w="887" w:type="dxa"/>
                  <w:tcBorders>
                    <w:right w:val="single" w:color="auto" w:sz="4" w:space="0"/>
                  </w:tcBorders>
                  <w:shd w:val="clear" w:color="auto" w:fill="auto"/>
                  <w:noWrap w:val="0"/>
                  <w:vAlign w:val="center"/>
                </w:tcPr>
                <w:p w14:paraId="472D738B">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23</w:t>
                  </w:r>
                </w:p>
              </w:tc>
              <w:tc>
                <w:tcPr>
                  <w:tcW w:w="783" w:type="dxa"/>
                  <w:tcBorders>
                    <w:left w:val="single" w:color="auto" w:sz="4" w:space="0"/>
                    <w:right w:val="single" w:color="auto" w:sz="4" w:space="0"/>
                  </w:tcBorders>
                  <w:shd w:val="clear" w:color="auto" w:fill="auto"/>
                  <w:noWrap w:val="0"/>
                  <w:vAlign w:val="center"/>
                </w:tcPr>
                <w:p w14:paraId="7AD5D747">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67" w:type="dxa"/>
                  <w:tcBorders>
                    <w:left w:val="single" w:color="auto" w:sz="4" w:space="0"/>
                    <w:right w:val="single" w:color="auto" w:sz="4" w:space="0"/>
                  </w:tcBorders>
                  <w:shd w:val="clear" w:color="auto" w:fill="auto"/>
                  <w:noWrap w:val="0"/>
                  <w:vAlign w:val="center"/>
                </w:tcPr>
                <w:p w14:paraId="09B9724A">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00" w:type="dxa"/>
                  <w:tcBorders>
                    <w:left w:val="single" w:color="auto" w:sz="4" w:space="0"/>
                    <w:right w:val="single" w:color="auto" w:sz="4" w:space="0"/>
                  </w:tcBorders>
                  <w:shd w:val="clear" w:color="auto" w:fill="auto"/>
                  <w:noWrap w:val="0"/>
                  <w:vAlign w:val="center"/>
                </w:tcPr>
                <w:p w14:paraId="175CEEA0">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50" w:type="dxa"/>
                  <w:tcBorders>
                    <w:left w:val="single" w:color="auto" w:sz="4" w:space="0"/>
                    <w:right w:val="single" w:color="auto" w:sz="4" w:space="0"/>
                  </w:tcBorders>
                  <w:shd w:val="clear" w:color="auto" w:fill="auto"/>
                  <w:noWrap w:val="0"/>
                  <w:vAlign w:val="center"/>
                </w:tcPr>
                <w:p w14:paraId="58278723">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83" w:type="dxa"/>
                  <w:vMerge w:val="continue"/>
                  <w:tcBorders>
                    <w:left w:val="single" w:color="auto" w:sz="4" w:space="0"/>
                    <w:right w:val="single" w:color="auto" w:sz="4" w:space="0"/>
                  </w:tcBorders>
                  <w:noWrap w:val="0"/>
                  <w:vAlign w:val="center"/>
                </w:tcPr>
                <w:p w14:paraId="3BB5B8FB">
                  <w:pPr>
                    <w:spacing w:line="240" w:lineRule="atLeast"/>
                    <w:jc w:val="center"/>
                    <w:rPr>
                      <w:b/>
                      <w:bCs/>
                      <w:color w:val="auto"/>
                      <w:szCs w:val="21"/>
                      <w:highlight w:val="none"/>
                    </w:rPr>
                  </w:pPr>
                </w:p>
              </w:tc>
              <w:tc>
                <w:tcPr>
                  <w:tcW w:w="760" w:type="dxa"/>
                  <w:vMerge w:val="continue"/>
                  <w:tcBorders>
                    <w:left w:val="single" w:color="auto" w:sz="4" w:space="0"/>
                  </w:tcBorders>
                  <w:noWrap w:val="0"/>
                  <w:vAlign w:val="center"/>
                </w:tcPr>
                <w:p w14:paraId="08841522">
                  <w:pPr>
                    <w:spacing w:line="240" w:lineRule="atLeast"/>
                    <w:jc w:val="center"/>
                    <w:rPr>
                      <w:b/>
                      <w:bCs/>
                      <w:color w:val="auto"/>
                      <w:szCs w:val="21"/>
                      <w:highlight w:val="none"/>
                    </w:rPr>
                  </w:pPr>
                </w:p>
              </w:tc>
            </w:tr>
            <w:tr w14:paraId="247545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0981AB6C">
                  <w:pPr>
                    <w:spacing w:line="240" w:lineRule="atLeast"/>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4</w:t>
                  </w:r>
                </w:p>
              </w:tc>
              <w:tc>
                <w:tcPr>
                  <w:tcW w:w="1845" w:type="dxa"/>
                  <w:tcBorders>
                    <w:left w:val="single" w:color="auto" w:sz="4" w:space="0"/>
                  </w:tcBorders>
                  <w:noWrap w:val="0"/>
                  <w:vAlign w:val="center"/>
                </w:tcPr>
                <w:p w14:paraId="624563C4">
                  <w:pPr>
                    <w:spacing w:line="240" w:lineRule="atLeast"/>
                    <w:jc w:val="center"/>
                    <w:rPr>
                      <w:rFonts w:hint="eastAsia"/>
                      <w:b w:val="0"/>
                      <w:bCs w:val="0"/>
                      <w:color w:val="auto"/>
                      <w:szCs w:val="21"/>
                      <w:highlight w:val="none"/>
                      <w:lang w:eastAsia="zh-CN"/>
                    </w:rPr>
                  </w:pPr>
                  <w:r>
                    <w:rPr>
                      <w:rFonts w:hint="eastAsia"/>
                      <w:b w:val="0"/>
                      <w:bCs w:val="0"/>
                      <w:color w:val="auto"/>
                      <w:szCs w:val="21"/>
                      <w:highlight w:val="none"/>
                      <w:lang w:eastAsia="zh-CN"/>
                    </w:rPr>
                    <w:t>变电站</w:t>
                  </w:r>
                  <w:r>
                    <w:rPr>
                      <w:b w:val="0"/>
                      <w:bCs w:val="0"/>
                      <w:color w:val="auto"/>
                      <w:szCs w:val="21"/>
                      <w:highlight w:val="none"/>
                    </w:rPr>
                    <w:t>北侧厂界</w:t>
                  </w:r>
                </w:p>
              </w:tc>
              <w:tc>
                <w:tcPr>
                  <w:tcW w:w="887" w:type="dxa"/>
                  <w:tcBorders>
                    <w:right w:val="single" w:color="auto" w:sz="4" w:space="0"/>
                  </w:tcBorders>
                  <w:noWrap w:val="0"/>
                  <w:vAlign w:val="center"/>
                </w:tcPr>
                <w:p w14:paraId="6B93DB33">
                  <w:pPr>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25</w:t>
                  </w:r>
                </w:p>
              </w:tc>
              <w:tc>
                <w:tcPr>
                  <w:tcW w:w="783" w:type="dxa"/>
                  <w:tcBorders>
                    <w:left w:val="single" w:color="auto" w:sz="4" w:space="0"/>
                    <w:right w:val="single" w:color="auto" w:sz="4" w:space="0"/>
                  </w:tcBorders>
                  <w:shd w:val="clear" w:color="auto" w:fill="auto"/>
                  <w:noWrap w:val="0"/>
                  <w:vAlign w:val="center"/>
                </w:tcPr>
                <w:p w14:paraId="1A5F71D3">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67" w:type="dxa"/>
                  <w:tcBorders>
                    <w:left w:val="single" w:color="auto" w:sz="4" w:space="0"/>
                    <w:right w:val="single" w:color="auto" w:sz="4" w:space="0"/>
                  </w:tcBorders>
                  <w:shd w:val="clear" w:color="auto" w:fill="auto"/>
                  <w:noWrap w:val="0"/>
                  <w:vAlign w:val="center"/>
                </w:tcPr>
                <w:p w14:paraId="1E9BEACF">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00" w:type="dxa"/>
                  <w:tcBorders>
                    <w:left w:val="single" w:color="auto" w:sz="4" w:space="0"/>
                    <w:right w:val="single" w:color="auto" w:sz="4" w:space="0"/>
                  </w:tcBorders>
                  <w:shd w:val="clear" w:color="auto" w:fill="auto"/>
                  <w:noWrap w:val="0"/>
                  <w:vAlign w:val="center"/>
                </w:tcPr>
                <w:p w14:paraId="77EEE250">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850" w:type="dxa"/>
                  <w:tcBorders>
                    <w:left w:val="single" w:color="auto" w:sz="4" w:space="0"/>
                    <w:right w:val="single" w:color="auto" w:sz="4" w:space="0"/>
                  </w:tcBorders>
                  <w:shd w:val="clear" w:color="auto" w:fill="auto"/>
                  <w:noWrap w:val="0"/>
                  <w:vAlign w:val="center"/>
                </w:tcPr>
                <w:p w14:paraId="54FC800A">
                  <w:pPr>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w:t>
                  </w:r>
                </w:p>
              </w:tc>
              <w:tc>
                <w:tcPr>
                  <w:tcW w:w="783" w:type="dxa"/>
                  <w:vMerge w:val="continue"/>
                  <w:tcBorders>
                    <w:left w:val="single" w:color="auto" w:sz="4" w:space="0"/>
                    <w:right w:val="single" w:color="auto" w:sz="4" w:space="0"/>
                  </w:tcBorders>
                  <w:noWrap w:val="0"/>
                  <w:vAlign w:val="center"/>
                </w:tcPr>
                <w:p w14:paraId="39A38BE9">
                  <w:pPr>
                    <w:spacing w:line="240" w:lineRule="atLeast"/>
                    <w:jc w:val="center"/>
                    <w:rPr>
                      <w:b/>
                      <w:bCs/>
                      <w:color w:val="auto"/>
                      <w:szCs w:val="21"/>
                      <w:highlight w:val="none"/>
                    </w:rPr>
                  </w:pPr>
                </w:p>
              </w:tc>
              <w:tc>
                <w:tcPr>
                  <w:tcW w:w="760" w:type="dxa"/>
                  <w:vMerge w:val="continue"/>
                  <w:tcBorders>
                    <w:left w:val="single" w:color="auto" w:sz="4" w:space="0"/>
                  </w:tcBorders>
                  <w:noWrap w:val="0"/>
                  <w:vAlign w:val="center"/>
                </w:tcPr>
                <w:p w14:paraId="2C4FE8D1">
                  <w:pPr>
                    <w:spacing w:line="240" w:lineRule="atLeast"/>
                    <w:jc w:val="center"/>
                    <w:rPr>
                      <w:b/>
                      <w:bCs/>
                      <w:color w:val="auto"/>
                      <w:szCs w:val="21"/>
                      <w:highlight w:val="none"/>
                    </w:rPr>
                  </w:pPr>
                </w:p>
              </w:tc>
            </w:tr>
            <w:tr w14:paraId="3E159D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3CCC7AAC">
                  <w:pPr>
                    <w:spacing w:line="240" w:lineRule="atLeast"/>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5</w:t>
                  </w:r>
                </w:p>
              </w:tc>
              <w:tc>
                <w:tcPr>
                  <w:tcW w:w="1845" w:type="dxa"/>
                  <w:tcBorders>
                    <w:left w:val="single" w:color="auto" w:sz="4" w:space="0"/>
                  </w:tcBorders>
                  <w:shd w:val="clear" w:color="auto" w:fill="auto"/>
                  <w:noWrap w:val="0"/>
                  <w:vAlign w:val="center"/>
                </w:tcPr>
                <w:p w14:paraId="09395CFD">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87" w:type="dxa"/>
                  <w:tcBorders>
                    <w:right w:val="single" w:color="auto" w:sz="4" w:space="0"/>
                  </w:tcBorders>
                  <w:shd w:val="clear" w:color="auto" w:fill="auto"/>
                  <w:noWrap w:val="0"/>
                  <w:vAlign w:val="center"/>
                </w:tcPr>
                <w:p w14:paraId="15A3D69E">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20</w:t>
                  </w:r>
                </w:p>
              </w:tc>
              <w:tc>
                <w:tcPr>
                  <w:tcW w:w="783" w:type="dxa"/>
                  <w:tcBorders>
                    <w:left w:val="single" w:color="auto" w:sz="4" w:space="0"/>
                    <w:right w:val="single" w:color="auto" w:sz="4" w:space="0"/>
                  </w:tcBorders>
                  <w:shd w:val="clear" w:color="auto" w:fill="auto"/>
                  <w:noWrap w:val="0"/>
                  <w:vAlign w:val="center"/>
                </w:tcPr>
                <w:p w14:paraId="7BD88E3D">
                  <w:pPr>
                    <w:widowControl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w:t>
                  </w:r>
                </w:p>
              </w:tc>
              <w:tc>
                <w:tcPr>
                  <w:tcW w:w="767" w:type="dxa"/>
                  <w:tcBorders>
                    <w:left w:val="single" w:color="auto" w:sz="4" w:space="0"/>
                    <w:right w:val="single" w:color="auto" w:sz="4" w:space="0"/>
                  </w:tcBorders>
                  <w:shd w:val="clear" w:color="auto" w:fill="auto"/>
                  <w:noWrap w:val="0"/>
                  <w:vAlign w:val="center"/>
                </w:tcPr>
                <w:p w14:paraId="2FE66DE0">
                  <w:pPr>
                    <w:widowControl w:val="0"/>
                    <w:spacing w:line="24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33</w:t>
                  </w:r>
                </w:p>
              </w:tc>
              <w:tc>
                <w:tcPr>
                  <w:tcW w:w="800" w:type="dxa"/>
                  <w:tcBorders>
                    <w:left w:val="single" w:color="auto" w:sz="4" w:space="0"/>
                    <w:right w:val="single" w:color="auto" w:sz="4" w:space="0"/>
                  </w:tcBorders>
                  <w:noWrap w:val="0"/>
                  <w:vAlign w:val="center"/>
                </w:tcPr>
                <w:p w14:paraId="793DA454">
                  <w:pPr>
                    <w:adjustRightInd w:val="0"/>
                    <w:snapToGrid w:val="0"/>
                    <w:spacing w:line="240" w:lineRule="atLeast"/>
                    <w:jc w:val="center"/>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33</w:t>
                  </w:r>
                </w:p>
              </w:tc>
              <w:tc>
                <w:tcPr>
                  <w:tcW w:w="850" w:type="dxa"/>
                  <w:tcBorders>
                    <w:left w:val="single" w:color="auto" w:sz="4" w:space="0"/>
                    <w:right w:val="single" w:color="auto" w:sz="4" w:space="0"/>
                  </w:tcBorders>
                  <w:noWrap w:val="0"/>
                  <w:vAlign w:val="center"/>
                </w:tcPr>
                <w:p w14:paraId="2CC52698">
                  <w:pPr>
                    <w:adjustRightInd w:val="0"/>
                    <w:snapToGrid w:val="0"/>
                    <w:spacing w:line="240" w:lineRule="atLeast"/>
                    <w:jc w:val="center"/>
                    <w:rPr>
                      <w:rFonts w:hint="default"/>
                      <w:color w:val="auto"/>
                      <w:kern w:val="2"/>
                      <w:sz w:val="21"/>
                      <w:szCs w:val="21"/>
                      <w:highlight w:val="none"/>
                      <w:lang w:val="en-US" w:eastAsia="zh-CN" w:bidi="ar-SA"/>
                    </w:rPr>
                  </w:pPr>
                  <w:r>
                    <w:rPr>
                      <w:rFonts w:hint="eastAsia"/>
                      <w:color w:val="auto"/>
                      <w:kern w:val="2"/>
                      <w:sz w:val="21"/>
                      <w:szCs w:val="21"/>
                      <w:highlight w:val="none"/>
                      <w:lang w:val="en-US" w:eastAsia="zh-CN" w:bidi="ar-SA"/>
                    </w:rPr>
                    <w:t>33</w:t>
                  </w:r>
                </w:p>
              </w:tc>
              <w:tc>
                <w:tcPr>
                  <w:tcW w:w="783" w:type="dxa"/>
                  <w:vMerge w:val="restart"/>
                  <w:tcBorders>
                    <w:left w:val="single" w:color="auto" w:sz="4" w:space="0"/>
                    <w:right w:val="single" w:color="auto" w:sz="4" w:space="0"/>
                  </w:tcBorders>
                  <w:noWrap w:val="0"/>
                  <w:vAlign w:val="center"/>
                </w:tcPr>
                <w:p w14:paraId="02DEC47A">
                  <w:pPr>
                    <w:spacing w:line="240" w:lineRule="atLeast"/>
                    <w:jc w:val="center"/>
                    <w:rPr>
                      <w:rFonts w:hint="default" w:eastAsia="宋体"/>
                      <w:color w:val="auto"/>
                      <w:szCs w:val="21"/>
                      <w:highlight w:val="none"/>
                      <w:lang w:val="en-US" w:eastAsia="zh-CN"/>
                    </w:rPr>
                  </w:pPr>
                  <w:r>
                    <w:rPr>
                      <w:rFonts w:hint="eastAsia" w:eastAsia="宋体"/>
                      <w:color w:val="auto"/>
                      <w:szCs w:val="21"/>
                      <w:highlight w:val="none"/>
                      <w:lang w:val="en-US" w:eastAsia="zh-CN"/>
                    </w:rPr>
                    <w:t>60</w:t>
                  </w:r>
                </w:p>
              </w:tc>
              <w:tc>
                <w:tcPr>
                  <w:tcW w:w="760" w:type="dxa"/>
                  <w:vMerge w:val="restart"/>
                  <w:tcBorders>
                    <w:left w:val="single" w:color="auto" w:sz="4" w:space="0"/>
                  </w:tcBorders>
                  <w:noWrap w:val="0"/>
                  <w:vAlign w:val="center"/>
                </w:tcPr>
                <w:p w14:paraId="339B65B5">
                  <w:pPr>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50</w:t>
                  </w:r>
                </w:p>
              </w:tc>
            </w:tr>
            <w:tr w14:paraId="5F737F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0B93133D">
                  <w:pPr>
                    <w:spacing w:line="240" w:lineRule="atLeast"/>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6</w:t>
                  </w:r>
                </w:p>
              </w:tc>
              <w:tc>
                <w:tcPr>
                  <w:tcW w:w="1845" w:type="dxa"/>
                  <w:tcBorders>
                    <w:left w:val="single" w:color="auto" w:sz="4" w:space="0"/>
                  </w:tcBorders>
                  <w:shd w:val="clear" w:color="auto" w:fill="auto"/>
                  <w:noWrap w:val="0"/>
                  <w:vAlign w:val="center"/>
                </w:tcPr>
                <w:p w14:paraId="05DD60C3">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87" w:type="dxa"/>
                  <w:tcBorders>
                    <w:right w:val="single" w:color="auto" w:sz="4" w:space="0"/>
                  </w:tcBorders>
                  <w:noWrap w:val="0"/>
                  <w:vAlign w:val="center"/>
                </w:tcPr>
                <w:p w14:paraId="4170CC6C">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19</w:t>
                  </w:r>
                </w:p>
              </w:tc>
              <w:tc>
                <w:tcPr>
                  <w:tcW w:w="783" w:type="dxa"/>
                  <w:tcBorders>
                    <w:left w:val="single" w:color="auto" w:sz="4" w:space="0"/>
                    <w:right w:val="single" w:color="auto" w:sz="4" w:space="0"/>
                  </w:tcBorders>
                  <w:shd w:val="clear" w:color="auto" w:fill="auto"/>
                  <w:noWrap w:val="0"/>
                  <w:vAlign w:val="center"/>
                </w:tcPr>
                <w:p w14:paraId="7FA22F95">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32</w:t>
                  </w:r>
                </w:p>
              </w:tc>
              <w:tc>
                <w:tcPr>
                  <w:tcW w:w="767" w:type="dxa"/>
                  <w:tcBorders>
                    <w:left w:val="single" w:color="auto" w:sz="4" w:space="0"/>
                    <w:right w:val="single" w:color="auto" w:sz="4" w:space="0"/>
                  </w:tcBorders>
                  <w:shd w:val="clear" w:color="auto" w:fill="auto"/>
                  <w:noWrap w:val="0"/>
                  <w:vAlign w:val="center"/>
                </w:tcPr>
                <w:p w14:paraId="196A7E6C">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800" w:type="dxa"/>
                  <w:tcBorders>
                    <w:left w:val="single" w:color="auto" w:sz="4" w:space="0"/>
                    <w:right w:val="single" w:color="auto" w:sz="4" w:space="0"/>
                  </w:tcBorders>
                  <w:noWrap w:val="0"/>
                  <w:vAlign w:val="center"/>
                </w:tcPr>
                <w:p w14:paraId="6AEFA31C">
                  <w:pPr>
                    <w:adjustRightInd w:val="0"/>
                    <w:snapToGrid w:val="0"/>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32</w:t>
                  </w:r>
                </w:p>
              </w:tc>
              <w:tc>
                <w:tcPr>
                  <w:tcW w:w="850" w:type="dxa"/>
                  <w:tcBorders>
                    <w:left w:val="single" w:color="auto" w:sz="4" w:space="0"/>
                    <w:right w:val="single" w:color="auto" w:sz="4" w:space="0"/>
                  </w:tcBorders>
                  <w:noWrap w:val="0"/>
                  <w:vAlign w:val="center"/>
                </w:tcPr>
                <w:p w14:paraId="6CACB844">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30</w:t>
                  </w:r>
                </w:p>
              </w:tc>
              <w:tc>
                <w:tcPr>
                  <w:tcW w:w="783" w:type="dxa"/>
                  <w:vMerge w:val="continue"/>
                  <w:tcBorders>
                    <w:left w:val="single" w:color="auto" w:sz="4" w:space="0"/>
                    <w:right w:val="single" w:color="auto" w:sz="4" w:space="0"/>
                  </w:tcBorders>
                  <w:noWrap w:val="0"/>
                  <w:vAlign w:val="center"/>
                </w:tcPr>
                <w:p w14:paraId="7D9621ED">
                  <w:pPr>
                    <w:spacing w:line="240" w:lineRule="atLeast"/>
                    <w:jc w:val="center"/>
                    <w:rPr>
                      <w:rFonts w:hint="default" w:eastAsia="宋体"/>
                      <w:color w:val="auto"/>
                      <w:szCs w:val="21"/>
                      <w:highlight w:val="none"/>
                      <w:lang w:val="en-US" w:eastAsia="zh-CN"/>
                    </w:rPr>
                  </w:pPr>
                </w:p>
              </w:tc>
              <w:tc>
                <w:tcPr>
                  <w:tcW w:w="760" w:type="dxa"/>
                  <w:vMerge w:val="continue"/>
                  <w:tcBorders>
                    <w:left w:val="single" w:color="auto" w:sz="4" w:space="0"/>
                  </w:tcBorders>
                  <w:noWrap w:val="0"/>
                  <w:vAlign w:val="center"/>
                </w:tcPr>
                <w:p w14:paraId="13A5C85B">
                  <w:pPr>
                    <w:spacing w:line="240" w:lineRule="atLeast"/>
                    <w:jc w:val="center"/>
                    <w:rPr>
                      <w:rFonts w:hint="default"/>
                      <w:color w:val="auto"/>
                      <w:szCs w:val="21"/>
                      <w:highlight w:val="none"/>
                      <w:lang w:val="en-US" w:eastAsia="zh-CN"/>
                    </w:rPr>
                  </w:pPr>
                </w:p>
              </w:tc>
            </w:tr>
            <w:tr w14:paraId="0943A32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3" w:hRule="atLeast"/>
                <w:jc w:val="center"/>
              </w:trPr>
              <w:tc>
                <w:tcPr>
                  <w:tcW w:w="724" w:type="dxa"/>
                  <w:tcBorders>
                    <w:right w:val="single" w:color="auto" w:sz="4" w:space="0"/>
                  </w:tcBorders>
                  <w:noWrap w:val="0"/>
                  <w:vAlign w:val="center"/>
                </w:tcPr>
                <w:p w14:paraId="4FF2847E">
                  <w:pPr>
                    <w:spacing w:line="240" w:lineRule="atLeast"/>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7</w:t>
                  </w:r>
                </w:p>
              </w:tc>
              <w:tc>
                <w:tcPr>
                  <w:tcW w:w="1845" w:type="dxa"/>
                  <w:tcBorders>
                    <w:left w:val="single" w:color="auto" w:sz="4" w:space="0"/>
                  </w:tcBorders>
                  <w:shd w:val="clear" w:color="auto" w:fill="auto"/>
                  <w:noWrap w:val="0"/>
                  <w:vAlign w:val="center"/>
                </w:tcPr>
                <w:p w14:paraId="51CE7CD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87" w:type="dxa"/>
                  <w:tcBorders>
                    <w:right w:val="single" w:color="auto" w:sz="4" w:space="0"/>
                  </w:tcBorders>
                  <w:shd w:val="clear" w:color="auto" w:fill="auto"/>
                  <w:noWrap w:val="0"/>
                  <w:vAlign w:val="center"/>
                </w:tcPr>
                <w:p w14:paraId="78E8460E">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10</w:t>
                  </w:r>
                </w:p>
              </w:tc>
              <w:tc>
                <w:tcPr>
                  <w:tcW w:w="783" w:type="dxa"/>
                  <w:tcBorders>
                    <w:left w:val="single" w:color="auto" w:sz="4" w:space="0"/>
                    <w:right w:val="single" w:color="auto" w:sz="4" w:space="0"/>
                  </w:tcBorders>
                  <w:shd w:val="clear" w:color="auto" w:fill="auto"/>
                  <w:noWrap w:val="0"/>
                  <w:vAlign w:val="center"/>
                </w:tcPr>
                <w:p w14:paraId="54F7D49F">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767" w:type="dxa"/>
                  <w:tcBorders>
                    <w:left w:val="single" w:color="auto" w:sz="4" w:space="0"/>
                    <w:right w:val="single" w:color="auto" w:sz="4" w:space="0"/>
                  </w:tcBorders>
                  <w:shd w:val="clear" w:color="auto" w:fill="auto"/>
                  <w:noWrap w:val="0"/>
                  <w:vAlign w:val="center"/>
                </w:tcPr>
                <w:p w14:paraId="29BAD3D1">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29</w:t>
                  </w:r>
                </w:p>
              </w:tc>
              <w:tc>
                <w:tcPr>
                  <w:tcW w:w="800" w:type="dxa"/>
                  <w:tcBorders>
                    <w:left w:val="single" w:color="auto" w:sz="4" w:space="0"/>
                    <w:right w:val="single" w:color="auto" w:sz="4" w:space="0"/>
                  </w:tcBorders>
                  <w:noWrap w:val="0"/>
                  <w:vAlign w:val="center"/>
                </w:tcPr>
                <w:p w14:paraId="6E937BFA">
                  <w:pPr>
                    <w:adjustRightInd w:val="0"/>
                    <w:snapToGrid w:val="0"/>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850" w:type="dxa"/>
                  <w:tcBorders>
                    <w:left w:val="single" w:color="auto" w:sz="4" w:space="0"/>
                    <w:right w:val="single" w:color="auto" w:sz="4" w:space="0"/>
                  </w:tcBorders>
                  <w:noWrap w:val="0"/>
                  <w:vAlign w:val="center"/>
                </w:tcPr>
                <w:p w14:paraId="48F3DCD7">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29</w:t>
                  </w:r>
                </w:p>
              </w:tc>
              <w:tc>
                <w:tcPr>
                  <w:tcW w:w="783" w:type="dxa"/>
                  <w:vMerge w:val="continue"/>
                  <w:tcBorders>
                    <w:left w:val="single" w:color="auto" w:sz="4" w:space="0"/>
                    <w:right w:val="single" w:color="auto" w:sz="4" w:space="0"/>
                  </w:tcBorders>
                  <w:noWrap w:val="0"/>
                  <w:vAlign w:val="center"/>
                </w:tcPr>
                <w:p w14:paraId="79D49CB2">
                  <w:pPr>
                    <w:spacing w:line="240" w:lineRule="atLeast"/>
                    <w:jc w:val="center"/>
                    <w:rPr>
                      <w:rFonts w:hint="default" w:eastAsia="宋体"/>
                      <w:color w:val="auto"/>
                      <w:szCs w:val="21"/>
                      <w:highlight w:val="none"/>
                      <w:lang w:val="en-US" w:eastAsia="zh-CN"/>
                    </w:rPr>
                  </w:pPr>
                </w:p>
              </w:tc>
              <w:tc>
                <w:tcPr>
                  <w:tcW w:w="760" w:type="dxa"/>
                  <w:vMerge w:val="continue"/>
                  <w:tcBorders>
                    <w:left w:val="single" w:color="auto" w:sz="4" w:space="0"/>
                  </w:tcBorders>
                  <w:noWrap w:val="0"/>
                  <w:vAlign w:val="center"/>
                </w:tcPr>
                <w:p w14:paraId="264162C9">
                  <w:pPr>
                    <w:spacing w:line="240" w:lineRule="atLeast"/>
                    <w:jc w:val="center"/>
                    <w:rPr>
                      <w:rFonts w:hint="default"/>
                      <w:color w:val="auto"/>
                      <w:szCs w:val="21"/>
                      <w:highlight w:val="none"/>
                      <w:lang w:val="en-US" w:eastAsia="zh-CN"/>
                    </w:rPr>
                  </w:pPr>
                </w:p>
              </w:tc>
            </w:tr>
            <w:tr w14:paraId="1B2426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24" w:type="dxa"/>
                  <w:tcBorders>
                    <w:right w:val="single" w:color="auto" w:sz="4" w:space="0"/>
                  </w:tcBorders>
                  <w:noWrap w:val="0"/>
                  <w:vAlign w:val="center"/>
                </w:tcPr>
                <w:p w14:paraId="7322FDDB">
                  <w:pPr>
                    <w:spacing w:line="240" w:lineRule="atLeast"/>
                    <w:jc w:val="center"/>
                    <w:rPr>
                      <w:rFonts w:hint="default"/>
                      <w:b w:val="0"/>
                      <w:bCs w:val="0"/>
                      <w:color w:val="auto"/>
                      <w:szCs w:val="21"/>
                      <w:highlight w:val="none"/>
                      <w:lang w:val="en-US" w:eastAsia="zh-CN"/>
                    </w:rPr>
                  </w:pPr>
                  <w:r>
                    <w:rPr>
                      <w:rFonts w:hint="eastAsia"/>
                      <w:b w:val="0"/>
                      <w:bCs w:val="0"/>
                      <w:color w:val="auto"/>
                      <w:szCs w:val="21"/>
                      <w:highlight w:val="none"/>
                      <w:lang w:val="en-US" w:eastAsia="zh-CN"/>
                    </w:rPr>
                    <w:t>8</w:t>
                  </w:r>
                </w:p>
              </w:tc>
              <w:tc>
                <w:tcPr>
                  <w:tcW w:w="1845" w:type="dxa"/>
                  <w:tcBorders>
                    <w:left w:val="single" w:color="auto" w:sz="4" w:space="0"/>
                  </w:tcBorders>
                  <w:shd w:val="clear" w:color="auto" w:fill="auto"/>
                  <w:noWrap w:val="0"/>
                  <w:vAlign w:val="center"/>
                </w:tcPr>
                <w:p w14:paraId="6CEC10C6">
                  <w:pPr>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887" w:type="dxa"/>
                  <w:tcBorders>
                    <w:right w:val="single" w:color="auto" w:sz="4" w:space="0"/>
                  </w:tcBorders>
                  <w:noWrap w:val="0"/>
                  <w:vAlign w:val="center"/>
                </w:tcPr>
                <w:p w14:paraId="0879CE8F">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10</w:t>
                  </w:r>
                </w:p>
              </w:tc>
              <w:tc>
                <w:tcPr>
                  <w:tcW w:w="783" w:type="dxa"/>
                  <w:tcBorders>
                    <w:left w:val="single" w:color="auto" w:sz="4" w:space="0"/>
                    <w:right w:val="single" w:color="auto" w:sz="4" w:space="0"/>
                  </w:tcBorders>
                  <w:shd w:val="clear" w:color="auto" w:fill="auto"/>
                  <w:noWrap w:val="0"/>
                  <w:vAlign w:val="center"/>
                </w:tcPr>
                <w:p w14:paraId="585DE27F">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39</w:t>
                  </w:r>
                </w:p>
              </w:tc>
              <w:tc>
                <w:tcPr>
                  <w:tcW w:w="767" w:type="dxa"/>
                  <w:tcBorders>
                    <w:left w:val="single" w:color="auto" w:sz="4" w:space="0"/>
                    <w:right w:val="single" w:color="auto" w:sz="4" w:space="0"/>
                  </w:tcBorders>
                  <w:shd w:val="clear" w:color="auto" w:fill="auto"/>
                  <w:noWrap w:val="0"/>
                  <w:vAlign w:val="center"/>
                </w:tcPr>
                <w:p w14:paraId="5BFE4091">
                  <w:pPr>
                    <w:widowControl w:val="0"/>
                    <w:spacing w:line="24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38</w:t>
                  </w:r>
                </w:p>
              </w:tc>
              <w:tc>
                <w:tcPr>
                  <w:tcW w:w="800" w:type="dxa"/>
                  <w:tcBorders>
                    <w:left w:val="single" w:color="auto" w:sz="4" w:space="0"/>
                    <w:right w:val="single" w:color="auto" w:sz="4" w:space="0"/>
                  </w:tcBorders>
                  <w:noWrap w:val="0"/>
                  <w:vAlign w:val="center"/>
                </w:tcPr>
                <w:p w14:paraId="38657FE7">
                  <w:pPr>
                    <w:adjustRightInd w:val="0"/>
                    <w:snapToGrid w:val="0"/>
                    <w:spacing w:line="240" w:lineRule="atLeast"/>
                    <w:jc w:val="center"/>
                    <w:rPr>
                      <w:rFonts w:hint="default" w:eastAsia="宋体"/>
                      <w:color w:val="auto"/>
                      <w:szCs w:val="21"/>
                      <w:highlight w:val="none"/>
                      <w:lang w:val="en-US" w:eastAsia="zh-CN"/>
                    </w:rPr>
                  </w:pPr>
                  <w:r>
                    <w:rPr>
                      <w:rFonts w:hint="eastAsia"/>
                      <w:color w:val="auto"/>
                      <w:szCs w:val="21"/>
                      <w:highlight w:val="none"/>
                      <w:lang w:val="en-US" w:eastAsia="zh-CN"/>
                    </w:rPr>
                    <w:t>39</w:t>
                  </w:r>
                </w:p>
              </w:tc>
              <w:tc>
                <w:tcPr>
                  <w:tcW w:w="850" w:type="dxa"/>
                  <w:tcBorders>
                    <w:left w:val="single" w:color="auto" w:sz="4" w:space="0"/>
                    <w:right w:val="single" w:color="auto" w:sz="4" w:space="0"/>
                  </w:tcBorders>
                  <w:noWrap w:val="0"/>
                  <w:vAlign w:val="center"/>
                </w:tcPr>
                <w:p w14:paraId="0CC913B4">
                  <w:pPr>
                    <w:adjustRightInd w:val="0"/>
                    <w:snapToGrid w:val="0"/>
                    <w:spacing w:line="240" w:lineRule="atLeast"/>
                    <w:jc w:val="center"/>
                    <w:rPr>
                      <w:rFonts w:hint="default"/>
                      <w:color w:val="auto"/>
                      <w:szCs w:val="21"/>
                      <w:highlight w:val="none"/>
                      <w:lang w:val="en-US" w:eastAsia="zh-CN"/>
                    </w:rPr>
                  </w:pPr>
                  <w:r>
                    <w:rPr>
                      <w:rFonts w:hint="eastAsia"/>
                      <w:color w:val="auto"/>
                      <w:szCs w:val="21"/>
                      <w:highlight w:val="none"/>
                      <w:lang w:val="en-US" w:eastAsia="zh-CN"/>
                    </w:rPr>
                    <w:t>38</w:t>
                  </w:r>
                </w:p>
              </w:tc>
              <w:tc>
                <w:tcPr>
                  <w:tcW w:w="783" w:type="dxa"/>
                  <w:vMerge w:val="continue"/>
                  <w:tcBorders>
                    <w:left w:val="single" w:color="auto" w:sz="4" w:space="0"/>
                    <w:right w:val="single" w:color="auto" w:sz="4" w:space="0"/>
                  </w:tcBorders>
                  <w:noWrap w:val="0"/>
                  <w:vAlign w:val="center"/>
                </w:tcPr>
                <w:p w14:paraId="00E0250D">
                  <w:pPr>
                    <w:spacing w:line="240" w:lineRule="atLeast"/>
                    <w:jc w:val="center"/>
                    <w:rPr>
                      <w:rFonts w:hint="default" w:eastAsia="宋体"/>
                      <w:color w:val="auto"/>
                      <w:szCs w:val="21"/>
                      <w:highlight w:val="none"/>
                      <w:lang w:val="en-US" w:eastAsia="zh-CN"/>
                    </w:rPr>
                  </w:pPr>
                </w:p>
              </w:tc>
              <w:tc>
                <w:tcPr>
                  <w:tcW w:w="760" w:type="dxa"/>
                  <w:vMerge w:val="continue"/>
                  <w:tcBorders>
                    <w:left w:val="single" w:color="auto" w:sz="4" w:space="0"/>
                  </w:tcBorders>
                  <w:noWrap w:val="0"/>
                  <w:vAlign w:val="center"/>
                </w:tcPr>
                <w:p w14:paraId="0B41DEA6">
                  <w:pPr>
                    <w:spacing w:line="240" w:lineRule="atLeast"/>
                    <w:jc w:val="center"/>
                    <w:rPr>
                      <w:rFonts w:hint="default"/>
                      <w:color w:val="auto"/>
                      <w:szCs w:val="21"/>
                      <w:highlight w:val="none"/>
                      <w:lang w:val="en-US" w:eastAsia="zh-CN"/>
                    </w:rPr>
                  </w:pPr>
                </w:p>
              </w:tc>
            </w:tr>
          </w:tbl>
          <w:p w14:paraId="12ACC7C3">
            <w:pPr>
              <w:adjustRightInd w:val="0"/>
              <w:snapToGrid w:val="0"/>
              <w:spacing w:line="360" w:lineRule="auto"/>
              <w:ind w:firstLine="480" w:firstLineChars="200"/>
              <w:rPr>
                <w:rFonts w:hint="default" w:eastAsia="宋体"/>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default" w:ascii="Times New Roman" w:hAnsi="Times New Roman" w:eastAsia="宋体" w:cs="Times New Roman"/>
                <w:color w:val="auto"/>
                <w:sz w:val="24"/>
                <w:szCs w:val="24"/>
                <w:highlight w:val="none"/>
              </w:rPr>
              <w:t>，本期</w:t>
            </w:r>
            <w:r>
              <w:rPr>
                <w:rFonts w:hint="eastAsia" w:ascii="Times New Roman" w:hAnsi="Times New Roman" w:eastAsia="宋体" w:cs="Times New Roman"/>
                <w:color w:val="auto"/>
                <w:sz w:val="24"/>
                <w:szCs w:val="24"/>
                <w:highlight w:val="none"/>
                <w:lang w:val="en-US" w:eastAsia="zh-CN"/>
              </w:rPr>
              <w:t>变电站</w:t>
            </w:r>
            <w:r>
              <w:rPr>
                <w:rFonts w:hint="default" w:ascii="Times New Roman" w:hAnsi="Times New Roman" w:eastAsia="宋体" w:cs="Times New Roman"/>
                <w:color w:val="auto"/>
                <w:sz w:val="24"/>
                <w:szCs w:val="24"/>
                <w:highlight w:val="none"/>
              </w:rPr>
              <w:t>投运后产生的厂界噪声</w:t>
            </w:r>
            <w:r>
              <w:rPr>
                <w:rFonts w:hint="default" w:ascii="Times New Roman" w:hAnsi="Times New Roman" w:cs="Times New Roman"/>
                <w:color w:val="auto"/>
                <w:sz w:val="24"/>
                <w:szCs w:val="24"/>
                <w:highlight w:val="none"/>
                <w:lang w:val="en-US" w:eastAsia="zh-CN"/>
              </w:rPr>
              <w:t>贡献值</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dB(A)，</w:t>
            </w:r>
            <w:r>
              <w:rPr>
                <w:rFonts w:hint="default" w:ascii="Times New Roman" w:hAnsi="Times New Roman" w:cs="Times New Roman"/>
                <w:color w:val="auto"/>
                <w:sz w:val="24"/>
                <w:szCs w:val="24"/>
                <w:highlight w:val="none"/>
              </w:rPr>
              <w:t>均</w:t>
            </w:r>
            <w:r>
              <w:rPr>
                <w:rFonts w:hint="default" w:ascii="Times New Roman" w:hAnsi="Times New Roman" w:cs="Times New Roman"/>
                <w:color w:val="auto"/>
                <w:sz w:val="24"/>
                <w:szCs w:val="24"/>
                <w:highlight w:val="none"/>
                <w:lang w:val="en-US" w:eastAsia="zh-CN"/>
              </w:rPr>
              <w:t>低于</w:t>
            </w:r>
            <w:r>
              <w:rPr>
                <w:rFonts w:hint="default" w:ascii="Times New Roman" w:hAnsi="Times New Roman" w:cs="Times New Roman"/>
                <w:color w:val="auto"/>
                <w:sz w:val="24"/>
                <w:szCs w:val="24"/>
                <w:highlight w:val="none"/>
              </w:rPr>
              <w:t>《工业企业厂界环境噪声排放标准》（GB12348-2008）</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类标准</w:t>
            </w:r>
            <w:r>
              <w:rPr>
                <w:rFonts w:hint="eastAsia"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即：昼间60</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default"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dB(A)</w:t>
            </w:r>
            <w:r>
              <w:rPr>
                <w:rFonts w:hint="eastAsia" w:cs="Times New Roman"/>
                <w:color w:val="auto"/>
                <w:sz w:val="24"/>
                <w:szCs w:val="24"/>
                <w:highlight w:val="none"/>
                <w:lang w:eastAsia="zh-CN"/>
              </w:rPr>
              <w:t>；</w:t>
            </w:r>
            <w:r>
              <w:rPr>
                <w:color w:val="auto"/>
                <w:kern w:val="0"/>
                <w:sz w:val="24"/>
                <w:highlight w:val="none"/>
                <w:lang w:bidi="ar"/>
              </w:rPr>
              <w:t>声环境</w:t>
            </w:r>
            <w:r>
              <w:rPr>
                <w:rFonts w:hint="eastAsia"/>
                <w:color w:val="auto"/>
                <w:kern w:val="0"/>
                <w:sz w:val="24"/>
                <w:highlight w:val="none"/>
                <w:lang w:val="en-US" w:eastAsia="zh-CN" w:bidi="ar"/>
              </w:rPr>
              <w:t>保护</w:t>
            </w:r>
            <w:r>
              <w:rPr>
                <w:color w:val="auto"/>
                <w:kern w:val="0"/>
                <w:sz w:val="24"/>
                <w:highlight w:val="none"/>
                <w:lang w:bidi="ar"/>
              </w:rPr>
              <w:t>目标处</w:t>
            </w:r>
            <w:r>
              <w:rPr>
                <w:rFonts w:hint="eastAsia"/>
                <w:color w:val="auto"/>
                <w:kern w:val="0"/>
                <w:sz w:val="24"/>
                <w:highlight w:val="none"/>
                <w:lang w:val="en-US" w:eastAsia="zh-CN" w:bidi="ar"/>
              </w:rPr>
              <w:t>环境</w:t>
            </w:r>
            <w:r>
              <w:rPr>
                <w:color w:val="auto"/>
                <w:kern w:val="0"/>
                <w:sz w:val="24"/>
                <w:highlight w:val="none"/>
                <w:lang w:bidi="ar"/>
              </w:rPr>
              <w:t>噪声预测值昼间</w:t>
            </w:r>
            <w:r>
              <w:rPr>
                <w:rFonts w:hint="eastAsia"/>
                <w:color w:val="auto"/>
                <w:kern w:val="0"/>
                <w:sz w:val="24"/>
                <w:highlight w:val="none"/>
                <w:lang w:eastAsia="zh-CN" w:bidi="ar"/>
              </w:rPr>
              <w:t>（</w:t>
            </w:r>
            <w:r>
              <w:rPr>
                <w:rFonts w:hint="eastAsia"/>
                <w:color w:val="auto"/>
                <w:kern w:val="0"/>
                <w:sz w:val="24"/>
                <w:highlight w:val="none"/>
                <w:lang w:val="en-US" w:eastAsia="zh-CN" w:bidi="ar"/>
              </w:rPr>
              <w:t>30-39</w:t>
            </w:r>
            <w:r>
              <w:rPr>
                <w:rFonts w:hint="eastAsia"/>
                <w:color w:val="auto"/>
                <w:kern w:val="0"/>
                <w:sz w:val="24"/>
                <w:highlight w:val="none"/>
                <w:lang w:eastAsia="zh-CN" w:bidi="ar"/>
              </w:rPr>
              <w:t>）</w:t>
            </w:r>
            <w:r>
              <w:rPr>
                <w:color w:val="auto"/>
                <w:kern w:val="0"/>
                <w:sz w:val="24"/>
                <w:highlight w:val="none"/>
                <w:lang w:bidi="ar"/>
              </w:rPr>
              <w:t>dB(A)</w:t>
            </w:r>
            <w:r>
              <w:rPr>
                <w:rFonts w:hint="eastAsia"/>
                <w:color w:val="auto"/>
                <w:kern w:val="0"/>
                <w:sz w:val="24"/>
                <w:highlight w:val="none"/>
                <w:lang w:eastAsia="zh-CN" w:bidi="ar"/>
              </w:rPr>
              <w:t>、</w:t>
            </w:r>
            <w:r>
              <w:rPr>
                <w:rFonts w:hint="eastAsia"/>
                <w:color w:val="auto"/>
                <w:kern w:val="0"/>
                <w:sz w:val="24"/>
                <w:highlight w:val="none"/>
                <w:lang w:val="en-US" w:eastAsia="zh-CN" w:bidi="ar"/>
              </w:rPr>
              <w:t>夜间</w:t>
            </w:r>
            <w:r>
              <w:rPr>
                <w:rFonts w:hint="eastAsia"/>
                <w:color w:val="auto"/>
                <w:kern w:val="0"/>
                <w:sz w:val="24"/>
                <w:highlight w:val="none"/>
                <w:lang w:eastAsia="zh-CN" w:bidi="ar"/>
              </w:rPr>
              <w:t>（</w:t>
            </w:r>
            <w:r>
              <w:rPr>
                <w:rFonts w:hint="eastAsia"/>
                <w:color w:val="auto"/>
                <w:kern w:val="0"/>
                <w:sz w:val="24"/>
                <w:highlight w:val="none"/>
                <w:lang w:val="en-US" w:eastAsia="zh-CN" w:bidi="ar"/>
              </w:rPr>
              <w:t>29-38</w:t>
            </w:r>
            <w:r>
              <w:rPr>
                <w:rFonts w:hint="eastAsia"/>
                <w:color w:val="auto"/>
                <w:kern w:val="0"/>
                <w:sz w:val="24"/>
                <w:highlight w:val="none"/>
                <w:lang w:eastAsia="zh-CN" w:bidi="ar"/>
              </w:rPr>
              <w:t>）</w:t>
            </w:r>
            <w:r>
              <w:rPr>
                <w:color w:val="auto"/>
                <w:kern w:val="0"/>
                <w:sz w:val="24"/>
                <w:highlight w:val="none"/>
                <w:lang w:bidi="ar"/>
              </w:rPr>
              <w:t>dB(A)</w:t>
            </w:r>
            <w:r>
              <w:rPr>
                <w:rFonts w:hint="eastAsia"/>
                <w:color w:val="auto"/>
                <w:kern w:val="0"/>
                <w:sz w:val="24"/>
                <w:highlight w:val="none"/>
                <w:lang w:eastAsia="zh-CN" w:bidi="ar"/>
              </w:rPr>
              <w:t>，</w:t>
            </w:r>
            <w:r>
              <w:rPr>
                <w:rFonts w:hint="eastAsia"/>
                <w:color w:val="auto"/>
                <w:kern w:val="0"/>
                <w:sz w:val="24"/>
                <w:highlight w:val="none"/>
                <w:lang w:val="en-US" w:eastAsia="zh-CN" w:bidi="ar"/>
              </w:rPr>
              <w:t>均</w:t>
            </w:r>
            <w:r>
              <w:rPr>
                <w:color w:val="auto"/>
                <w:kern w:val="0"/>
                <w:sz w:val="24"/>
                <w:highlight w:val="none"/>
                <w:lang w:bidi="ar"/>
              </w:rPr>
              <w:t>能满足</w:t>
            </w:r>
            <w:r>
              <w:rPr>
                <w:color w:val="auto"/>
                <w:sz w:val="24"/>
                <w:highlight w:val="none"/>
              </w:rPr>
              <w:t>《声环境质量标准》（GB3096-2008）</w:t>
            </w:r>
            <w:r>
              <w:rPr>
                <w:color w:val="auto"/>
                <w:kern w:val="0"/>
                <w:sz w:val="24"/>
                <w:highlight w:val="none"/>
                <w:lang w:bidi="ar"/>
              </w:rPr>
              <w:t>中</w:t>
            </w:r>
            <w:r>
              <w:rPr>
                <w:rFonts w:hint="eastAsia"/>
                <w:color w:val="auto"/>
                <w:kern w:val="0"/>
                <w:sz w:val="24"/>
                <w:highlight w:val="none"/>
                <w:lang w:val="en-US" w:eastAsia="zh-CN" w:bidi="ar"/>
              </w:rPr>
              <w:t>2类</w:t>
            </w:r>
            <w:r>
              <w:rPr>
                <w:color w:val="auto"/>
                <w:kern w:val="0"/>
                <w:sz w:val="24"/>
                <w:highlight w:val="none"/>
                <w:lang w:bidi="ar"/>
              </w:rPr>
              <w:t>标准要求</w:t>
            </w:r>
            <w:r>
              <w:rPr>
                <w:rFonts w:hint="eastAsia"/>
                <w:color w:val="auto"/>
                <w:kern w:val="0"/>
                <w:sz w:val="24"/>
                <w:highlight w:val="none"/>
                <w:lang w:eastAsia="zh-CN" w:bidi="ar"/>
              </w:rPr>
              <w:t>，</w:t>
            </w:r>
            <w:r>
              <w:rPr>
                <w:rFonts w:hint="default" w:ascii="Times New Roman" w:hAnsi="Times New Roman" w:cs="Times New Roman"/>
                <w:color w:val="auto"/>
                <w:sz w:val="24"/>
                <w:szCs w:val="24"/>
                <w:highlight w:val="none"/>
                <w:lang w:val="en-US" w:eastAsia="zh-CN"/>
              </w:rPr>
              <w:t>即：昼间60</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w:t>
            </w:r>
            <w:r>
              <w:rPr>
                <w:rFonts w:hint="default" w:ascii="Times New Roman" w:hAns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rPr>
              <w:t>dB(A)</w:t>
            </w:r>
            <w:r>
              <w:rPr>
                <w:color w:val="auto"/>
                <w:kern w:val="0"/>
                <w:sz w:val="24"/>
                <w:highlight w:val="none"/>
                <w:lang w:bidi="ar"/>
              </w:rPr>
              <w:t>。</w:t>
            </w:r>
          </w:p>
          <w:p w14:paraId="026E650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highlight w:val="none"/>
                <w:lang w:val="en-US" w:eastAsia="zh-CN"/>
              </w:rPr>
            </w:pP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1787525</wp:posOffset>
                      </wp:positionH>
                      <wp:positionV relativeFrom="paragraph">
                        <wp:posOffset>1910080</wp:posOffset>
                      </wp:positionV>
                      <wp:extent cx="406400" cy="50863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406400" cy="508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92FBD">
                                  <w:pPr>
                                    <w:jc w:val="center"/>
                                    <w:rPr>
                                      <w:rFonts w:hint="default" w:eastAsia="宋体"/>
                                      <w:b/>
                                      <w:bCs/>
                                      <w:sz w:val="13"/>
                                      <w:szCs w:val="13"/>
                                      <w:lang w:val="en-US" w:eastAsia="zh-CN"/>
                                    </w:rPr>
                                  </w:pPr>
                                  <w:r>
                                    <w:rPr>
                                      <w:rFonts w:hint="eastAsia"/>
                                      <w:b/>
                                      <w:bCs/>
                                      <w:sz w:val="13"/>
                                      <w:szCs w:val="13"/>
                                      <w:lang w:val="en-US" w:eastAsia="zh-CN"/>
                                    </w:rPr>
                                    <w:t>一体化辅助用房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5pt;margin-top:150.4pt;height:40.05pt;width:32pt;z-index:251671552;mso-width-relative:page;mso-height-relative:page;" filled="f" stroked="f" coordsize="21600,21600" o:gfxdata="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5ftjdsAAAALAQAADwAAAAAAAAABACAAAAAiAAAAZHJz&#10;L2Rvd25yZXYueG1sUEsBAhQAFAAAAAgAh07iQDueyyg6AgAAaQQAAA4AAAAAAAAAAQAgAAAAKgEA&#10;AGRycy9lMm9Eb2MueG1sUEsFBgAAAAAGAAYAWQEAANYFAAAAAA==&#10;">
                      <v:fill on="f" focussize="0,0"/>
                      <v:stroke on="f" weight="0.5pt"/>
                      <v:imagedata o:title=""/>
                      <o:lock v:ext="edit" aspectratio="f"/>
                      <v:textbox>
                        <w:txbxContent>
                          <w:p w14:paraId="27F92FBD">
                            <w:pPr>
                              <w:jc w:val="center"/>
                              <w:rPr>
                                <w:rFonts w:hint="default" w:eastAsia="宋体"/>
                                <w:b/>
                                <w:bCs/>
                                <w:sz w:val="13"/>
                                <w:szCs w:val="13"/>
                                <w:lang w:val="en-US" w:eastAsia="zh-CN"/>
                              </w:rPr>
                            </w:pPr>
                            <w:r>
                              <w:rPr>
                                <w:rFonts w:hint="eastAsia"/>
                                <w:b/>
                                <w:bCs/>
                                <w:sz w:val="13"/>
                                <w:szCs w:val="13"/>
                                <w:lang w:val="en-US" w:eastAsia="zh-CN"/>
                              </w:rPr>
                              <w:t>一体化辅助用房</w:t>
                            </w:r>
                          </w:p>
                        </w:txbxContent>
                      </v:textbox>
                    </v:shape>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3051810</wp:posOffset>
                      </wp:positionH>
                      <wp:positionV relativeFrom="paragraph">
                        <wp:posOffset>2047875</wp:posOffset>
                      </wp:positionV>
                      <wp:extent cx="594995" cy="21526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594995"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568CD">
                                  <w:pPr>
                                    <w:rPr>
                                      <w:rFonts w:hint="default" w:eastAsia="宋体"/>
                                      <w:b/>
                                      <w:bCs/>
                                      <w:sz w:val="13"/>
                                      <w:szCs w:val="13"/>
                                      <w:lang w:val="en-US" w:eastAsia="zh-CN"/>
                                    </w:rPr>
                                  </w:pPr>
                                  <w:r>
                                    <w:rPr>
                                      <w:rFonts w:hint="eastAsia"/>
                                      <w:b/>
                                      <w:bCs/>
                                      <w:sz w:val="13"/>
                                      <w:szCs w:val="13"/>
                                      <w:lang w:val="en-US" w:eastAsia="zh-CN"/>
                                    </w:rPr>
                                    <w:t>站用变1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3pt;margin-top:161.25pt;height:16.95pt;width:46.85pt;z-index:251667456;mso-width-relative:page;mso-height-relative:page;" filled="f" stroked="f" coordsize="21600,21600" o:gfxdata="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2xiB3AAAAAsBAAAPAAAAAAAAAAEAIAAAACIAAABk&#10;cnMvZG93bnJldi54bWxQSwECFAAUAAAACACHTuJAP0ANKDsCAABnBAAADgAAAAAAAAABACAAAAAr&#10;AQAAZHJzL2Uyb0RvYy54bWxQSwUGAAAAAAYABgBZAQAA2AUAAAAA&#10;">
                      <v:fill on="f" focussize="0,0"/>
                      <v:stroke on="f" weight="0.5pt"/>
                      <v:imagedata o:title=""/>
                      <o:lock v:ext="edit" aspectratio="f"/>
                      <v:textbox>
                        <w:txbxContent>
                          <w:p w14:paraId="6E7568CD">
                            <w:pPr>
                              <w:rPr>
                                <w:rFonts w:hint="default" w:eastAsia="宋体"/>
                                <w:b/>
                                <w:bCs/>
                                <w:sz w:val="13"/>
                                <w:szCs w:val="13"/>
                                <w:lang w:val="en-US" w:eastAsia="zh-CN"/>
                              </w:rPr>
                            </w:pPr>
                            <w:r>
                              <w:rPr>
                                <w:rFonts w:hint="eastAsia"/>
                                <w:b/>
                                <w:bCs/>
                                <w:sz w:val="13"/>
                                <w:szCs w:val="13"/>
                                <w:lang w:val="en-US" w:eastAsia="zh-CN"/>
                              </w:rPr>
                              <w:t>站用变1</w:t>
                            </w:r>
                          </w:p>
                        </w:txbxContent>
                      </v:textbox>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2740025</wp:posOffset>
                      </wp:positionH>
                      <wp:positionV relativeFrom="paragraph">
                        <wp:posOffset>1828165</wp:posOffset>
                      </wp:positionV>
                      <wp:extent cx="465455" cy="22606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465455" cy="226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FF10A">
                                  <w:pPr>
                                    <w:rPr>
                                      <w:rFonts w:hint="default" w:eastAsia="宋体"/>
                                      <w:b/>
                                      <w:bCs/>
                                      <w:sz w:val="13"/>
                                      <w:szCs w:val="13"/>
                                      <w:lang w:val="en-US" w:eastAsia="zh-CN"/>
                                    </w:rPr>
                                  </w:pPr>
                                  <w:r>
                                    <w:rPr>
                                      <w:rFonts w:hint="eastAsia"/>
                                      <w:b/>
                                      <w:bCs/>
                                      <w:sz w:val="13"/>
                                      <w:szCs w:val="13"/>
                                      <w:lang w:val="en-US" w:eastAsia="zh-CN"/>
                                    </w:rPr>
                                    <w:t>1#主变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143.95pt;height:17.8pt;width:36.65pt;z-index:251666432;mso-width-relative:page;mso-height-relative:page;" filled="f" stroked="f" coordsize="21600,21600" o:gfxdata="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&#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JCLeNwAAAALAQAADwAAAAAAAAABACAAAAAiAAAA&#10;ZHJzL2Rvd25yZXYueG1sUEsBAhQAFAAAAAgAh07iQOYmsWA8AgAAZwQAAA4AAAAAAAAAAQAgAAAA&#10;KwEAAGRycy9lMm9Eb2MueG1sUEsFBgAAAAAGAAYAWQEAANkFAAAAAA==&#10;">
                      <v:fill on="f" focussize="0,0"/>
                      <v:stroke on="f" weight="0.5pt"/>
                      <v:imagedata o:title=""/>
                      <o:lock v:ext="edit" aspectratio="f"/>
                      <v:textbox>
                        <w:txbxContent>
                          <w:p w14:paraId="451FF10A">
                            <w:pPr>
                              <w:rPr>
                                <w:rFonts w:hint="default" w:eastAsia="宋体"/>
                                <w:b/>
                                <w:bCs/>
                                <w:sz w:val="13"/>
                                <w:szCs w:val="13"/>
                                <w:lang w:val="en-US" w:eastAsia="zh-CN"/>
                              </w:rPr>
                            </w:pPr>
                            <w:r>
                              <w:rPr>
                                <w:rFonts w:hint="eastAsia"/>
                                <w:b/>
                                <w:bCs/>
                                <w:sz w:val="13"/>
                                <w:szCs w:val="13"/>
                                <w:lang w:val="en-US" w:eastAsia="zh-CN"/>
                              </w:rPr>
                              <w:t>1#主变</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2411730</wp:posOffset>
                      </wp:positionH>
                      <wp:positionV relativeFrom="paragraph">
                        <wp:posOffset>1830070</wp:posOffset>
                      </wp:positionV>
                      <wp:extent cx="465455" cy="215265"/>
                      <wp:effectExtent l="0" t="0" r="0" b="0"/>
                      <wp:wrapNone/>
                      <wp:docPr id="59" name="文本框 59"/>
                      <wp:cNvGraphicFramePr/>
                      <a:graphic xmlns:a="http://schemas.openxmlformats.org/drawingml/2006/main">
                        <a:graphicData uri="http://schemas.microsoft.com/office/word/2010/wordprocessingShape">
                          <wps:wsp>
                            <wps:cNvSpPr txBox="1"/>
                            <wps:spPr>
                              <a:xfrm>
                                <a:off x="3810635" y="4092575"/>
                                <a:ext cx="465455"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578EE">
                                  <w:pPr>
                                    <w:rPr>
                                      <w:rFonts w:hint="default" w:eastAsia="宋体"/>
                                      <w:b/>
                                      <w:bCs/>
                                      <w:sz w:val="13"/>
                                      <w:szCs w:val="13"/>
                                      <w:lang w:val="en-US" w:eastAsia="zh-CN"/>
                                    </w:rPr>
                                  </w:pPr>
                                  <w:r>
                                    <w:rPr>
                                      <w:rFonts w:hint="eastAsia"/>
                                      <w:b/>
                                      <w:bCs/>
                                      <w:sz w:val="13"/>
                                      <w:szCs w:val="13"/>
                                      <w:lang w:val="en-US" w:eastAsia="zh-CN"/>
                                    </w:rPr>
                                    <w:t>2#主变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pt;margin-top:144.1pt;height:16.95pt;width:36.65pt;z-index:251665408;mso-width-relative:page;mso-height-relative:page;" filled="f" stroked="f" coordsize="21600,21600" o:gfxdata="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K617NsAAAALAQAADwAAAAAA&#10;AAABACAAAAAiAAAAZHJzL2Rvd25yZXYueG1sUEsBAhQAFAAAAAgAh07iQKDzeTtJAgAAcwQAAA4A&#10;AAAAAAAAAQAgAAAAKgEAAGRycy9lMm9Eb2MueG1sUEsFBgAAAAAGAAYAWQEAAOUFAAAAAA==&#10;">
                      <v:fill on="f" focussize="0,0"/>
                      <v:stroke on="f" weight="0.5pt"/>
                      <v:imagedata o:title=""/>
                      <o:lock v:ext="edit" aspectratio="f"/>
                      <v:textbox>
                        <w:txbxContent>
                          <w:p w14:paraId="0E4578EE">
                            <w:pPr>
                              <w:rPr>
                                <w:rFonts w:hint="default" w:eastAsia="宋体"/>
                                <w:b/>
                                <w:bCs/>
                                <w:sz w:val="13"/>
                                <w:szCs w:val="13"/>
                                <w:lang w:val="en-US" w:eastAsia="zh-CN"/>
                              </w:rPr>
                            </w:pPr>
                            <w:r>
                              <w:rPr>
                                <w:rFonts w:hint="eastAsia"/>
                                <w:b/>
                                <w:bCs/>
                                <w:sz w:val="13"/>
                                <w:szCs w:val="13"/>
                                <w:lang w:val="en-US" w:eastAsia="zh-CN"/>
                              </w:rPr>
                              <w:t>2#主变</w:t>
                            </w:r>
                          </w:p>
                        </w:txbxContent>
                      </v:textbox>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2406650</wp:posOffset>
                      </wp:positionH>
                      <wp:positionV relativeFrom="paragraph">
                        <wp:posOffset>2228215</wp:posOffset>
                      </wp:positionV>
                      <wp:extent cx="624205" cy="21526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624205"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A5801">
                                  <w:pPr>
                                    <w:rPr>
                                      <w:rFonts w:hint="default" w:eastAsia="宋体"/>
                                      <w:b/>
                                      <w:bCs/>
                                      <w:sz w:val="13"/>
                                      <w:szCs w:val="13"/>
                                      <w:lang w:val="en-US" w:eastAsia="zh-CN"/>
                                    </w:rPr>
                                  </w:pPr>
                                  <w:r>
                                    <w:rPr>
                                      <w:rFonts w:hint="eastAsia"/>
                                      <w:b/>
                                      <w:bCs/>
                                      <w:sz w:val="13"/>
                                      <w:szCs w:val="13"/>
                                      <w:lang w:val="en-US" w:eastAsia="zh-CN"/>
                                    </w:rPr>
                                    <w:t>配电装置室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175.45pt;height:16.95pt;width:49.15pt;z-index:251670528;mso-width-relative:page;mso-height-relative:page;" filled="f" stroked="f" coordsize="21600,21600" o:gfxdata="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pmw73AAAAAsBAAAPAAAAAAAAAAEAIAAAACIAAABk&#10;cnMvZG93bnJldi54bWxQSwECFAAUAAAACACHTuJAKcGwDzsCAABpBAAADgAAAAAAAAABACAAAAAr&#10;AQAAZHJzL2Uyb0RvYy54bWxQSwUGAAAAAAYABgBZAQAA2AUAAAAA&#10;">
                      <v:fill on="f" focussize="0,0"/>
                      <v:stroke on="f" weight="0.5pt"/>
                      <v:imagedata o:title=""/>
                      <o:lock v:ext="edit" aspectratio="f"/>
                      <v:textbox>
                        <w:txbxContent>
                          <w:p w14:paraId="1D7A5801">
                            <w:pPr>
                              <w:rPr>
                                <w:rFonts w:hint="default" w:eastAsia="宋体"/>
                                <w:b/>
                                <w:bCs/>
                                <w:sz w:val="13"/>
                                <w:szCs w:val="13"/>
                                <w:lang w:val="en-US" w:eastAsia="zh-CN"/>
                              </w:rPr>
                            </w:pPr>
                            <w:r>
                              <w:rPr>
                                <w:rFonts w:hint="eastAsia"/>
                                <w:b/>
                                <w:bCs/>
                                <w:sz w:val="13"/>
                                <w:szCs w:val="13"/>
                                <w:lang w:val="en-US" w:eastAsia="zh-CN"/>
                              </w:rPr>
                              <w:t>配电装置室</w:t>
                            </w:r>
                          </w:p>
                        </w:txbxContent>
                      </v:textbox>
                    </v:shape>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3045460</wp:posOffset>
                      </wp:positionH>
                      <wp:positionV relativeFrom="paragraph">
                        <wp:posOffset>1874520</wp:posOffset>
                      </wp:positionV>
                      <wp:extent cx="534670" cy="21526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534670" cy="215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8AC247">
                                  <w:pPr>
                                    <w:rPr>
                                      <w:rFonts w:hint="default" w:eastAsia="宋体"/>
                                      <w:b/>
                                      <w:bCs/>
                                      <w:sz w:val="13"/>
                                      <w:szCs w:val="13"/>
                                      <w:lang w:val="en-US" w:eastAsia="zh-CN"/>
                                    </w:rPr>
                                  </w:pPr>
                                  <w:r>
                                    <w:rPr>
                                      <w:rFonts w:hint="eastAsia"/>
                                      <w:b/>
                                      <w:bCs/>
                                      <w:sz w:val="13"/>
                                      <w:szCs w:val="13"/>
                                      <w:lang w:val="en-US" w:eastAsia="zh-CN"/>
                                    </w:rPr>
                                    <w:t>站用变2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8pt;margin-top:147.6pt;height:16.95pt;width:42.1pt;z-index:251668480;mso-width-relative:page;mso-height-relative:page;" filled="f" stroked="f" coordsize="21600,21600" o:gfxdata="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Uks+3QAAAAsBAAAPAAAAAAAAAAEAIAAAACIA&#10;AABkcnMvZG93bnJldi54bWxQSwECFAAUAAAACACHTuJA/BFlFj0CAABpBAAADgAAAAAAAAABACAA&#10;AAAsAQAAZHJzL2Uyb0RvYy54bWxQSwUGAAAAAAYABgBZAQAA2wUAAAAA&#10;">
                      <v:fill on="f" focussize="0,0"/>
                      <v:stroke on="f" weight="0.5pt"/>
                      <v:imagedata o:title=""/>
                      <o:lock v:ext="edit" aspectratio="f"/>
                      <v:textbox>
                        <w:txbxContent>
                          <w:p w14:paraId="2F8AC247">
                            <w:pPr>
                              <w:rPr>
                                <w:rFonts w:hint="default" w:eastAsia="宋体"/>
                                <w:b/>
                                <w:bCs/>
                                <w:sz w:val="13"/>
                                <w:szCs w:val="13"/>
                                <w:lang w:val="en-US" w:eastAsia="zh-CN"/>
                              </w:rPr>
                            </w:pPr>
                            <w:r>
                              <w:rPr>
                                <w:rFonts w:hint="eastAsia"/>
                                <w:b/>
                                <w:bCs/>
                                <w:sz w:val="13"/>
                                <w:szCs w:val="13"/>
                                <w:lang w:val="en-US" w:eastAsia="zh-CN"/>
                              </w:rPr>
                              <w:t>站用变2</w:t>
                            </w:r>
                          </w:p>
                        </w:txbxContent>
                      </v:textbox>
                    </v:shape>
                  </w:pict>
                </mc:Fallback>
              </mc:AlternateContent>
            </w: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3473450</wp:posOffset>
                      </wp:positionH>
                      <wp:positionV relativeFrom="paragraph">
                        <wp:posOffset>1630045</wp:posOffset>
                      </wp:positionV>
                      <wp:extent cx="274320" cy="7175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274320" cy="717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2FF6F">
                                  <w:pPr>
                                    <w:rPr>
                                      <w:rFonts w:hint="eastAsia"/>
                                      <w:b/>
                                      <w:bCs/>
                                      <w:sz w:val="13"/>
                                      <w:szCs w:val="13"/>
                                      <w:lang w:val="en-US" w:eastAsia="zh-CN"/>
                                    </w:rPr>
                                  </w:pPr>
                                  <w:r>
                                    <w:rPr>
                                      <w:rFonts w:hint="eastAsia"/>
                                      <w:b/>
                                      <w:bCs/>
                                      <w:sz w:val="13"/>
                                      <w:szCs w:val="13"/>
                                      <w:lang w:val="en-US" w:eastAsia="zh-CN"/>
                                    </w:rPr>
                                    <w:t>变</w:t>
                                  </w:r>
                                </w:p>
                                <w:p w14:paraId="08B9F4CD">
                                  <w:pPr>
                                    <w:rPr>
                                      <w:rFonts w:hint="eastAsia"/>
                                      <w:b/>
                                      <w:bCs/>
                                      <w:sz w:val="13"/>
                                      <w:szCs w:val="13"/>
                                      <w:lang w:val="en-US" w:eastAsia="zh-CN"/>
                                    </w:rPr>
                                  </w:pPr>
                                  <w:r>
                                    <w:rPr>
                                      <w:rFonts w:hint="eastAsia"/>
                                      <w:b/>
                                      <w:bCs/>
                                      <w:sz w:val="13"/>
                                      <w:szCs w:val="13"/>
                                      <w:lang w:val="en-US" w:eastAsia="zh-CN"/>
                                    </w:rPr>
                                    <w:t>电</w:t>
                                  </w:r>
                                </w:p>
                                <w:p w14:paraId="44A9372C">
                                  <w:pPr>
                                    <w:rPr>
                                      <w:rFonts w:hint="eastAsia"/>
                                      <w:b/>
                                      <w:bCs/>
                                      <w:sz w:val="13"/>
                                      <w:szCs w:val="13"/>
                                      <w:lang w:val="en-US" w:eastAsia="zh-CN"/>
                                    </w:rPr>
                                  </w:pPr>
                                  <w:r>
                                    <w:rPr>
                                      <w:rFonts w:hint="eastAsia"/>
                                      <w:b/>
                                      <w:bCs/>
                                      <w:sz w:val="13"/>
                                      <w:szCs w:val="13"/>
                                      <w:lang w:val="en-US" w:eastAsia="zh-CN"/>
                                    </w:rPr>
                                    <w:t>站</w:t>
                                  </w:r>
                                </w:p>
                                <w:p w14:paraId="02A52FD1">
                                  <w:pPr>
                                    <w:rPr>
                                      <w:rFonts w:hint="default" w:eastAsia="宋体"/>
                                      <w:b/>
                                      <w:bCs/>
                                      <w:sz w:val="13"/>
                                      <w:szCs w:val="13"/>
                                      <w:lang w:val="en-US" w:eastAsia="zh-CN"/>
                                    </w:rPr>
                                  </w:pPr>
                                  <w:r>
                                    <w:rPr>
                                      <w:rFonts w:hint="eastAsia"/>
                                      <w:b/>
                                      <w:bCs/>
                                      <w:sz w:val="13"/>
                                      <w:szCs w:val="13"/>
                                      <w:lang w:val="en-US" w:eastAsia="zh-CN"/>
                                    </w:rPr>
                                    <w:t>围墙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128.35pt;height:56.5pt;width:21.6pt;z-index:251669504;mso-width-relative:page;mso-height-relative:page;" filled="f" stroked="f" coordsize="21600,21600" o:gfxdata="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CMI/dAAAACwEAAA8AAAAAAAAAAQAgAAAAIgAA&#10;AGRycy9kb3ducmV2LnhtbFBLAQIUABQAAAAIAIdO4kD3bA88PAIAAGkEAAAOAAAAAAAAAAEAIAAA&#10;ACwBAABkcnMvZTJvRG9jLnhtbFBLBQYAAAAABgAGAFkBAADaBQAAAAA=&#10;">
                      <v:fill on="f" focussize="0,0"/>
                      <v:stroke on="f" weight="0.5pt"/>
                      <v:imagedata o:title=""/>
                      <o:lock v:ext="edit" aspectratio="f"/>
                      <v:textbox>
                        <w:txbxContent>
                          <w:p w14:paraId="7B72FF6F">
                            <w:pPr>
                              <w:rPr>
                                <w:rFonts w:hint="eastAsia"/>
                                <w:b/>
                                <w:bCs/>
                                <w:sz w:val="13"/>
                                <w:szCs w:val="13"/>
                                <w:lang w:val="en-US" w:eastAsia="zh-CN"/>
                              </w:rPr>
                            </w:pPr>
                            <w:r>
                              <w:rPr>
                                <w:rFonts w:hint="eastAsia"/>
                                <w:b/>
                                <w:bCs/>
                                <w:sz w:val="13"/>
                                <w:szCs w:val="13"/>
                                <w:lang w:val="en-US" w:eastAsia="zh-CN"/>
                              </w:rPr>
                              <w:t>变</w:t>
                            </w:r>
                          </w:p>
                          <w:p w14:paraId="08B9F4CD">
                            <w:pPr>
                              <w:rPr>
                                <w:rFonts w:hint="eastAsia"/>
                                <w:b/>
                                <w:bCs/>
                                <w:sz w:val="13"/>
                                <w:szCs w:val="13"/>
                                <w:lang w:val="en-US" w:eastAsia="zh-CN"/>
                              </w:rPr>
                            </w:pPr>
                            <w:r>
                              <w:rPr>
                                <w:rFonts w:hint="eastAsia"/>
                                <w:b/>
                                <w:bCs/>
                                <w:sz w:val="13"/>
                                <w:szCs w:val="13"/>
                                <w:lang w:val="en-US" w:eastAsia="zh-CN"/>
                              </w:rPr>
                              <w:t>电</w:t>
                            </w:r>
                          </w:p>
                          <w:p w14:paraId="44A9372C">
                            <w:pPr>
                              <w:rPr>
                                <w:rFonts w:hint="eastAsia"/>
                                <w:b/>
                                <w:bCs/>
                                <w:sz w:val="13"/>
                                <w:szCs w:val="13"/>
                                <w:lang w:val="en-US" w:eastAsia="zh-CN"/>
                              </w:rPr>
                            </w:pPr>
                            <w:r>
                              <w:rPr>
                                <w:rFonts w:hint="eastAsia"/>
                                <w:b/>
                                <w:bCs/>
                                <w:sz w:val="13"/>
                                <w:szCs w:val="13"/>
                                <w:lang w:val="en-US" w:eastAsia="zh-CN"/>
                              </w:rPr>
                              <w:t>站</w:t>
                            </w:r>
                          </w:p>
                          <w:p w14:paraId="02A52FD1">
                            <w:pPr>
                              <w:rPr>
                                <w:rFonts w:hint="default" w:eastAsia="宋体"/>
                                <w:b/>
                                <w:bCs/>
                                <w:sz w:val="13"/>
                                <w:szCs w:val="13"/>
                                <w:lang w:val="en-US" w:eastAsia="zh-CN"/>
                              </w:rPr>
                            </w:pPr>
                            <w:r>
                              <w:rPr>
                                <w:rFonts w:hint="eastAsia"/>
                                <w:b/>
                                <w:bCs/>
                                <w:sz w:val="13"/>
                                <w:szCs w:val="13"/>
                                <w:lang w:val="en-US" w:eastAsia="zh-CN"/>
                              </w:rPr>
                              <w:t>围墙</w:t>
                            </w:r>
                          </w:p>
                        </w:txbxContent>
                      </v:textbox>
                    </v:shape>
                  </w:pict>
                </mc:Fallback>
              </mc:AlternateContent>
            </w:r>
            <w:r>
              <w:rPr>
                <w:color w:val="auto"/>
                <w:highlight w:val="none"/>
              </w:rPr>
              <w:drawing>
                <wp:inline distT="0" distB="0" distL="114300" distR="114300">
                  <wp:extent cx="5194300" cy="3782695"/>
                  <wp:effectExtent l="0" t="0" r="6350" b="825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5194300" cy="3782695"/>
                          </a:xfrm>
                          <a:prstGeom prst="rect">
                            <a:avLst/>
                          </a:prstGeom>
                          <a:noFill/>
                          <a:ln>
                            <a:noFill/>
                          </a:ln>
                        </pic:spPr>
                      </pic:pic>
                    </a:graphicData>
                  </a:graphic>
                </wp:inline>
              </w:drawing>
            </w:r>
          </w:p>
          <w:p w14:paraId="3B1D65AF">
            <w:pPr>
              <w:pStyle w:val="18"/>
              <w:spacing w:line="360" w:lineRule="auto"/>
              <w:jc w:val="center"/>
              <w:rPr>
                <w:b/>
                <w:bCs/>
                <w:color w:val="auto"/>
                <w:sz w:val="24"/>
                <w:highlight w:val="none"/>
              </w:rPr>
            </w:pPr>
            <w:r>
              <w:rPr>
                <w:rFonts w:hint="default" w:ascii="Times New Roman" w:hAnsi="Times New Roman" w:eastAsia="黑体" w:cs="Times New Roman"/>
                <w:b/>
                <w:bCs/>
                <w:color w:val="auto"/>
                <w:sz w:val="24"/>
                <w:highlight w:val="none"/>
                <w:lang w:val="en-US" w:eastAsia="zh-CN"/>
              </w:rPr>
              <w:t>图</w:t>
            </w:r>
            <w:r>
              <w:rPr>
                <w:rFonts w:hint="eastAsia" w:ascii="Times New Roman" w:hAnsi="Times New Roman" w:eastAsia="黑体" w:cs="Times New Roman"/>
                <w:b/>
                <w:bCs/>
                <w:color w:val="auto"/>
                <w:sz w:val="24"/>
                <w:highlight w:val="none"/>
                <w:lang w:val="en-US" w:eastAsia="zh-CN"/>
              </w:rPr>
              <w:t>4-1</w:t>
            </w:r>
            <w:r>
              <w:rPr>
                <w:rFonts w:hint="default" w:ascii="Times New Roman" w:hAnsi="Times New Roman" w:eastAsia="黑体" w:cs="Times New Roman"/>
                <w:b/>
                <w:bCs/>
                <w:color w:val="auto"/>
                <w:sz w:val="24"/>
                <w:highlight w:val="none"/>
                <w:lang w:val="en-US" w:eastAsia="zh-CN"/>
              </w:rPr>
              <w:t xml:space="preserve">  变电站对周围声环境的贡献值等声级曲线预测图</w:t>
            </w:r>
          </w:p>
          <w:p w14:paraId="55136597">
            <w:pPr>
              <w:spacing w:line="360" w:lineRule="auto"/>
              <w:ind w:firstLine="472" w:firstLineChars="196"/>
              <w:rPr>
                <w:rFonts w:hint="eastAsia"/>
                <w:b/>
                <w:bCs/>
                <w:color w:val="auto"/>
                <w:sz w:val="24"/>
                <w:highlight w:val="none"/>
                <w:lang w:val="en-US" w:eastAsia="zh-CN"/>
              </w:rPr>
            </w:pPr>
            <w:r>
              <w:rPr>
                <w:b/>
                <w:bCs/>
                <w:color w:val="auto"/>
                <w:sz w:val="24"/>
                <w:highlight w:val="none"/>
              </w:rPr>
              <w:t>（</w:t>
            </w:r>
            <w:r>
              <w:rPr>
                <w:rFonts w:hint="eastAsia"/>
                <w:b/>
                <w:bCs/>
                <w:color w:val="auto"/>
                <w:sz w:val="24"/>
                <w:highlight w:val="none"/>
                <w:lang w:val="en-US" w:eastAsia="zh-CN"/>
              </w:rPr>
              <w:t>2</w:t>
            </w:r>
            <w:r>
              <w:rPr>
                <w:b/>
                <w:bCs/>
                <w:color w:val="auto"/>
                <w:sz w:val="24"/>
                <w:highlight w:val="none"/>
              </w:rPr>
              <w:t>）</w:t>
            </w:r>
            <w:r>
              <w:rPr>
                <w:rFonts w:hint="eastAsia"/>
                <w:b/>
                <w:bCs/>
                <w:color w:val="auto"/>
                <w:sz w:val="24"/>
                <w:highlight w:val="none"/>
                <w:lang w:val="en-US" w:eastAsia="zh-CN"/>
              </w:rPr>
              <w:t>输电线路工程</w:t>
            </w:r>
          </w:p>
          <w:p w14:paraId="2ECFE849">
            <w:pPr>
              <w:spacing w:line="360" w:lineRule="auto"/>
              <w:ind w:firstLine="470" w:firstLineChars="196"/>
              <w:rPr>
                <w:rFonts w:hint="eastAsia" w:eastAsia="宋体"/>
                <w:b w:val="0"/>
                <w:bCs w:val="0"/>
                <w:color w:val="auto"/>
                <w:sz w:val="24"/>
                <w:highlight w:val="none"/>
                <w:lang w:eastAsia="zh-CN"/>
              </w:rPr>
            </w:pPr>
            <w:r>
              <w:rPr>
                <w:rFonts w:hint="eastAsia"/>
                <w:b w:val="0"/>
                <w:bCs w:val="0"/>
                <w:color w:val="auto"/>
                <w:sz w:val="24"/>
                <w:highlight w:val="none"/>
                <w:lang w:val="en-US" w:eastAsia="zh-CN"/>
              </w:rPr>
              <w:t>1）</w:t>
            </w:r>
            <w:r>
              <w:rPr>
                <w:rFonts w:hint="eastAsia" w:cs="Times New Roman"/>
                <w:b w:val="0"/>
                <w:bCs w:val="0"/>
                <w:color w:val="auto"/>
                <w:sz w:val="24"/>
                <w:highlight w:val="none"/>
                <w:lang w:val="en-US" w:eastAsia="zh-CN"/>
              </w:rPr>
              <w:t>110kV</w:t>
            </w:r>
            <w:r>
              <w:rPr>
                <w:rFonts w:hint="default" w:ascii="Times New Roman" w:hAnsi="Times New Roman" w:cs="Times New Roman"/>
                <w:b w:val="0"/>
                <w:bCs w:val="0"/>
                <w:color w:val="auto"/>
                <w:sz w:val="24"/>
                <w:highlight w:val="none"/>
              </w:rPr>
              <w:t>单回路</w:t>
            </w:r>
            <w:r>
              <w:rPr>
                <w:rFonts w:hint="eastAsia" w:ascii="Times New Roman" w:hAnsi="Times New Roman" w:cs="Times New Roman"/>
                <w:b w:val="0"/>
                <w:bCs w:val="0"/>
                <w:color w:val="auto"/>
                <w:sz w:val="24"/>
                <w:highlight w:val="none"/>
                <w:lang w:val="en-US" w:eastAsia="zh-CN"/>
              </w:rPr>
              <w:t>架空线路</w:t>
            </w:r>
          </w:p>
          <w:p w14:paraId="790EF37C">
            <w:pPr>
              <w:spacing w:line="360" w:lineRule="auto"/>
              <w:ind w:firstLine="480" w:firstLineChars="200"/>
              <w:rPr>
                <w:color w:val="auto"/>
                <w:sz w:val="24"/>
                <w:highlight w:val="none"/>
              </w:rPr>
            </w:pPr>
            <w:r>
              <w:rPr>
                <w:color w:val="auto"/>
                <w:sz w:val="24"/>
                <w:highlight w:val="none"/>
              </w:rPr>
              <w:t>①选择类比对象</w:t>
            </w:r>
          </w:p>
          <w:p w14:paraId="4D9FDA60">
            <w:pPr>
              <w:pStyle w:val="8"/>
              <w:spacing w:after="0" w:line="360" w:lineRule="auto"/>
              <w:ind w:left="0" w:leftChars="0"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线路涉及单回路架设段，本次</w:t>
            </w:r>
            <w:r>
              <w:rPr>
                <w:color w:val="auto"/>
                <w:sz w:val="24"/>
                <w:highlight w:val="none"/>
              </w:rPr>
              <w:t>选取同规模已运行线路进行类比</w:t>
            </w:r>
            <w:r>
              <w:rPr>
                <w:rFonts w:hint="eastAsia"/>
                <w:color w:val="auto"/>
                <w:sz w:val="24"/>
                <w:highlight w:val="none"/>
                <w:lang w:val="en-US" w:eastAsia="zh-CN"/>
              </w:rPr>
              <w:t>监测</w:t>
            </w:r>
            <w:r>
              <w:rPr>
                <w:color w:val="auto"/>
                <w:sz w:val="24"/>
                <w:highlight w:val="none"/>
              </w:rPr>
              <w:t>的方法来分析本项目</w:t>
            </w:r>
            <w:r>
              <w:rPr>
                <w:rFonts w:hint="eastAsia"/>
                <w:color w:val="auto"/>
                <w:sz w:val="24"/>
                <w:highlight w:val="none"/>
                <w:lang w:val="en-US" w:eastAsia="zh-CN"/>
              </w:rPr>
              <w:t>线路单回路段</w:t>
            </w:r>
            <w:r>
              <w:rPr>
                <w:color w:val="auto"/>
                <w:sz w:val="24"/>
                <w:highlight w:val="none"/>
              </w:rPr>
              <w:t>产生的噪声对周围环境的影响。类比监测线路选择已运行的</w:t>
            </w:r>
            <w:r>
              <w:rPr>
                <w:rFonts w:hint="default"/>
                <w:color w:val="auto"/>
                <w:sz w:val="24"/>
                <w:highlight w:val="none"/>
                <w:lang w:val="en-US" w:eastAsia="zh-CN"/>
              </w:rPr>
              <w:t>110千伏开镁线5#-6#杆塔间（线高16m）</w:t>
            </w:r>
            <w:r>
              <w:rPr>
                <w:rFonts w:hint="eastAsia"/>
                <w:color w:val="auto"/>
                <w:sz w:val="24"/>
                <w:highlight w:val="none"/>
                <w:lang w:val="en-US" w:eastAsia="zh-CN"/>
              </w:rPr>
              <w:t>单回线路</w:t>
            </w:r>
            <w:r>
              <w:rPr>
                <w:color w:val="auto"/>
                <w:sz w:val="24"/>
                <w:highlight w:val="none"/>
              </w:rPr>
              <w:t>进行类比，监测结果引用《</w:t>
            </w:r>
            <w:r>
              <w:rPr>
                <w:rFonts w:hint="default"/>
                <w:color w:val="auto"/>
                <w:sz w:val="24"/>
                <w:highlight w:val="none"/>
              </w:rPr>
              <w:t>宁夏吴忠开镁线110</w:t>
            </w:r>
            <w:r>
              <w:rPr>
                <w:rFonts w:hint="default"/>
                <w:color w:val="auto"/>
                <w:sz w:val="24"/>
                <w:highlight w:val="none"/>
                <w:lang w:val="en-US" w:eastAsia="zh-CN"/>
              </w:rPr>
              <w:t>千伏</w:t>
            </w:r>
            <w:r>
              <w:rPr>
                <w:rFonts w:hint="default"/>
                <w:color w:val="auto"/>
                <w:sz w:val="24"/>
                <w:highlight w:val="none"/>
              </w:rPr>
              <w:t>线路改造工程竣工环境保护验收调查报告表</w:t>
            </w:r>
            <w:r>
              <w:rPr>
                <w:color w:val="auto"/>
                <w:sz w:val="24"/>
                <w:highlight w:val="none"/>
              </w:rPr>
              <w:t>》中的监测数据。</w:t>
            </w:r>
          </w:p>
          <w:p w14:paraId="0889784F">
            <w:pPr>
              <w:spacing w:line="360" w:lineRule="auto"/>
              <w:ind w:firstLine="480" w:firstLineChars="200"/>
              <w:rPr>
                <w:color w:val="auto"/>
                <w:sz w:val="24"/>
                <w:highlight w:val="none"/>
              </w:rPr>
            </w:pPr>
            <w:r>
              <w:rPr>
                <w:color w:val="auto"/>
                <w:sz w:val="24"/>
                <w:highlight w:val="none"/>
              </w:rPr>
              <w:t>线路产生的噪声主要与线路电压等级、导线架设方式、导线排列方式等因素有关，</w:t>
            </w:r>
            <w:r>
              <w:rPr>
                <w:rFonts w:hint="eastAsia" w:ascii="Times New Roman" w:hAnsi="Times New Roman" w:cs="Times New Roman"/>
                <w:color w:val="auto"/>
                <w:sz w:val="24"/>
                <w:highlight w:val="none"/>
                <w:lang w:val="en-US" w:eastAsia="zh-CN"/>
              </w:rPr>
              <w:t>类比条件分析详见表4-</w:t>
            </w:r>
            <w:r>
              <w:rPr>
                <w:rFonts w:hint="eastAsia" w:cs="Times New Roman"/>
                <w:color w:val="auto"/>
                <w:sz w:val="24"/>
                <w:highlight w:val="none"/>
                <w:lang w:val="en-US" w:eastAsia="zh-CN"/>
              </w:rPr>
              <w:t>8</w:t>
            </w:r>
            <w:r>
              <w:rPr>
                <w:color w:val="auto"/>
                <w:sz w:val="24"/>
                <w:highlight w:val="none"/>
              </w:rPr>
              <w:t>。</w:t>
            </w:r>
          </w:p>
          <w:p w14:paraId="36E618C5">
            <w:pPr>
              <w:spacing w:line="360" w:lineRule="auto"/>
              <w:jc w:val="center"/>
              <w:rPr>
                <w:rFonts w:hint="eastAsia" w:ascii="黑体" w:hAnsi="黑体" w:cs="宋体"/>
                <w:b/>
                <w:bCs/>
                <w:color w:val="auto"/>
                <w:sz w:val="24"/>
                <w:highlight w:val="none"/>
              </w:rPr>
            </w:pPr>
            <w:r>
              <w:rPr>
                <w:rFonts w:hint="eastAsia" w:ascii="Times New Roman" w:hAnsi="Times New Roman" w:eastAsia="黑体" w:cs="Times New Roman"/>
                <w:b/>
                <w:color w:val="auto"/>
                <w:sz w:val="24"/>
                <w:highlight w:val="none"/>
              </w:rPr>
              <w:t>表4-</w:t>
            </w:r>
            <w:r>
              <w:rPr>
                <w:rFonts w:hint="eastAsia" w:eastAsia="黑体" w:cs="Times New Roman"/>
                <w:b/>
                <w:color w:val="auto"/>
                <w:sz w:val="24"/>
                <w:highlight w:val="none"/>
                <w:lang w:val="en-US" w:eastAsia="zh-CN"/>
              </w:rPr>
              <w:t>8</w:t>
            </w:r>
            <w:r>
              <w:rPr>
                <w:rFonts w:hint="eastAsia" w:ascii="Times New Roman" w:hAnsi="Times New Roman" w:eastAsia="黑体" w:cs="Times New Roman"/>
                <w:b/>
                <w:color w:val="auto"/>
                <w:sz w:val="24"/>
                <w:highlight w:val="none"/>
                <w:lang w:val="en-US" w:eastAsia="zh-CN"/>
              </w:rPr>
              <w:t xml:space="preserve"> </w:t>
            </w:r>
            <w:r>
              <w:rPr>
                <w:rFonts w:hint="eastAsia" w:ascii="Times New Roman" w:hAnsi="Times New Roman" w:eastAsia="黑体" w:cs="Times New Roman"/>
                <w:b/>
                <w:color w:val="auto"/>
                <w:sz w:val="24"/>
                <w:highlight w:val="none"/>
              </w:rPr>
              <w:t xml:space="preserve"> 110kV单回路架空线路类比情况一览表</w:t>
            </w:r>
          </w:p>
          <w:tbl>
            <w:tblPr>
              <w:tblStyle w:val="28"/>
              <w:tblW w:w="47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3332"/>
              <w:gridCol w:w="3073"/>
            </w:tblGrid>
            <w:tr w14:paraId="31B68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765" w:type="dxa"/>
                  <w:noWrap w:val="0"/>
                  <w:vAlign w:val="center"/>
                </w:tcPr>
                <w:p w14:paraId="2A86AC84">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项目</w:t>
                  </w:r>
                </w:p>
              </w:tc>
              <w:tc>
                <w:tcPr>
                  <w:tcW w:w="3332" w:type="dxa"/>
                  <w:noWrap w:val="0"/>
                  <w:vAlign w:val="center"/>
                </w:tcPr>
                <w:p w14:paraId="05ADE2E6">
                  <w:pPr>
                    <w:pStyle w:val="47"/>
                    <w:spacing w:line="240" w:lineRule="atLeast"/>
                    <w:ind w:firstLine="0" w:firstLineChars="0"/>
                    <w:jc w:val="center"/>
                    <w:textAlignment w:val="center"/>
                    <w:rPr>
                      <w:rFonts w:eastAsia="宋体"/>
                      <w:color w:val="auto"/>
                      <w:sz w:val="21"/>
                      <w:szCs w:val="21"/>
                      <w:highlight w:val="none"/>
                    </w:rPr>
                  </w:pPr>
                  <w:r>
                    <w:rPr>
                      <w:rFonts w:eastAsia="宋体"/>
                      <w:color w:val="auto"/>
                      <w:sz w:val="21"/>
                      <w:szCs w:val="21"/>
                      <w:highlight w:val="none"/>
                    </w:rPr>
                    <w:t>本项目单回架空线路</w:t>
                  </w:r>
                </w:p>
              </w:tc>
              <w:tc>
                <w:tcPr>
                  <w:tcW w:w="3073" w:type="dxa"/>
                  <w:shd w:val="clear" w:color="auto" w:fill="auto"/>
                  <w:noWrap w:val="0"/>
                  <w:vAlign w:val="center"/>
                </w:tcPr>
                <w:p w14:paraId="1882DD7A">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110千伏开镁线5#-6#杆塔间类比线路</w:t>
                  </w:r>
                </w:p>
              </w:tc>
            </w:tr>
            <w:tr w14:paraId="3696F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65" w:type="dxa"/>
                  <w:noWrap w:val="0"/>
                  <w:vAlign w:val="center"/>
                </w:tcPr>
                <w:p w14:paraId="004C0E8F">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所在位置</w:t>
                  </w:r>
                </w:p>
              </w:tc>
              <w:tc>
                <w:tcPr>
                  <w:tcW w:w="3332" w:type="dxa"/>
                  <w:noWrap w:val="0"/>
                  <w:vAlign w:val="center"/>
                </w:tcPr>
                <w:p w14:paraId="417992FD">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eastAsia="宋体"/>
                      <w:color w:val="auto"/>
                      <w:sz w:val="21"/>
                      <w:szCs w:val="21"/>
                      <w:highlight w:val="none"/>
                    </w:rPr>
                    <w:t>宁夏回族自治区</w:t>
                  </w:r>
                  <w:r>
                    <w:rPr>
                      <w:rFonts w:hint="eastAsia" w:eastAsia="宋体"/>
                      <w:color w:val="auto"/>
                      <w:sz w:val="21"/>
                      <w:szCs w:val="21"/>
                      <w:highlight w:val="none"/>
                      <w:lang w:val="en-US" w:eastAsia="zh-CN"/>
                    </w:rPr>
                    <w:t>固原市</w:t>
                  </w:r>
                </w:p>
              </w:tc>
              <w:tc>
                <w:tcPr>
                  <w:tcW w:w="3073" w:type="dxa"/>
                  <w:shd w:val="clear" w:color="auto" w:fill="auto"/>
                  <w:noWrap w:val="0"/>
                  <w:vAlign w:val="center"/>
                </w:tcPr>
                <w:p w14:paraId="3502E251">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宁夏回族自治区</w:t>
                  </w:r>
                  <w:r>
                    <w:rPr>
                      <w:rFonts w:hint="eastAsia" w:eastAsia="宋体" w:cs="Times New Roman"/>
                      <w:color w:val="auto"/>
                      <w:sz w:val="21"/>
                      <w:szCs w:val="21"/>
                      <w:highlight w:val="none"/>
                      <w:lang w:val="en-US" w:eastAsia="zh-CN"/>
                    </w:rPr>
                    <w:t>吴忠</w:t>
                  </w:r>
                  <w:r>
                    <w:rPr>
                      <w:rFonts w:hint="default" w:ascii="Times New Roman" w:hAnsi="Times New Roman" w:eastAsia="宋体" w:cs="Times New Roman"/>
                      <w:color w:val="auto"/>
                      <w:sz w:val="21"/>
                      <w:szCs w:val="21"/>
                      <w:highlight w:val="none"/>
                      <w:lang w:val="en-US" w:eastAsia="zh-CN"/>
                    </w:rPr>
                    <w:t>市</w:t>
                  </w:r>
                </w:p>
              </w:tc>
            </w:tr>
            <w:tr w14:paraId="4716C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5" w:type="dxa"/>
                  <w:noWrap w:val="0"/>
                  <w:vAlign w:val="center"/>
                </w:tcPr>
                <w:p w14:paraId="26C468AC">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电压等级</w:t>
                  </w:r>
                </w:p>
              </w:tc>
              <w:tc>
                <w:tcPr>
                  <w:tcW w:w="3332" w:type="dxa"/>
                  <w:noWrap w:val="0"/>
                  <w:vAlign w:val="center"/>
                </w:tcPr>
                <w:p w14:paraId="6FAF8D4B">
                  <w:pPr>
                    <w:pStyle w:val="47"/>
                    <w:spacing w:line="240" w:lineRule="atLeast"/>
                    <w:ind w:firstLine="0" w:firstLineChars="0"/>
                    <w:jc w:val="center"/>
                    <w:textAlignment w:val="center"/>
                    <w:rPr>
                      <w:rFonts w:eastAsia="宋体"/>
                      <w:color w:val="auto"/>
                      <w:sz w:val="21"/>
                      <w:szCs w:val="21"/>
                      <w:highlight w:val="none"/>
                    </w:rPr>
                  </w:pPr>
                  <w:r>
                    <w:rPr>
                      <w:rFonts w:eastAsia="宋体"/>
                      <w:color w:val="auto"/>
                      <w:sz w:val="21"/>
                      <w:szCs w:val="21"/>
                      <w:highlight w:val="none"/>
                    </w:rPr>
                    <w:t>110kV</w:t>
                  </w:r>
                </w:p>
              </w:tc>
              <w:tc>
                <w:tcPr>
                  <w:tcW w:w="3073" w:type="dxa"/>
                  <w:shd w:val="clear" w:color="auto" w:fill="auto"/>
                  <w:noWrap w:val="0"/>
                  <w:vAlign w:val="center"/>
                </w:tcPr>
                <w:p w14:paraId="1C30CB37">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110kV</w:t>
                  </w:r>
                </w:p>
              </w:tc>
            </w:tr>
            <w:tr w14:paraId="52AB9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5" w:type="dxa"/>
                  <w:noWrap w:val="0"/>
                  <w:vAlign w:val="center"/>
                </w:tcPr>
                <w:p w14:paraId="322233FD">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导线架设方式</w:t>
                  </w:r>
                </w:p>
              </w:tc>
              <w:tc>
                <w:tcPr>
                  <w:tcW w:w="3332" w:type="dxa"/>
                  <w:noWrap w:val="0"/>
                  <w:vAlign w:val="center"/>
                </w:tcPr>
                <w:p w14:paraId="2D7A3339">
                  <w:pPr>
                    <w:pStyle w:val="47"/>
                    <w:spacing w:line="240" w:lineRule="atLeast"/>
                    <w:ind w:firstLine="0" w:firstLineChars="0"/>
                    <w:jc w:val="center"/>
                    <w:textAlignment w:val="center"/>
                    <w:rPr>
                      <w:rFonts w:eastAsia="宋体"/>
                      <w:color w:val="auto"/>
                      <w:sz w:val="21"/>
                      <w:szCs w:val="21"/>
                      <w:highlight w:val="none"/>
                    </w:rPr>
                  </w:pPr>
                  <w:r>
                    <w:rPr>
                      <w:rFonts w:eastAsia="宋体"/>
                      <w:color w:val="auto"/>
                      <w:sz w:val="21"/>
                      <w:szCs w:val="21"/>
                      <w:highlight w:val="none"/>
                    </w:rPr>
                    <w:t>单回路</w:t>
                  </w:r>
                </w:p>
              </w:tc>
              <w:tc>
                <w:tcPr>
                  <w:tcW w:w="3073" w:type="dxa"/>
                  <w:shd w:val="clear" w:color="auto" w:fill="auto"/>
                  <w:noWrap w:val="0"/>
                  <w:vAlign w:val="center"/>
                </w:tcPr>
                <w:p w14:paraId="23798E4E">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单回路</w:t>
                  </w:r>
                </w:p>
              </w:tc>
            </w:tr>
            <w:tr w14:paraId="71030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65" w:type="dxa"/>
                  <w:noWrap w:val="0"/>
                  <w:vAlign w:val="center"/>
                </w:tcPr>
                <w:p w14:paraId="4C382230">
                  <w:pPr>
                    <w:pStyle w:val="47"/>
                    <w:spacing w:line="240" w:lineRule="atLeast"/>
                    <w:ind w:firstLine="0" w:firstLineChars="0"/>
                    <w:jc w:val="center"/>
                    <w:textAlignment w:val="center"/>
                    <w:rPr>
                      <w:rFonts w:hint="eastAsia" w:eastAsia="宋体"/>
                      <w:b/>
                      <w:bCs/>
                      <w:color w:val="auto"/>
                      <w:sz w:val="21"/>
                      <w:szCs w:val="21"/>
                      <w:highlight w:val="none"/>
                    </w:rPr>
                  </w:pPr>
                  <w:r>
                    <w:rPr>
                      <w:rFonts w:hint="eastAsia" w:eastAsia="宋体"/>
                      <w:b/>
                      <w:bCs/>
                      <w:color w:val="auto"/>
                      <w:sz w:val="21"/>
                      <w:szCs w:val="21"/>
                      <w:highlight w:val="none"/>
                    </w:rPr>
                    <w:t>导线型号</w:t>
                  </w:r>
                </w:p>
              </w:tc>
              <w:tc>
                <w:tcPr>
                  <w:tcW w:w="3332" w:type="dxa"/>
                  <w:noWrap w:val="0"/>
                  <w:vAlign w:val="center"/>
                </w:tcPr>
                <w:p w14:paraId="16D49B49">
                  <w:pPr>
                    <w:pStyle w:val="47"/>
                    <w:spacing w:line="240" w:lineRule="atLeast"/>
                    <w:ind w:firstLine="0" w:firstLineChars="0"/>
                    <w:jc w:val="center"/>
                    <w:textAlignment w:val="center"/>
                    <w:rPr>
                      <w:rFonts w:eastAsia="宋体"/>
                      <w:color w:val="auto"/>
                      <w:sz w:val="21"/>
                      <w:szCs w:val="21"/>
                      <w:highlight w:val="none"/>
                    </w:rPr>
                  </w:pPr>
                  <w:r>
                    <w:rPr>
                      <w:rFonts w:hint="default" w:eastAsia="宋体"/>
                      <w:color w:val="auto"/>
                      <w:sz w:val="21"/>
                      <w:szCs w:val="21"/>
                      <w:highlight w:val="none"/>
                      <w:lang w:val="en-US" w:eastAsia="zh-CN"/>
                    </w:rPr>
                    <w:t xml:space="preserve">JL3/G1A-300/40-24/7 </w:t>
                  </w:r>
                </w:p>
              </w:tc>
              <w:tc>
                <w:tcPr>
                  <w:tcW w:w="3073" w:type="dxa"/>
                  <w:shd w:val="clear" w:color="auto" w:fill="auto"/>
                  <w:noWrap w:val="0"/>
                  <w:vAlign w:val="center"/>
                </w:tcPr>
                <w:p w14:paraId="779400DB">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JL3/G1A-</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00/</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5-48/7</w:t>
                  </w:r>
                </w:p>
              </w:tc>
            </w:tr>
            <w:tr w14:paraId="606BD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65" w:type="dxa"/>
                  <w:noWrap w:val="0"/>
                  <w:vAlign w:val="center"/>
                </w:tcPr>
                <w:p w14:paraId="5E407732">
                  <w:pPr>
                    <w:pStyle w:val="47"/>
                    <w:spacing w:line="240" w:lineRule="atLeast"/>
                    <w:ind w:firstLine="0" w:firstLineChars="0"/>
                    <w:jc w:val="center"/>
                    <w:textAlignment w:val="center"/>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分裂数</w:t>
                  </w:r>
                </w:p>
              </w:tc>
              <w:tc>
                <w:tcPr>
                  <w:tcW w:w="3332" w:type="dxa"/>
                  <w:noWrap w:val="0"/>
                  <w:vAlign w:val="center"/>
                </w:tcPr>
                <w:p w14:paraId="712AF2C7">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3073" w:type="dxa"/>
                  <w:shd w:val="clear" w:color="auto" w:fill="auto"/>
                  <w:noWrap w:val="0"/>
                  <w:vAlign w:val="center"/>
                </w:tcPr>
                <w:p w14:paraId="1E48413D">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r>
            <w:tr w14:paraId="26697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5" w:type="dxa"/>
                  <w:noWrap w:val="0"/>
                  <w:vAlign w:val="center"/>
                </w:tcPr>
                <w:p w14:paraId="5D062E4C">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导线排列方式</w:t>
                  </w:r>
                </w:p>
              </w:tc>
              <w:tc>
                <w:tcPr>
                  <w:tcW w:w="3332" w:type="dxa"/>
                  <w:noWrap w:val="0"/>
                  <w:vAlign w:val="center"/>
                </w:tcPr>
                <w:p w14:paraId="0BB2E61D">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三角排列</w:t>
                  </w:r>
                </w:p>
              </w:tc>
              <w:tc>
                <w:tcPr>
                  <w:tcW w:w="3073" w:type="dxa"/>
                  <w:shd w:val="clear" w:color="auto" w:fill="auto"/>
                  <w:noWrap w:val="0"/>
                  <w:vAlign w:val="center"/>
                </w:tcPr>
                <w:p w14:paraId="571780CA">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三角排列</w:t>
                  </w:r>
                </w:p>
              </w:tc>
            </w:tr>
            <w:tr w14:paraId="28ADA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5" w:type="dxa"/>
                  <w:noWrap w:val="0"/>
                  <w:vAlign w:val="center"/>
                </w:tcPr>
                <w:p w14:paraId="185209CD">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导线对地高度</w:t>
                  </w:r>
                </w:p>
              </w:tc>
              <w:tc>
                <w:tcPr>
                  <w:tcW w:w="3332" w:type="dxa"/>
                  <w:noWrap w:val="0"/>
                  <w:vAlign w:val="center"/>
                </w:tcPr>
                <w:p w14:paraId="3DBF6088">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实际导线架设最低高度约10m</w:t>
                  </w:r>
                </w:p>
              </w:tc>
              <w:tc>
                <w:tcPr>
                  <w:tcW w:w="3073" w:type="dxa"/>
                  <w:shd w:val="clear" w:color="auto" w:fill="auto"/>
                  <w:noWrap w:val="0"/>
                  <w:vAlign w:val="center"/>
                </w:tcPr>
                <w:p w14:paraId="5A1193E6">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m</w:t>
                  </w:r>
                </w:p>
              </w:tc>
            </w:tr>
            <w:tr w14:paraId="5D7EF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65" w:type="dxa"/>
                  <w:noWrap w:val="0"/>
                  <w:vAlign w:val="center"/>
                </w:tcPr>
                <w:p w14:paraId="24DCB100">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环境条件</w:t>
                  </w:r>
                </w:p>
              </w:tc>
              <w:tc>
                <w:tcPr>
                  <w:tcW w:w="6405" w:type="dxa"/>
                  <w:gridSpan w:val="2"/>
                  <w:noWrap w:val="0"/>
                  <w:vAlign w:val="center"/>
                </w:tcPr>
                <w:p w14:paraId="7FF90E23">
                  <w:pPr>
                    <w:pStyle w:val="47"/>
                    <w:spacing w:line="240" w:lineRule="atLeast"/>
                    <w:ind w:firstLine="0" w:firstLineChars="0"/>
                    <w:jc w:val="center"/>
                    <w:textAlignment w:val="center"/>
                    <w:rPr>
                      <w:rFonts w:eastAsia="宋体"/>
                      <w:color w:val="auto"/>
                      <w:sz w:val="21"/>
                      <w:szCs w:val="21"/>
                      <w:highlight w:val="none"/>
                    </w:rPr>
                  </w:pPr>
                  <w:r>
                    <w:rPr>
                      <w:rFonts w:hint="eastAsia" w:eastAsia="宋体"/>
                      <w:color w:val="auto"/>
                      <w:sz w:val="21"/>
                      <w:szCs w:val="21"/>
                      <w:highlight w:val="none"/>
                      <w:lang w:val="en-US" w:eastAsia="zh-CN"/>
                    </w:rPr>
                    <w:t>地势均较为开阔，</w:t>
                  </w:r>
                  <w:r>
                    <w:rPr>
                      <w:rFonts w:hint="eastAsia" w:eastAsia="宋体" w:cs="Times New Roman"/>
                      <w:color w:val="auto"/>
                      <w:sz w:val="21"/>
                      <w:szCs w:val="21"/>
                      <w:highlight w:val="none"/>
                      <w:u w:val="none"/>
                      <w:lang w:val="en-US" w:eastAsia="zh-CN"/>
                    </w:rPr>
                    <w:t>无其他电磁设备干扰，</w:t>
                  </w:r>
                  <w:r>
                    <w:rPr>
                      <w:rFonts w:eastAsia="宋体"/>
                      <w:color w:val="auto"/>
                      <w:sz w:val="21"/>
                      <w:szCs w:val="21"/>
                      <w:highlight w:val="none"/>
                    </w:rPr>
                    <w:t>环境条件相似</w:t>
                  </w:r>
                </w:p>
              </w:tc>
            </w:tr>
          </w:tbl>
          <w:p w14:paraId="1EBB040A">
            <w:pPr>
              <w:spacing w:line="360" w:lineRule="auto"/>
              <w:ind w:firstLine="480" w:firstLineChars="200"/>
              <w:jc w:val="left"/>
              <w:rPr>
                <w:color w:val="auto"/>
                <w:sz w:val="24"/>
                <w:highlight w:val="none"/>
              </w:rPr>
            </w:pPr>
            <w:r>
              <w:rPr>
                <w:rFonts w:hint="eastAsia"/>
                <w:color w:val="auto"/>
                <w:sz w:val="24"/>
                <w:highlight w:val="none"/>
                <w:lang w:val="en-US" w:eastAsia="zh-CN"/>
              </w:rPr>
              <w:t>由上表可知</w:t>
            </w:r>
            <w:r>
              <w:rPr>
                <w:color w:val="auto"/>
                <w:sz w:val="24"/>
                <w:highlight w:val="none"/>
              </w:rPr>
              <w:t>，类比线路</w:t>
            </w:r>
            <w:r>
              <w:rPr>
                <w:rFonts w:hint="default"/>
                <w:color w:val="auto"/>
                <w:sz w:val="24"/>
                <w:highlight w:val="none"/>
                <w:lang w:val="en-US" w:eastAsia="zh-CN"/>
              </w:rPr>
              <w:t>110千伏开镁线5#-6#杆塔间</w:t>
            </w:r>
            <w:r>
              <w:rPr>
                <w:rFonts w:hint="eastAsia"/>
                <w:color w:val="auto"/>
                <w:sz w:val="24"/>
                <w:highlight w:val="none"/>
                <w:lang w:val="en-US" w:eastAsia="zh-CN"/>
              </w:rPr>
              <w:t>单回线路</w:t>
            </w:r>
            <w:r>
              <w:rPr>
                <w:color w:val="auto"/>
                <w:sz w:val="24"/>
                <w:highlight w:val="none"/>
              </w:rPr>
              <w:t>与本项目</w:t>
            </w:r>
            <w:r>
              <w:rPr>
                <w:rFonts w:hint="eastAsia"/>
                <w:color w:val="auto"/>
                <w:sz w:val="24"/>
                <w:highlight w:val="none"/>
                <w:lang w:val="en-US" w:eastAsia="zh-CN"/>
              </w:rPr>
              <w:t>单</w:t>
            </w:r>
            <w:r>
              <w:rPr>
                <w:color w:val="auto"/>
                <w:sz w:val="24"/>
                <w:highlight w:val="none"/>
              </w:rPr>
              <w:t>回路段架空线路电压等级均为110kV，导线架设方式均为</w:t>
            </w:r>
            <w:r>
              <w:rPr>
                <w:rFonts w:hint="eastAsia"/>
                <w:color w:val="auto"/>
                <w:sz w:val="24"/>
                <w:highlight w:val="none"/>
                <w:lang w:val="en-US" w:eastAsia="zh-CN"/>
              </w:rPr>
              <w:t>单</w:t>
            </w:r>
            <w:r>
              <w:rPr>
                <w:color w:val="auto"/>
                <w:sz w:val="24"/>
                <w:highlight w:val="none"/>
              </w:rPr>
              <w:t>回路架设，</w:t>
            </w:r>
            <w:r>
              <w:rPr>
                <w:rFonts w:hint="eastAsia"/>
                <w:color w:val="auto"/>
                <w:sz w:val="24"/>
                <w:highlight w:val="none"/>
              </w:rPr>
              <w:t>导线型号相似</w:t>
            </w:r>
            <w:r>
              <w:rPr>
                <w:rFonts w:hint="eastAsia"/>
                <w:color w:val="auto"/>
                <w:sz w:val="24"/>
                <w:highlight w:val="none"/>
                <w:lang w:val="en-US" w:eastAsia="zh-CN"/>
              </w:rPr>
              <w:t>，分裂数均为1</w:t>
            </w:r>
            <w:r>
              <w:rPr>
                <w:rFonts w:hint="eastAsia"/>
                <w:color w:val="auto"/>
                <w:sz w:val="24"/>
                <w:highlight w:val="none"/>
                <w:lang w:eastAsia="zh-CN"/>
              </w:rPr>
              <w:t>，</w:t>
            </w:r>
            <w:r>
              <w:rPr>
                <w:color w:val="auto"/>
                <w:sz w:val="24"/>
                <w:highlight w:val="none"/>
              </w:rPr>
              <w:t>导线排列方式均为</w:t>
            </w:r>
            <w:r>
              <w:rPr>
                <w:rFonts w:hint="eastAsia"/>
                <w:color w:val="auto"/>
                <w:sz w:val="24"/>
                <w:highlight w:val="none"/>
                <w:lang w:val="en-US" w:eastAsia="zh-CN"/>
              </w:rPr>
              <w:t>三角</w:t>
            </w:r>
            <w:r>
              <w:rPr>
                <w:color w:val="auto"/>
                <w:sz w:val="24"/>
                <w:highlight w:val="none"/>
              </w:rPr>
              <w:t>排列</w:t>
            </w:r>
            <w:r>
              <w:rPr>
                <w:rFonts w:hint="eastAsia"/>
                <w:color w:val="auto"/>
                <w:sz w:val="24"/>
                <w:highlight w:val="none"/>
                <w:lang w:eastAsia="zh-CN"/>
              </w:rPr>
              <w:t>，</w:t>
            </w:r>
            <w:r>
              <w:rPr>
                <w:color w:val="auto"/>
                <w:sz w:val="24"/>
                <w:highlight w:val="none"/>
              </w:rPr>
              <w:t>且环境均较为空旷，</w:t>
            </w:r>
            <w:r>
              <w:rPr>
                <w:rFonts w:hint="eastAsia"/>
                <w:color w:val="auto"/>
                <w:sz w:val="24"/>
                <w:highlight w:val="none"/>
                <w:lang w:val="en-US" w:eastAsia="zh-CN"/>
              </w:rPr>
              <w:t>无其他电磁设备干扰，</w:t>
            </w:r>
            <w:r>
              <w:rPr>
                <w:color w:val="auto"/>
                <w:sz w:val="24"/>
                <w:highlight w:val="none"/>
              </w:rPr>
              <w:t>环境条件类似。</w:t>
            </w:r>
            <w:r>
              <w:rPr>
                <w:rFonts w:hint="eastAsia"/>
                <w:color w:val="auto"/>
                <w:sz w:val="24"/>
                <w:highlight w:val="none"/>
                <w:lang w:val="en-US" w:eastAsia="zh-CN"/>
              </w:rPr>
              <w:t>经与设计单位沟通，本项目输电线路在实际架设过程中，导线最低对地高度约10m，比类比线路高度低。</w:t>
            </w:r>
            <w:r>
              <w:rPr>
                <w:rFonts w:hint="default" w:ascii="Times New Roman" w:hAnsi="Times New Roman" w:eastAsia="宋体" w:cs="Times New Roman"/>
                <w:color w:val="auto"/>
                <w:kern w:val="0"/>
                <w:sz w:val="24"/>
                <w:szCs w:val="24"/>
                <w:highlight w:val="none"/>
                <w:lang w:val="en-US" w:eastAsia="zh-CN" w:bidi="ar"/>
              </w:rPr>
              <w:t>虽然本段线路评价采用的高度与类比线路有所不同，但其高度差异只影响其产生噪声的</w:t>
            </w:r>
            <w:r>
              <w:rPr>
                <w:rFonts w:hint="eastAsia" w:ascii="Times New Roman" w:hAnsi="Times New Roman" w:eastAsia="宋体" w:cs="Times New Roman"/>
                <w:color w:val="auto"/>
                <w:kern w:val="0"/>
                <w:sz w:val="24"/>
                <w:szCs w:val="24"/>
                <w:highlight w:val="none"/>
                <w:lang w:val="en-US" w:eastAsia="zh-CN" w:bidi="ar"/>
              </w:rPr>
              <w:t>最大值</w:t>
            </w:r>
            <w:r>
              <w:rPr>
                <w:rFonts w:hint="default" w:ascii="Times New Roman" w:hAnsi="Times New Roman" w:eastAsia="宋体" w:cs="Times New Roman"/>
                <w:color w:val="auto"/>
                <w:kern w:val="0"/>
                <w:sz w:val="24"/>
                <w:szCs w:val="24"/>
                <w:highlight w:val="none"/>
                <w:lang w:val="en-US" w:eastAsia="zh-CN" w:bidi="ar"/>
              </w:rPr>
              <w:t>，不影响其总体变化趋势；</w:t>
            </w:r>
            <w:r>
              <w:rPr>
                <w:rFonts w:hint="eastAsia" w:ascii="Times New Roman" w:hAnsi="Times New Roman" w:eastAsia="宋体" w:cs="Times New Roman"/>
                <w:color w:val="auto"/>
                <w:kern w:val="0"/>
                <w:sz w:val="24"/>
                <w:szCs w:val="24"/>
                <w:highlight w:val="none"/>
                <w:lang w:val="en-US" w:eastAsia="zh-CN" w:bidi="ar"/>
              </w:rPr>
              <w:t>本次噪声预测，采用</w:t>
            </w:r>
            <w:r>
              <w:rPr>
                <w:rFonts w:hint="default" w:ascii="Times New Roman" w:hAnsi="Times New Roman" w:cs="Times New Roman"/>
                <w:color w:val="auto"/>
                <w:sz w:val="24"/>
                <w:highlight w:val="none"/>
                <w:lang w:val="en-US" w:eastAsia="zh-CN"/>
              </w:rPr>
              <w:t>类比预测结合类比监测数据反推的方法进行预测其投运后产生的噪声影响</w:t>
            </w:r>
            <w:r>
              <w:rPr>
                <w:rFonts w:hint="eastAsia"/>
                <w:color w:val="auto"/>
                <w:sz w:val="24"/>
                <w:highlight w:val="none"/>
                <w:lang w:val="en-US" w:eastAsia="zh-CN"/>
              </w:rPr>
              <w:t>。</w:t>
            </w:r>
            <w:r>
              <w:rPr>
                <w:color w:val="auto"/>
                <w:sz w:val="24"/>
                <w:highlight w:val="none"/>
              </w:rPr>
              <w:t>因此，选用</w:t>
            </w:r>
            <w:r>
              <w:rPr>
                <w:rFonts w:hint="default"/>
                <w:color w:val="auto"/>
                <w:sz w:val="24"/>
                <w:highlight w:val="none"/>
                <w:lang w:val="en-US" w:eastAsia="zh-CN"/>
              </w:rPr>
              <w:t>110千伏开镁线5#-6#杆塔间</w:t>
            </w:r>
            <w:r>
              <w:rPr>
                <w:rFonts w:hint="eastAsia"/>
                <w:color w:val="auto"/>
                <w:sz w:val="24"/>
                <w:highlight w:val="none"/>
                <w:lang w:val="en-US" w:eastAsia="zh-CN"/>
              </w:rPr>
              <w:t>单回线路</w:t>
            </w:r>
            <w:r>
              <w:rPr>
                <w:color w:val="auto"/>
                <w:sz w:val="24"/>
                <w:highlight w:val="none"/>
              </w:rPr>
              <w:t>运行时的噪声监测值能够较好的反应本项目</w:t>
            </w:r>
            <w:r>
              <w:rPr>
                <w:rFonts w:hint="eastAsia"/>
                <w:color w:val="auto"/>
                <w:sz w:val="24"/>
                <w:highlight w:val="none"/>
                <w:lang w:val="en-US" w:eastAsia="zh-CN"/>
              </w:rPr>
              <w:t>单</w:t>
            </w:r>
            <w:r>
              <w:rPr>
                <w:color w:val="auto"/>
                <w:sz w:val="24"/>
                <w:highlight w:val="none"/>
              </w:rPr>
              <w:t>回路架空线路段运行后产生的噪声影响。</w:t>
            </w:r>
          </w:p>
          <w:p w14:paraId="0796B2E0">
            <w:pPr>
              <w:spacing w:line="360" w:lineRule="auto"/>
              <w:ind w:firstLine="480" w:firstLineChars="200"/>
              <w:rPr>
                <w:color w:val="auto"/>
                <w:sz w:val="24"/>
                <w:highlight w:val="none"/>
              </w:rPr>
            </w:pPr>
            <w:r>
              <w:rPr>
                <w:color w:val="auto"/>
                <w:sz w:val="24"/>
                <w:highlight w:val="none"/>
              </w:rPr>
              <w:t>②类比监测单位</w:t>
            </w:r>
          </w:p>
          <w:p w14:paraId="3B58FA8A">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宁夏盛世蓝天环保技术有限公司</w:t>
            </w:r>
            <w:r>
              <w:rPr>
                <w:color w:val="auto"/>
                <w:sz w:val="24"/>
                <w:highlight w:val="none"/>
              </w:rPr>
              <w:t>。</w:t>
            </w:r>
          </w:p>
          <w:p w14:paraId="5F905EB1">
            <w:pPr>
              <w:spacing w:line="360" w:lineRule="auto"/>
              <w:ind w:firstLine="480" w:firstLineChars="200"/>
              <w:rPr>
                <w:color w:val="auto"/>
                <w:sz w:val="24"/>
                <w:highlight w:val="none"/>
              </w:rPr>
            </w:pPr>
            <w:r>
              <w:rPr>
                <w:color w:val="auto"/>
                <w:sz w:val="24"/>
                <w:highlight w:val="none"/>
              </w:rPr>
              <w:t>③类比监测项目</w:t>
            </w:r>
          </w:p>
          <w:p w14:paraId="408D8EFB">
            <w:pPr>
              <w:spacing w:line="360" w:lineRule="auto"/>
              <w:ind w:firstLine="480" w:firstLineChars="200"/>
              <w:rPr>
                <w:color w:val="auto"/>
                <w:sz w:val="24"/>
                <w:highlight w:val="none"/>
              </w:rPr>
            </w:pPr>
            <w:r>
              <w:rPr>
                <w:color w:val="auto"/>
                <w:sz w:val="24"/>
                <w:highlight w:val="none"/>
              </w:rPr>
              <w:t>噪声。</w:t>
            </w:r>
          </w:p>
          <w:p w14:paraId="11B3157E">
            <w:pPr>
              <w:spacing w:line="360" w:lineRule="auto"/>
              <w:ind w:firstLine="480" w:firstLineChars="200"/>
              <w:rPr>
                <w:color w:val="auto"/>
                <w:sz w:val="24"/>
                <w:highlight w:val="none"/>
              </w:rPr>
            </w:pPr>
            <w:r>
              <w:rPr>
                <w:color w:val="auto"/>
                <w:sz w:val="24"/>
                <w:highlight w:val="none"/>
              </w:rPr>
              <w:t>④类比监测方法</w:t>
            </w:r>
          </w:p>
          <w:p w14:paraId="1E4C423D">
            <w:pPr>
              <w:spacing w:line="360" w:lineRule="auto"/>
              <w:ind w:firstLine="480" w:firstLineChars="200"/>
              <w:rPr>
                <w:color w:val="auto"/>
                <w:sz w:val="24"/>
                <w:highlight w:val="none"/>
              </w:rPr>
            </w:pPr>
            <w:r>
              <w:rPr>
                <w:color w:val="auto"/>
                <w:sz w:val="24"/>
                <w:highlight w:val="none"/>
              </w:rPr>
              <w:t>按《工业企业厂界环境噪声排放标准》（GB12348-2008）进行监测。采用类比分析方法评价架空线路运行后产生的噪声对周围环境的影响。</w:t>
            </w:r>
          </w:p>
          <w:p w14:paraId="6E95F23A">
            <w:pPr>
              <w:spacing w:line="360" w:lineRule="auto"/>
              <w:ind w:firstLine="480" w:firstLineChars="200"/>
              <w:rPr>
                <w:color w:val="auto"/>
                <w:sz w:val="24"/>
                <w:szCs w:val="24"/>
                <w:highlight w:val="none"/>
              </w:rPr>
            </w:pPr>
            <w:r>
              <w:rPr>
                <w:color w:val="auto"/>
                <w:sz w:val="24"/>
                <w:szCs w:val="24"/>
                <w:highlight w:val="none"/>
              </w:rPr>
              <w:t>⑤类比监测仪器</w:t>
            </w:r>
          </w:p>
          <w:p w14:paraId="0273F9F0">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噪声监测仪器：</w:t>
            </w:r>
            <w:r>
              <w:rPr>
                <w:rFonts w:hint="default" w:ascii="Times New Roman" w:hAnsi="Times New Roman" w:cs="Times New Roman"/>
                <w:color w:val="auto"/>
                <w:sz w:val="24"/>
                <w:szCs w:val="24"/>
                <w:highlight w:val="none"/>
                <w:lang w:val="en-US" w:eastAsia="zh-CN"/>
              </w:rPr>
              <w:t>AHAI6256噪声振动分析仪</w:t>
            </w:r>
            <w:r>
              <w:rPr>
                <w:rFonts w:hint="eastAsia" w:cs="Times New Roman"/>
                <w:color w:val="auto"/>
                <w:sz w:val="24"/>
                <w:szCs w:val="24"/>
                <w:highlight w:val="none"/>
                <w:lang w:val="en-US" w:eastAsia="zh-CN"/>
              </w:rPr>
              <w:t>/AWA6221A声校准器</w:t>
            </w:r>
            <w:r>
              <w:rPr>
                <w:rFonts w:hint="default" w:ascii="Times New Roman" w:hAnsi="Times New Roman" w:cs="Times New Roman"/>
                <w:color w:val="auto"/>
                <w:sz w:val="24"/>
                <w:szCs w:val="24"/>
                <w:highlight w:val="none"/>
              </w:rPr>
              <w:t>；</w:t>
            </w:r>
          </w:p>
          <w:p w14:paraId="44E5E35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量程范围：</w:t>
            </w:r>
            <w:r>
              <w:rPr>
                <w:rFonts w:hint="default" w:ascii="Times New Roman" w:hAnsi="Times New Roman" w:eastAsia="宋体" w:cs="Times New Roman"/>
                <w:color w:val="auto"/>
                <w:sz w:val="24"/>
                <w:szCs w:val="24"/>
                <w:highlight w:val="none"/>
                <w:lang w:val="en-US" w:eastAsia="zh-CN"/>
              </w:rPr>
              <w:t>25dB~143dB</w:t>
            </w:r>
            <w:r>
              <w:rPr>
                <w:rFonts w:hint="default" w:ascii="Times New Roman" w:hAnsi="Times New Roman" w:cs="Times New Roman"/>
                <w:color w:val="auto"/>
                <w:sz w:val="24"/>
                <w:szCs w:val="24"/>
                <w:highlight w:val="none"/>
              </w:rPr>
              <w:t>/94.0dB；</w:t>
            </w:r>
          </w:p>
          <w:p w14:paraId="2A24E8CE">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生产厂家：</w:t>
            </w:r>
            <w:r>
              <w:rPr>
                <w:rFonts w:hint="default" w:ascii="Times New Roman" w:hAnsi="Times New Roman" w:eastAsia="宋体" w:cs="Times New Roman"/>
                <w:color w:val="auto"/>
                <w:sz w:val="24"/>
                <w:szCs w:val="24"/>
                <w:highlight w:val="none"/>
                <w:lang w:val="en-US" w:eastAsia="zh-CN"/>
              </w:rPr>
              <w:t>杭州爱华智能科技有限公司</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杭州爱华仪器有限公司</w:t>
            </w:r>
            <w:r>
              <w:rPr>
                <w:rFonts w:hint="default" w:ascii="Times New Roman" w:hAnsi="Times New Roman" w:cs="Times New Roman"/>
                <w:color w:val="auto"/>
                <w:sz w:val="24"/>
                <w:szCs w:val="24"/>
                <w:highlight w:val="none"/>
              </w:rPr>
              <w:t>；</w:t>
            </w:r>
          </w:p>
          <w:p w14:paraId="4835E86A">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出厂编号：</w:t>
            </w:r>
            <w:r>
              <w:rPr>
                <w:rFonts w:hint="default" w:ascii="Times New Roman" w:hAnsi="Times New Roman" w:cs="Times New Roman"/>
                <w:color w:val="auto"/>
                <w:sz w:val="24"/>
                <w:szCs w:val="24"/>
                <w:highlight w:val="none"/>
                <w:lang w:val="en-US" w:eastAsia="zh-CN"/>
              </w:rPr>
              <w:t>22400231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1007026</w:t>
            </w:r>
            <w:r>
              <w:rPr>
                <w:rFonts w:hint="default" w:ascii="Times New Roman" w:hAnsi="Times New Roman" w:cs="Times New Roman"/>
                <w:color w:val="auto"/>
                <w:sz w:val="24"/>
                <w:szCs w:val="24"/>
                <w:highlight w:val="none"/>
              </w:rPr>
              <w:t>；</w:t>
            </w:r>
          </w:p>
          <w:p w14:paraId="45DEE11D">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设备编号：</w:t>
            </w:r>
            <w:r>
              <w:rPr>
                <w:rFonts w:hint="default" w:ascii="Times New Roman" w:hAnsi="Times New Roman" w:cs="Times New Roman"/>
                <w:color w:val="auto"/>
                <w:sz w:val="24"/>
                <w:szCs w:val="24"/>
                <w:highlight w:val="none"/>
                <w:lang w:val="en-US" w:eastAsia="zh-CN"/>
              </w:rPr>
              <w:t>LT-0</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LT-03-1</w:t>
            </w:r>
            <w:r>
              <w:rPr>
                <w:rFonts w:hint="eastAsia" w:cs="Times New Roman"/>
                <w:color w:val="auto"/>
                <w:sz w:val="24"/>
                <w:szCs w:val="24"/>
                <w:highlight w:val="none"/>
                <w:lang w:eastAsia="zh-CN"/>
              </w:rPr>
              <w:t>。</w:t>
            </w:r>
          </w:p>
          <w:p w14:paraId="2B5B4BB9">
            <w:pPr>
              <w:spacing w:line="360" w:lineRule="auto"/>
              <w:ind w:firstLine="480" w:firstLineChars="200"/>
              <w:rPr>
                <w:color w:val="auto"/>
                <w:sz w:val="24"/>
                <w:highlight w:val="none"/>
              </w:rPr>
            </w:pPr>
            <w:r>
              <w:rPr>
                <w:color w:val="auto"/>
                <w:sz w:val="24"/>
                <w:highlight w:val="none"/>
              </w:rPr>
              <w:t>⑥类比监测条件</w:t>
            </w:r>
          </w:p>
          <w:p w14:paraId="6874C53B">
            <w:pPr>
              <w:spacing w:line="360" w:lineRule="auto"/>
              <w:ind w:firstLine="480" w:firstLineChars="200"/>
              <w:rPr>
                <w:color w:val="auto"/>
                <w:sz w:val="24"/>
                <w:highlight w:val="none"/>
              </w:rPr>
            </w:pPr>
            <w:r>
              <w:rPr>
                <w:color w:val="auto"/>
                <w:sz w:val="24"/>
                <w:highlight w:val="none"/>
              </w:rPr>
              <w:t>类比监测时间：</w:t>
            </w:r>
            <w:r>
              <w:rPr>
                <w:rFonts w:hint="default"/>
                <w:color w:val="auto"/>
                <w:sz w:val="24"/>
                <w:highlight w:val="none"/>
              </w:rPr>
              <w:t>202</w:t>
            </w:r>
            <w:r>
              <w:rPr>
                <w:rFonts w:hint="eastAsia"/>
                <w:color w:val="auto"/>
                <w:sz w:val="24"/>
                <w:highlight w:val="none"/>
                <w:lang w:val="en-US" w:eastAsia="zh-CN"/>
              </w:rPr>
              <w:t>4</w:t>
            </w:r>
            <w:r>
              <w:rPr>
                <w:rFonts w:hint="default"/>
                <w:color w:val="auto"/>
                <w:sz w:val="24"/>
                <w:highlight w:val="none"/>
              </w:rPr>
              <w:t>年</w:t>
            </w:r>
            <w:r>
              <w:rPr>
                <w:rFonts w:hint="default"/>
                <w:color w:val="auto"/>
                <w:sz w:val="24"/>
                <w:highlight w:val="none"/>
                <w:lang w:val="en-US" w:eastAsia="zh-CN"/>
              </w:rPr>
              <w:t>1</w:t>
            </w:r>
            <w:r>
              <w:rPr>
                <w:rFonts w:hint="eastAsia"/>
                <w:color w:val="auto"/>
                <w:sz w:val="24"/>
                <w:highlight w:val="none"/>
                <w:lang w:val="en-US" w:eastAsia="zh-CN"/>
              </w:rPr>
              <w:t>2</w:t>
            </w:r>
            <w:r>
              <w:rPr>
                <w:rFonts w:hint="default"/>
                <w:color w:val="auto"/>
                <w:sz w:val="24"/>
                <w:highlight w:val="none"/>
              </w:rPr>
              <w:t>月</w:t>
            </w:r>
            <w:r>
              <w:rPr>
                <w:rFonts w:hint="eastAsia"/>
                <w:color w:val="auto"/>
                <w:sz w:val="24"/>
                <w:highlight w:val="none"/>
                <w:lang w:val="en-US" w:eastAsia="zh-CN"/>
              </w:rPr>
              <w:t>30</w:t>
            </w:r>
            <w:r>
              <w:rPr>
                <w:rFonts w:hint="default"/>
                <w:color w:val="auto"/>
                <w:sz w:val="24"/>
                <w:highlight w:val="none"/>
              </w:rPr>
              <w:t>日</w:t>
            </w:r>
            <w:r>
              <w:rPr>
                <w:color w:val="auto"/>
                <w:sz w:val="24"/>
                <w:highlight w:val="none"/>
              </w:rPr>
              <w:t>。</w:t>
            </w:r>
          </w:p>
          <w:p w14:paraId="62BF5E25">
            <w:pPr>
              <w:spacing w:line="360" w:lineRule="auto"/>
              <w:ind w:firstLine="480" w:firstLineChars="200"/>
              <w:rPr>
                <w:color w:val="auto"/>
                <w:kern w:val="0"/>
                <w:sz w:val="24"/>
                <w:highlight w:val="none"/>
              </w:rPr>
            </w:pPr>
            <w:r>
              <w:rPr>
                <w:rFonts w:hint="eastAsia" w:ascii="Times New Roman" w:hAnsi="Times New Roman" w:cs="Times New Roman"/>
                <w:color w:val="auto"/>
                <w:kern w:val="0"/>
                <w:sz w:val="24"/>
                <w:szCs w:val="24"/>
                <w:highlight w:val="none"/>
                <w:lang w:val="en-US" w:eastAsia="zh-CN"/>
              </w:rPr>
              <w:t>类比</w:t>
            </w:r>
            <w:r>
              <w:rPr>
                <w:rFonts w:hint="default" w:ascii="Times New Roman" w:hAnsi="Times New Roman" w:cs="Times New Roman"/>
                <w:color w:val="auto"/>
                <w:kern w:val="0"/>
                <w:sz w:val="24"/>
                <w:szCs w:val="24"/>
                <w:highlight w:val="none"/>
              </w:rPr>
              <w:t>监测环境条件：</w:t>
            </w:r>
            <w:r>
              <w:rPr>
                <w:rFonts w:hint="default" w:ascii="Times New Roman" w:hAnsi="Times New Roman" w:cs="Times New Roman"/>
                <w:color w:val="auto"/>
                <w:kern w:val="0"/>
                <w:sz w:val="24"/>
                <w:szCs w:val="24"/>
                <w:highlight w:val="none"/>
                <w:lang w:val="en-US" w:eastAsia="zh-CN"/>
              </w:rPr>
              <w:t>昼间天气晴，温度2.5℃，湿度29.1%，风速1.3m/s，大气压883.4hPa；夜间天气晴，温度-6.8℃，湿度30.9%，风速0.8m/s，大气压885.6hPa。</w:t>
            </w:r>
          </w:p>
          <w:p w14:paraId="628B98FE">
            <w:pPr>
              <w:spacing w:line="360" w:lineRule="auto"/>
              <w:ind w:firstLine="480" w:firstLineChars="200"/>
              <w:rPr>
                <w:color w:val="auto"/>
                <w:sz w:val="24"/>
                <w:highlight w:val="none"/>
              </w:rPr>
            </w:pPr>
            <w:r>
              <w:rPr>
                <w:color w:val="auto"/>
                <w:sz w:val="24"/>
                <w:highlight w:val="none"/>
              </w:rPr>
              <w:t>⑦类比监测点位</w:t>
            </w:r>
          </w:p>
          <w:p w14:paraId="4F9C891D">
            <w:pPr>
              <w:spacing w:line="360" w:lineRule="auto"/>
              <w:ind w:firstLine="465"/>
              <w:rPr>
                <w:color w:val="auto"/>
                <w:highlight w:val="none"/>
              </w:rPr>
            </w:pPr>
            <w:r>
              <w:rPr>
                <w:rFonts w:hint="eastAsia" w:cs="Times New Roman"/>
                <w:color w:val="auto"/>
                <w:kern w:val="0"/>
                <w:sz w:val="24"/>
                <w:szCs w:val="24"/>
                <w:highlight w:val="none"/>
                <w:lang w:val="en-US" w:eastAsia="zh-CN"/>
              </w:rPr>
              <w:t>类比线路</w:t>
            </w:r>
            <w:r>
              <w:rPr>
                <w:rFonts w:hint="default" w:ascii="Times New Roman" w:hAnsi="Times New Roman" w:cs="Times New Roman"/>
                <w:color w:val="auto"/>
                <w:kern w:val="0"/>
                <w:sz w:val="24"/>
                <w:szCs w:val="24"/>
                <w:highlight w:val="none"/>
                <w:lang w:val="en-US" w:eastAsia="zh-CN"/>
              </w:rPr>
              <w:t>单回路段导线档距中央弧垂最低位置在开镁</w:t>
            </w:r>
            <w:r>
              <w:rPr>
                <w:rFonts w:hint="default" w:ascii="Times New Roman" w:hAnsi="Times New Roman" w:cs="Times New Roman"/>
                <w:color w:val="auto"/>
                <w:sz w:val="24"/>
                <w:szCs w:val="24"/>
                <w:highlight w:val="none"/>
                <w:lang w:val="en-US" w:eastAsia="zh-CN"/>
              </w:rPr>
              <w:t>线5#-6#</w:t>
            </w:r>
            <w:r>
              <w:rPr>
                <w:rFonts w:hint="default" w:ascii="Times New Roman" w:hAnsi="Times New Roman" w:eastAsia="宋体" w:cs="Times New Roman"/>
                <w:color w:val="auto"/>
                <w:kern w:val="0"/>
                <w:sz w:val="24"/>
                <w:szCs w:val="24"/>
                <w:highlight w:val="none"/>
                <w:lang w:val="en-US" w:eastAsia="zh-CN" w:bidi="ar"/>
              </w:rPr>
              <w:t>杆塔之间（</w:t>
            </w:r>
            <w:r>
              <w:rPr>
                <w:rFonts w:hint="default" w:ascii="Times New Roman" w:hAnsi="Times New Roman" w:cs="Times New Roman"/>
                <w:color w:val="auto"/>
                <w:kern w:val="0"/>
                <w:sz w:val="24"/>
                <w:szCs w:val="24"/>
                <w:highlight w:val="none"/>
                <w:lang w:val="en-US" w:eastAsia="zh-CN"/>
              </w:rPr>
              <w:t>线高16m、</w:t>
            </w:r>
            <w:r>
              <w:rPr>
                <w:rFonts w:hint="default" w:ascii="Times New Roman" w:hAnsi="Times New Roman" w:cs="Times New Roman"/>
                <w:color w:val="auto"/>
                <w:sz w:val="24"/>
                <w:szCs w:val="24"/>
                <w:highlight w:val="none"/>
                <w:lang w:eastAsia="zh-CN"/>
              </w:rPr>
              <w:t>档距</w:t>
            </w:r>
            <w:r>
              <w:rPr>
                <w:rFonts w:hint="default" w:ascii="Times New Roman" w:hAnsi="Times New Roman" w:cs="Times New Roman"/>
                <w:color w:val="auto"/>
                <w:sz w:val="24"/>
                <w:szCs w:val="24"/>
                <w:highlight w:val="none"/>
                <w:lang w:val="en-US" w:eastAsia="zh-CN"/>
              </w:rPr>
              <w:t>210</w:t>
            </w:r>
            <w:r>
              <w:rPr>
                <w:rFonts w:hint="default" w:ascii="Times New Roman" w:hAnsi="Times New Roman" w:cs="Times New Roman"/>
                <w:color w:val="auto"/>
                <w:sz w:val="24"/>
                <w:szCs w:val="24"/>
                <w:highlight w:val="none"/>
                <w:lang w:eastAsia="zh-CN"/>
              </w:rPr>
              <w:t>m</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sz w:val="24"/>
                <w:szCs w:val="24"/>
                <w:highlight w:val="none"/>
                <w:lang w:val="en-US" w:eastAsia="zh-CN"/>
              </w:rPr>
              <w:t>线路对称，以弧垂最低位置处中相导线对地投影点为起点</w:t>
            </w:r>
            <w:r>
              <w:rPr>
                <w:rFonts w:hint="default" w:ascii="Times New Roman" w:hAnsi="Times New Roman" w:cs="Times New Roman"/>
                <w:b w:val="0"/>
                <w:bCs w:val="0"/>
                <w:color w:val="auto"/>
                <w:sz w:val="24"/>
                <w:szCs w:val="24"/>
                <w:highlight w:val="none"/>
              </w:rPr>
              <w:t>，沿</w:t>
            </w:r>
            <w:r>
              <w:rPr>
                <w:rFonts w:hint="default" w:ascii="Times New Roman" w:hAnsi="Times New Roman" w:cs="Times New Roman"/>
                <w:b w:val="0"/>
                <w:bCs w:val="0"/>
                <w:color w:val="auto"/>
                <w:sz w:val="24"/>
                <w:szCs w:val="24"/>
                <w:highlight w:val="none"/>
                <w:lang w:eastAsia="zh-CN"/>
              </w:rPr>
              <w:t>垂直于线路方向向</w:t>
            </w:r>
            <w:r>
              <w:rPr>
                <w:rFonts w:hint="default" w:ascii="Times New Roman" w:hAnsi="Times New Roman" w:cs="Times New Roman"/>
                <w:b w:val="0"/>
                <w:bCs w:val="0"/>
                <w:color w:val="auto"/>
                <w:sz w:val="24"/>
                <w:szCs w:val="24"/>
                <w:highlight w:val="none"/>
                <w:lang w:val="en-US" w:eastAsia="zh-CN"/>
              </w:rPr>
              <w:t>北</w:t>
            </w:r>
            <w:r>
              <w:rPr>
                <w:rFonts w:hint="default" w:ascii="Times New Roman" w:hAnsi="Times New Roman" w:cs="Times New Roman"/>
                <w:b w:val="0"/>
                <w:bCs w:val="0"/>
                <w:color w:val="auto"/>
                <w:sz w:val="24"/>
                <w:szCs w:val="24"/>
                <w:highlight w:val="none"/>
                <w:lang w:eastAsia="zh-CN"/>
              </w:rPr>
              <w:t>侧</w:t>
            </w:r>
            <w:r>
              <w:rPr>
                <w:rFonts w:hint="default" w:ascii="Times New Roman" w:hAnsi="Times New Roman" w:cs="Times New Roman"/>
                <w:b w:val="0"/>
                <w:bCs w:val="0"/>
                <w:color w:val="auto"/>
                <w:sz w:val="24"/>
                <w:szCs w:val="24"/>
                <w:highlight w:val="none"/>
              </w:rPr>
              <w:t>进</w:t>
            </w:r>
            <w:r>
              <w:rPr>
                <w:rFonts w:hint="default" w:ascii="Times New Roman" w:hAnsi="Times New Roman" w:cs="Times New Roman"/>
                <w:color w:val="auto"/>
                <w:sz w:val="24"/>
                <w:szCs w:val="24"/>
                <w:highlight w:val="none"/>
              </w:rPr>
              <w:t>行，</w:t>
            </w:r>
            <w:r>
              <w:rPr>
                <w:rFonts w:hint="default" w:ascii="Times New Roman" w:hAnsi="Times New Roman" w:cs="Times New Roman"/>
                <w:color w:val="auto"/>
                <w:sz w:val="24"/>
                <w:szCs w:val="24"/>
                <w:highlight w:val="none"/>
                <w:lang w:val="en-US" w:eastAsia="zh-CN"/>
              </w:rPr>
              <w:t>测点间距不大于5m，依次监测至距离边导线对地投影外30m处为止</w:t>
            </w:r>
            <w:r>
              <w:rPr>
                <w:rFonts w:hint="eastAsia" w:cs="Times New Roman"/>
                <w:color w:val="auto"/>
                <w:sz w:val="24"/>
                <w:szCs w:val="24"/>
                <w:highlight w:val="none"/>
                <w:lang w:val="en-US" w:eastAsia="zh-CN"/>
              </w:rPr>
              <w:t>。</w:t>
            </w:r>
            <w:r>
              <w:rPr>
                <w:rFonts w:hint="default" w:ascii="Times New Roman" w:hAnsi="Times New Roman" w:cs="Times New Roman"/>
                <w:color w:val="auto"/>
                <w:sz w:val="24"/>
                <w:highlight w:val="none"/>
                <w:lang w:val="en-US" w:eastAsia="zh-CN"/>
              </w:rPr>
              <w:t>110千伏开镁线5#-6#杆塔间</w:t>
            </w:r>
            <w:r>
              <w:rPr>
                <w:rFonts w:hint="eastAsia"/>
                <w:color w:val="auto"/>
                <w:sz w:val="24"/>
                <w:highlight w:val="none"/>
                <w:lang w:val="en-US" w:eastAsia="zh-CN"/>
              </w:rPr>
              <w:t>单回线路</w:t>
            </w:r>
            <w:r>
              <w:rPr>
                <w:color w:val="auto"/>
                <w:sz w:val="24"/>
                <w:highlight w:val="none"/>
              </w:rPr>
              <w:t>监测断面见图4-</w:t>
            </w:r>
            <w:r>
              <w:rPr>
                <w:rFonts w:hint="eastAsia"/>
                <w:color w:val="auto"/>
                <w:sz w:val="24"/>
                <w:highlight w:val="none"/>
                <w:lang w:val="en-US" w:eastAsia="zh-CN"/>
              </w:rPr>
              <w:t>2</w:t>
            </w:r>
            <w:r>
              <w:rPr>
                <w:color w:val="auto"/>
                <w:sz w:val="24"/>
                <w:highlight w:val="none"/>
              </w:rPr>
              <w:t>。</w:t>
            </w:r>
          </w:p>
          <w:p w14:paraId="7FD77FE5">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213.35pt;width:253pt;" o:ole="t" filled="f" o:preferrelative="t" stroked="t" coordsize="21600,21600">
                  <v:path/>
                  <v:fill on="f" focussize="0,0"/>
                  <v:stroke weight="1pt" color="#000000" joinstyle="miter"/>
                  <v:imagedata r:id="rId11" cropright="11851f" cropbottom="10327f" o:title=""/>
                  <o:lock v:ext="edit" aspectratio="f"/>
                  <w10:wrap type="none"/>
                  <w10:anchorlock/>
                </v:shape>
                <o:OLEObject Type="Embed" ProgID="Visio.Drawing.11" ShapeID="_x0000_i1025" DrawAspect="Content" ObjectID="_1468075725" r:id="rId10">
                  <o:LockedField>false</o:LockedField>
                </o:OLEObject>
              </w:object>
            </w:r>
          </w:p>
          <w:p w14:paraId="0170F17F">
            <w:pPr>
              <w:spacing w:line="360" w:lineRule="auto"/>
              <w:jc w:val="center"/>
              <w:rPr>
                <w:color w:val="auto"/>
                <w:sz w:val="24"/>
                <w:highlight w:val="none"/>
              </w:rPr>
            </w:pPr>
            <w:r>
              <w:rPr>
                <w:rFonts w:ascii="Times New Roman" w:hAnsi="Times New Roman" w:eastAsia="黑体" w:cs="Times New Roman"/>
                <w:b/>
                <w:bCs/>
                <w:color w:val="auto"/>
                <w:sz w:val="24"/>
                <w:highlight w:val="none"/>
              </w:rPr>
              <w:t>图4-</w:t>
            </w:r>
            <w:r>
              <w:rPr>
                <w:rFonts w:hint="eastAsia" w:ascii="Times New Roman" w:hAnsi="Times New Roman" w:eastAsia="黑体" w:cs="Times New Roman"/>
                <w:b/>
                <w:bCs/>
                <w:color w:val="auto"/>
                <w:sz w:val="24"/>
                <w:highlight w:val="none"/>
              </w:rPr>
              <w:t>2</w:t>
            </w:r>
            <w:r>
              <w:rPr>
                <w:rFonts w:ascii="Times New Roman" w:hAnsi="Times New Roman" w:eastAsia="黑体" w:cs="Times New Roman"/>
                <w:b/>
                <w:bCs/>
                <w:color w:val="auto"/>
                <w:sz w:val="24"/>
                <w:highlight w:val="none"/>
              </w:rPr>
              <w:t xml:space="preserve">  类比线路监测断面</w:t>
            </w:r>
            <w:r>
              <w:rPr>
                <w:rFonts w:hint="eastAsia" w:ascii="Times New Roman" w:hAnsi="Times New Roman" w:eastAsia="黑体" w:cs="Times New Roman"/>
                <w:b/>
                <w:bCs/>
                <w:color w:val="auto"/>
                <w:sz w:val="24"/>
                <w:highlight w:val="none"/>
                <w:lang w:val="en-US" w:eastAsia="zh-CN"/>
              </w:rPr>
              <w:t>图</w:t>
            </w:r>
          </w:p>
          <w:p w14:paraId="46DE9A8A">
            <w:pPr>
              <w:spacing w:line="360" w:lineRule="auto"/>
              <w:ind w:firstLine="470" w:firstLineChars="196"/>
              <w:rPr>
                <w:color w:val="auto"/>
                <w:sz w:val="24"/>
                <w:highlight w:val="none"/>
              </w:rPr>
            </w:pPr>
            <w:r>
              <w:rPr>
                <w:color w:val="auto"/>
                <w:sz w:val="24"/>
                <w:highlight w:val="none"/>
              </w:rPr>
              <w:t>⑧类比监测工况</w:t>
            </w:r>
          </w:p>
          <w:p w14:paraId="64DB7E8A">
            <w:pPr>
              <w:spacing w:line="360" w:lineRule="auto"/>
              <w:ind w:firstLine="480" w:firstLineChars="200"/>
              <w:rPr>
                <w:color w:val="auto"/>
                <w:sz w:val="24"/>
                <w:highlight w:val="none"/>
              </w:rPr>
            </w:pPr>
            <w:r>
              <w:rPr>
                <w:rFonts w:hint="eastAsia"/>
                <w:color w:val="auto"/>
                <w:sz w:val="24"/>
                <w:highlight w:val="none"/>
                <w:lang w:val="en-US" w:eastAsia="zh-CN"/>
              </w:rPr>
              <w:t>110千伏开镁线5#-6#杆塔间单回线路</w:t>
            </w:r>
            <w:r>
              <w:rPr>
                <w:color w:val="auto"/>
                <w:sz w:val="24"/>
                <w:highlight w:val="none"/>
              </w:rPr>
              <w:t>监测期间运行工况见表4-</w:t>
            </w:r>
            <w:r>
              <w:rPr>
                <w:rFonts w:hint="eastAsia"/>
                <w:color w:val="auto"/>
                <w:sz w:val="24"/>
                <w:highlight w:val="none"/>
                <w:lang w:val="en-US" w:eastAsia="zh-CN"/>
              </w:rPr>
              <w:t>9</w:t>
            </w:r>
            <w:r>
              <w:rPr>
                <w:color w:val="auto"/>
                <w:sz w:val="24"/>
                <w:highlight w:val="none"/>
              </w:rPr>
              <w:t>。</w:t>
            </w:r>
          </w:p>
          <w:p w14:paraId="53926F3D">
            <w:pPr>
              <w:spacing w:line="360" w:lineRule="auto"/>
              <w:jc w:val="center"/>
              <w:rPr>
                <w:rFonts w:eastAsia="黑体"/>
                <w:color w:val="auto"/>
                <w:sz w:val="24"/>
                <w:highlight w:val="none"/>
              </w:rPr>
            </w:pPr>
            <w:r>
              <w:rPr>
                <w:rFonts w:eastAsia="黑体"/>
                <w:b/>
                <w:bCs/>
                <w:color w:val="auto"/>
                <w:sz w:val="24"/>
                <w:highlight w:val="none"/>
              </w:rPr>
              <w:t>表4-</w:t>
            </w:r>
            <w:r>
              <w:rPr>
                <w:rFonts w:hint="eastAsia" w:eastAsia="黑体"/>
                <w:b/>
                <w:bCs/>
                <w:color w:val="auto"/>
                <w:sz w:val="24"/>
                <w:highlight w:val="none"/>
                <w:lang w:val="en-US" w:eastAsia="zh-CN"/>
              </w:rPr>
              <w:t>9</w:t>
            </w:r>
            <w:r>
              <w:rPr>
                <w:rFonts w:eastAsia="黑体"/>
                <w:b/>
                <w:bCs/>
                <w:color w:val="auto"/>
                <w:sz w:val="24"/>
                <w:highlight w:val="none"/>
              </w:rPr>
              <w:t xml:space="preserve">  类比线路监测期间运行工况一览表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560"/>
              <w:gridCol w:w="1320"/>
              <w:gridCol w:w="1845"/>
              <w:gridCol w:w="1878"/>
            </w:tblGrid>
            <w:tr w14:paraId="75D98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8" w:type="dxa"/>
                  <w:vAlign w:val="center"/>
                </w:tcPr>
                <w:p w14:paraId="33C261B6">
                  <w:pPr>
                    <w:adjustRightInd w:val="0"/>
                    <w:snapToGrid w:val="0"/>
                    <w:jc w:val="center"/>
                    <w:rPr>
                      <w:b/>
                      <w:bCs/>
                      <w:color w:val="auto"/>
                      <w:highlight w:val="none"/>
                    </w:rPr>
                  </w:pPr>
                  <w:r>
                    <w:rPr>
                      <w:b/>
                      <w:bCs/>
                      <w:color w:val="auto"/>
                      <w:highlight w:val="none"/>
                    </w:rPr>
                    <w:t>名称</w:t>
                  </w:r>
                </w:p>
              </w:tc>
              <w:tc>
                <w:tcPr>
                  <w:tcW w:w="1560" w:type="dxa"/>
                  <w:vAlign w:val="center"/>
                </w:tcPr>
                <w:p w14:paraId="6D89637D">
                  <w:pPr>
                    <w:adjustRightInd w:val="0"/>
                    <w:snapToGrid w:val="0"/>
                    <w:jc w:val="center"/>
                    <w:rPr>
                      <w:b/>
                      <w:bCs/>
                      <w:color w:val="auto"/>
                      <w:highlight w:val="none"/>
                    </w:rPr>
                  </w:pPr>
                  <w:r>
                    <w:rPr>
                      <w:b/>
                      <w:bCs/>
                      <w:color w:val="auto"/>
                      <w:highlight w:val="none"/>
                    </w:rPr>
                    <w:t>电压（kV）</w:t>
                  </w:r>
                </w:p>
              </w:tc>
              <w:tc>
                <w:tcPr>
                  <w:tcW w:w="1320" w:type="dxa"/>
                  <w:vAlign w:val="center"/>
                </w:tcPr>
                <w:p w14:paraId="76AB0B0E">
                  <w:pPr>
                    <w:adjustRightInd w:val="0"/>
                    <w:snapToGrid w:val="0"/>
                    <w:jc w:val="center"/>
                    <w:rPr>
                      <w:b/>
                      <w:bCs/>
                      <w:color w:val="auto"/>
                      <w:highlight w:val="none"/>
                    </w:rPr>
                  </w:pPr>
                  <w:r>
                    <w:rPr>
                      <w:b/>
                      <w:bCs/>
                      <w:color w:val="auto"/>
                      <w:highlight w:val="none"/>
                    </w:rPr>
                    <w:t>电流（A）</w:t>
                  </w:r>
                </w:p>
              </w:tc>
              <w:tc>
                <w:tcPr>
                  <w:tcW w:w="1845" w:type="dxa"/>
                  <w:vAlign w:val="center"/>
                </w:tcPr>
                <w:p w14:paraId="1AD41A04">
                  <w:pPr>
                    <w:adjustRightInd w:val="0"/>
                    <w:snapToGrid w:val="0"/>
                    <w:jc w:val="center"/>
                    <w:rPr>
                      <w:b/>
                      <w:bCs/>
                      <w:color w:val="auto"/>
                      <w:highlight w:val="none"/>
                    </w:rPr>
                  </w:pPr>
                  <w:r>
                    <w:rPr>
                      <w:b/>
                      <w:bCs/>
                      <w:color w:val="auto"/>
                      <w:highlight w:val="none"/>
                    </w:rPr>
                    <w:t>有功功率（MV）</w:t>
                  </w:r>
                </w:p>
              </w:tc>
              <w:tc>
                <w:tcPr>
                  <w:tcW w:w="1878" w:type="dxa"/>
                  <w:vAlign w:val="center"/>
                </w:tcPr>
                <w:p w14:paraId="55F6BDBB">
                  <w:pPr>
                    <w:adjustRightInd w:val="0"/>
                    <w:snapToGrid w:val="0"/>
                    <w:jc w:val="center"/>
                    <w:rPr>
                      <w:b/>
                      <w:bCs/>
                      <w:color w:val="auto"/>
                      <w:highlight w:val="none"/>
                    </w:rPr>
                  </w:pPr>
                  <w:r>
                    <w:rPr>
                      <w:b/>
                      <w:bCs/>
                      <w:color w:val="auto"/>
                      <w:highlight w:val="none"/>
                    </w:rPr>
                    <w:t>无功功率（MVar）</w:t>
                  </w:r>
                </w:p>
              </w:tc>
            </w:tr>
            <w:tr w14:paraId="76BF5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688" w:type="dxa"/>
                  <w:shd w:val="clear" w:color="auto" w:fill="auto"/>
                  <w:vAlign w:val="center"/>
                </w:tcPr>
                <w:p w14:paraId="34B18D7E">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110千伏开镁线</w:t>
                  </w:r>
                </w:p>
              </w:tc>
              <w:tc>
                <w:tcPr>
                  <w:tcW w:w="1560" w:type="dxa"/>
                  <w:shd w:val="clear" w:color="auto" w:fill="auto"/>
                  <w:vAlign w:val="center"/>
                </w:tcPr>
                <w:p w14:paraId="1A8DE315">
                  <w:pPr>
                    <w:keepNext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20" w:type="dxa"/>
                  <w:shd w:val="clear" w:color="auto" w:fill="auto"/>
                  <w:vAlign w:val="center"/>
                </w:tcPr>
                <w:p w14:paraId="504D5AF8">
                  <w:pPr>
                    <w:keepNext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845" w:type="dxa"/>
                  <w:shd w:val="clear" w:color="auto" w:fill="auto"/>
                  <w:vAlign w:val="center"/>
                </w:tcPr>
                <w:p w14:paraId="42A7BABA">
                  <w:pPr>
                    <w:keepNext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878" w:type="dxa"/>
                  <w:shd w:val="clear" w:color="auto" w:fill="auto"/>
                  <w:vAlign w:val="center"/>
                </w:tcPr>
                <w:p w14:paraId="37B35B38">
                  <w:pPr>
                    <w:keepNext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r>
          </w:tbl>
          <w:p w14:paraId="408030CD">
            <w:pPr>
              <w:spacing w:line="360" w:lineRule="auto"/>
              <w:ind w:firstLine="480" w:firstLineChars="200"/>
              <w:rPr>
                <w:color w:val="auto"/>
                <w:sz w:val="24"/>
                <w:highlight w:val="none"/>
              </w:rPr>
            </w:pPr>
            <w:r>
              <w:rPr>
                <w:color w:val="auto"/>
                <w:sz w:val="24"/>
                <w:highlight w:val="none"/>
              </w:rPr>
              <w:t>⑨类比监测结果</w:t>
            </w:r>
          </w:p>
          <w:p w14:paraId="10DD0743">
            <w:pPr>
              <w:spacing w:line="360" w:lineRule="auto"/>
              <w:ind w:firstLine="480" w:firstLineChars="200"/>
              <w:rPr>
                <w:color w:val="auto"/>
                <w:highlight w:val="none"/>
              </w:rPr>
            </w:pPr>
            <w:r>
              <w:rPr>
                <w:rFonts w:hint="eastAsia"/>
                <w:color w:val="auto"/>
                <w:sz w:val="24"/>
                <w:highlight w:val="none"/>
                <w:lang w:val="en-US" w:eastAsia="zh-CN"/>
              </w:rPr>
              <w:t>110千伏开镁线5#-6#杆塔间单回线路</w:t>
            </w:r>
            <w:r>
              <w:rPr>
                <w:color w:val="auto"/>
                <w:sz w:val="24"/>
                <w:highlight w:val="none"/>
              </w:rPr>
              <w:t>运行产生的噪声源强见表4-</w:t>
            </w:r>
            <w:r>
              <w:rPr>
                <w:rFonts w:hint="eastAsia"/>
                <w:color w:val="auto"/>
                <w:sz w:val="24"/>
                <w:highlight w:val="none"/>
                <w:lang w:val="en-US" w:eastAsia="zh-CN"/>
              </w:rPr>
              <w:t>10</w:t>
            </w:r>
            <w:r>
              <w:rPr>
                <w:color w:val="auto"/>
                <w:sz w:val="24"/>
                <w:highlight w:val="none"/>
              </w:rPr>
              <w:t>。</w:t>
            </w:r>
          </w:p>
          <w:p w14:paraId="75E7BA78">
            <w:pPr>
              <w:spacing w:line="360" w:lineRule="auto"/>
              <w:jc w:val="center"/>
              <w:rPr>
                <w:rFonts w:ascii="Times New Roman" w:hAnsi="Times New Roman" w:eastAsia="黑体" w:cs="Times New Roman"/>
                <w:b/>
                <w:bCs/>
                <w:color w:val="auto"/>
                <w:sz w:val="24"/>
                <w:highlight w:val="none"/>
              </w:rPr>
            </w:pPr>
            <w:r>
              <w:rPr>
                <w:rFonts w:ascii="Times New Roman" w:hAnsi="Times New Roman" w:eastAsia="黑体" w:cs="Times New Roman"/>
                <w:b/>
                <w:bCs/>
                <w:color w:val="auto"/>
                <w:sz w:val="24"/>
                <w:highlight w:val="none"/>
              </w:rPr>
              <w:t>表4-</w:t>
            </w:r>
            <w:r>
              <w:rPr>
                <w:rFonts w:hint="eastAsia" w:ascii="Times New Roman" w:hAnsi="Times New Roman" w:eastAsia="黑体" w:cs="Times New Roman"/>
                <w:b/>
                <w:bCs/>
                <w:color w:val="auto"/>
                <w:sz w:val="24"/>
                <w:highlight w:val="none"/>
                <w:lang w:val="en-US" w:eastAsia="zh-CN"/>
              </w:rPr>
              <w:t>1</w:t>
            </w:r>
            <w:r>
              <w:rPr>
                <w:rFonts w:hint="eastAsia" w:eastAsia="黑体" w:cs="Times New Roman"/>
                <w:b/>
                <w:bCs/>
                <w:color w:val="auto"/>
                <w:sz w:val="24"/>
                <w:highlight w:val="none"/>
                <w:lang w:val="en-US" w:eastAsia="zh-CN"/>
              </w:rPr>
              <w:t>0</w:t>
            </w:r>
            <w:r>
              <w:rPr>
                <w:rFonts w:ascii="Times New Roman" w:hAnsi="Times New Roman" w:eastAsia="黑体" w:cs="Times New Roman"/>
                <w:b/>
                <w:bCs/>
                <w:color w:val="auto"/>
                <w:sz w:val="24"/>
                <w:highlight w:val="none"/>
              </w:rPr>
              <w:t xml:space="preserve">  类比线路</w:t>
            </w:r>
            <w:r>
              <w:rPr>
                <w:rFonts w:hint="eastAsia" w:ascii="Times New Roman" w:hAnsi="Times New Roman" w:eastAsia="黑体" w:cs="Times New Roman"/>
                <w:b/>
                <w:bCs/>
                <w:color w:val="auto"/>
                <w:sz w:val="24"/>
                <w:highlight w:val="none"/>
                <w:lang w:val="en-US" w:eastAsia="zh-CN"/>
              </w:rPr>
              <w:t>监测</w:t>
            </w:r>
            <w:r>
              <w:rPr>
                <w:rFonts w:ascii="Times New Roman" w:hAnsi="Times New Roman" w:eastAsia="黑体" w:cs="Times New Roman"/>
                <w:b/>
                <w:bCs/>
                <w:color w:val="auto"/>
                <w:sz w:val="24"/>
                <w:highlight w:val="none"/>
              </w:rPr>
              <w:t>断面</w:t>
            </w:r>
            <w:r>
              <w:rPr>
                <w:rFonts w:hint="eastAsia" w:ascii="Times New Roman" w:hAnsi="Times New Roman" w:eastAsia="黑体" w:cs="Times New Roman"/>
                <w:b/>
                <w:bCs/>
                <w:color w:val="auto"/>
                <w:sz w:val="24"/>
                <w:highlight w:val="none"/>
                <w:lang w:val="en-US" w:eastAsia="zh-CN"/>
              </w:rPr>
              <w:t>噪声</w:t>
            </w:r>
            <w:r>
              <w:rPr>
                <w:rFonts w:ascii="Times New Roman" w:hAnsi="Times New Roman" w:eastAsia="黑体" w:cs="Times New Roman"/>
                <w:b/>
                <w:bCs/>
                <w:color w:val="auto"/>
                <w:sz w:val="24"/>
                <w:highlight w:val="none"/>
              </w:rPr>
              <w:t>监测结果</w:t>
            </w:r>
          </w:p>
          <w:tbl>
            <w:tblPr>
              <w:tblStyle w:val="28"/>
              <w:tblW w:w="48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4252"/>
              <w:gridCol w:w="1137"/>
              <w:gridCol w:w="1191"/>
              <w:gridCol w:w="1113"/>
            </w:tblGrid>
            <w:tr w14:paraId="20B70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7828E883">
                  <w:pPr>
                    <w:keepLines/>
                    <w:jc w:val="center"/>
                    <w:rPr>
                      <w:rFonts w:hint="eastAsia" w:eastAsia="宋体"/>
                      <w:b/>
                      <w:color w:val="auto"/>
                      <w:szCs w:val="21"/>
                      <w:highlight w:val="none"/>
                      <w:lang w:eastAsia="zh-CN"/>
                    </w:rPr>
                  </w:pPr>
                  <w:r>
                    <w:rPr>
                      <w:rFonts w:hint="eastAsia"/>
                      <w:b/>
                      <w:color w:val="auto"/>
                      <w:szCs w:val="21"/>
                      <w:highlight w:val="none"/>
                      <w:lang w:val="en-US" w:eastAsia="zh-CN"/>
                    </w:rPr>
                    <w:t>序号</w:t>
                  </w:r>
                </w:p>
              </w:tc>
              <w:tc>
                <w:tcPr>
                  <w:tcW w:w="4253" w:type="dxa"/>
                  <w:tcBorders>
                    <w:tl2br w:val="nil"/>
                    <w:tr2bl w:val="nil"/>
                  </w:tcBorders>
                  <w:vAlign w:val="center"/>
                </w:tcPr>
                <w:p w14:paraId="546CD8A2">
                  <w:pPr>
                    <w:keepLines/>
                    <w:jc w:val="center"/>
                    <w:rPr>
                      <w:b/>
                      <w:color w:val="auto"/>
                      <w:szCs w:val="21"/>
                      <w:highlight w:val="none"/>
                    </w:rPr>
                  </w:pPr>
                  <w:r>
                    <w:rPr>
                      <w:b/>
                      <w:color w:val="auto"/>
                      <w:szCs w:val="21"/>
                      <w:highlight w:val="none"/>
                    </w:rPr>
                    <w:t>监测点位</w:t>
                  </w:r>
                </w:p>
              </w:tc>
              <w:tc>
                <w:tcPr>
                  <w:tcW w:w="1137" w:type="dxa"/>
                  <w:tcBorders>
                    <w:tl2br w:val="nil"/>
                    <w:tr2bl w:val="nil"/>
                  </w:tcBorders>
                  <w:vAlign w:val="center"/>
                </w:tcPr>
                <w:p w14:paraId="6EBFA02E">
                  <w:pPr>
                    <w:keepLines/>
                    <w:jc w:val="center"/>
                    <w:rPr>
                      <w:b/>
                      <w:color w:val="auto"/>
                      <w:szCs w:val="21"/>
                      <w:highlight w:val="none"/>
                    </w:rPr>
                  </w:pPr>
                  <w:r>
                    <w:rPr>
                      <w:b/>
                      <w:color w:val="auto"/>
                      <w:szCs w:val="21"/>
                      <w:highlight w:val="none"/>
                    </w:rPr>
                    <w:t>测点高度（m）</w:t>
                  </w:r>
                </w:p>
              </w:tc>
              <w:tc>
                <w:tcPr>
                  <w:tcW w:w="1191" w:type="dxa"/>
                  <w:tcBorders>
                    <w:tl2br w:val="nil"/>
                    <w:tr2bl w:val="nil"/>
                  </w:tcBorders>
                  <w:vAlign w:val="center"/>
                </w:tcPr>
                <w:p w14:paraId="4871030A">
                  <w:pPr>
                    <w:keepLines/>
                    <w:jc w:val="center"/>
                    <w:rPr>
                      <w:b/>
                      <w:color w:val="auto"/>
                      <w:szCs w:val="21"/>
                      <w:highlight w:val="none"/>
                    </w:rPr>
                  </w:pPr>
                  <w:r>
                    <w:rPr>
                      <w:b/>
                      <w:color w:val="auto"/>
                      <w:szCs w:val="21"/>
                      <w:highlight w:val="none"/>
                    </w:rPr>
                    <w:t>昼间</w:t>
                  </w:r>
                </w:p>
                <w:p w14:paraId="328E7A10">
                  <w:pPr>
                    <w:keepLines/>
                    <w:jc w:val="center"/>
                    <w:rPr>
                      <w:b/>
                      <w:color w:val="auto"/>
                      <w:szCs w:val="21"/>
                      <w:highlight w:val="none"/>
                    </w:rPr>
                  </w:pPr>
                  <w:r>
                    <w:rPr>
                      <w:b/>
                      <w:color w:val="auto"/>
                      <w:szCs w:val="21"/>
                      <w:highlight w:val="none"/>
                    </w:rPr>
                    <w:t>dB(A)</w:t>
                  </w:r>
                </w:p>
              </w:tc>
              <w:tc>
                <w:tcPr>
                  <w:tcW w:w="1113" w:type="dxa"/>
                  <w:tcBorders>
                    <w:tl2br w:val="nil"/>
                    <w:tr2bl w:val="nil"/>
                  </w:tcBorders>
                  <w:vAlign w:val="center"/>
                </w:tcPr>
                <w:p w14:paraId="1EED9314">
                  <w:pPr>
                    <w:keepLines/>
                    <w:jc w:val="center"/>
                    <w:rPr>
                      <w:b/>
                      <w:color w:val="auto"/>
                      <w:szCs w:val="21"/>
                      <w:highlight w:val="none"/>
                    </w:rPr>
                  </w:pPr>
                  <w:r>
                    <w:rPr>
                      <w:b/>
                      <w:color w:val="auto"/>
                      <w:szCs w:val="21"/>
                      <w:highlight w:val="none"/>
                    </w:rPr>
                    <w:t>夜间</w:t>
                  </w:r>
                </w:p>
                <w:p w14:paraId="1B3022E3">
                  <w:pPr>
                    <w:keepLines/>
                    <w:jc w:val="center"/>
                    <w:rPr>
                      <w:b/>
                      <w:color w:val="auto"/>
                      <w:szCs w:val="21"/>
                      <w:highlight w:val="none"/>
                    </w:rPr>
                  </w:pPr>
                  <w:r>
                    <w:rPr>
                      <w:b/>
                      <w:color w:val="auto"/>
                      <w:szCs w:val="21"/>
                      <w:highlight w:val="none"/>
                    </w:rPr>
                    <w:t>dB(A)</w:t>
                  </w:r>
                </w:p>
              </w:tc>
            </w:tr>
            <w:tr w14:paraId="7F4C5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29EA7FB7">
                  <w:pPr>
                    <w:keepLines/>
                    <w:jc w:val="center"/>
                    <w:rPr>
                      <w:color w:val="auto"/>
                      <w:szCs w:val="21"/>
                      <w:highlight w:val="none"/>
                    </w:rPr>
                  </w:pPr>
                  <w:r>
                    <w:rPr>
                      <w:color w:val="auto"/>
                      <w:szCs w:val="21"/>
                      <w:highlight w:val="none"/>
                    </w:rPr>
                    <w:t>1</w:t>
                  </w:r>
                </w:p>
              </w:tc>
              <w:tc>
                <w:tcPr>
                  <w:tcW w:w="4253" w:type="dxa"/>
                  <w:tcBorders>
                    <w:tl2br w:val="nil"/>
                    <w:tr2bl w:val="nil"/>
                  </w:tcBorders>
                  <w:shd w:val="clear" w:color="auto" w:fill="auto"/>
                  <w:vAlign w:val="center"/>
                </w:tcPr>
                <w:p w14:paraId="2334BA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110千伏开镁线弧垂最低位置处中相导线对地投影点0m</w:t>
                  </w:r>
                </w:p>
              </w:tc>
              <w:tc>
                <w:tcPr>
                  <w:tcW w:w="1137" w:type="dxa"/>
                  <w:tcBorders>
                    <w:tl2br w:val="nil"/>
                    <w:tr2bl w:val="nil"/>
                  </w:tcBorders>
                  <w:shd w:val="clear" w:color="auto" w:fill="auto"/>
                  <w:vAlign w:val="center"/>
                </w:tcPr>
                <w:p w14:paraId="3C5B6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19AB347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41</w:t>
                  </w:r>
                </w:p>
              </w:tc>
              <w:tc>
                <w:tcPr>
                  <w:tcW w:w="1113" w:type="dxa"/>
                  <w:tcBorders>
                    <w:tl2br w:val="nil"/>
                    <w:tr2bl w:val="nil"/>
                  </w:tcBorders>
                  <w:shd w:val="clear" w:color="auto" w:fill="auto"/>
                  <w:vAlign w:val="center"/>
                </w:tcPr>
                <w:p w14:paraId="58097EA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r>
            <w:tr w14:paraId="022E3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2E56C841">
                  <w:pPr>
                    <w:keepLines/>
                    <w:jc w:val="center"/>
                    <w:rPr>
                      <w:color w:val="auto"/>
                      <w:szCs w:val="21"/>
                      <w:highlight w:val="none"/>
                    </w:rPr>
                  </w:pPr>
                  <w:r>
                    <w:rPr>
                      <w:color w:val="auto"/>
                      <w:szCs w:val="21"/>
                      <w:highlight w:val="none"/>
                    </w:rPr>
                    <w:t>2</w:t>
                  </w:r>
                </w:p>
              </w:tc>
              <w:tc>
                <w:tcPr>
                  <w:tcW w:w="4253" w:type="dxa"/>
                  <w:tcBorders>
                    <w:tl2br w:val="nil"/>
                    <w:tr2bl w:val="nil"/>
                  </w:tcBorders>
                  <w:shd w:val="clear" w:color="auto" w:fill="auto"/>
                  <w:vAlign w:val="center"/>
                </w:tcPr>
                <w:p w14:paraId="1FA6D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110千伏开镁线弧垂最低位置处中相导线对地投影点</w:t>
                  </w:r>
                  <w:r>
                    <w:rPr>
                      <w:rFonts w:hint="eastAsia" w:ascii="Times New Roman" w:hAnsi="Times New Roman" w:cs="Times New Roman"/>
                      <w:b w:val="0"/>
                      <w:bCs/>
                      <w:color w:val="auto"/>
                      <w:spacing w:val="0"/>
                      <w:sz w:val="21"/>
                      <w:szCs w:val="21"/>
                      <w:highlight w:val="none"/>
                      <w:lang w:val="en-US" w:eastAsia="zh-CN"/>
                    </w:rPr>
                    <w:t>北</w:t>
                  </w:r>
                  <w:r>
                    <w:rPr>
                      <w:rFonts w:hint="default" w:ascii="Times New Roman" w:hAnsi="Times New Roman" w:eastAsia="宋体" w:cs="Times New Roman"/>
                      <w:b w:val="0"/>
                      <w:bCs/>
                      <w:color w:val="auto"/>
                      <w:spacing w:val="0"/>
                      <w:sz w:val="21"/>
                      <w:szCs w:val="21"/>
                      <w:highlight w:val="none"/>
                      <w:lang w:val="en-US" w:eastAsia="zh-CN"/>
                    </w:rPr>
                    <w:t>1m</w:t>
                  </w:r>
                </w:p>
              </w:tc>
              <w:tc>
                <w:tcPr>
                  <w:tcW w:w="1137" w:type="dxa"/>
                  <w:tcBorders>
                    <w:tl2br w:val="nil"/>
                    <w:tr2bl w:val="nil"/>
                  </w:tcBorders>
                  <w:shd w:val="clear" w:color="auto" w:fill="auto"/>
                  <w:vAlign w:val="center"/>
                </w:tcPr>
                <w:p w14:paraId="75187E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47B5706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40</w:t>
                  </w:r>
                </w:p>
              </w:tc>
              <w:tc>
                <w:tcPr>
                  <w:tcW w:w="1113" w:type="dxa"/>
                  <w:tcBorders>
                    <w:tl2br w:val="nil"/>
                    <w:tr2bl w:val="nil"/>
                  </w:tcBorders>
                  <w:shd w:val="clear" w:color="auto" w:fill="auto"/>
                  <w:vAlign w:val="center"/>
                </w:tcPr>
                <w:p w14:paraId="16A63AE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r>
            <w:tr w14:paraId="6EA0E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425B53EA">
                  <w:pPr>
                    <w:keepLines/>
                    <w:jc w:val="center"/>
                    <w:rPr>
                      <w:color w:val="auto"/>
                      <w:szCs w:val="21"/>
                      <w:highlight w:val="none"/>
                    </w:rPr>
                  </w:pPr>
                  <w:r>
                    <w:rPr>
                      <w:color w:val="auto"/>
                      <w:szCs w:val="21"/>
                      <w:highlight w:val="none"/>
                    </w:rPr>
                    <w:t>3</w:t>
                  </w:r>
                </w:p>
              </w:tc>
              <w:tc>
                <w:tcPr>
                  <w:tcW w:w="4253" w:type="dxa"/>
                  <w:tcBorders>
                    <w:tl2br w:val="nil"/>
                    <w:tr2bl w:val="nil"/>
                  </w:tcBorders>
                  <w:shd w:val="clear" w:color="auto" w:fill="auto"/>
                  <w:vAlign w:val="center"/>
                </w:tcPr>
                <w:p w14:paraId="1DC60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110千伏开镁线弧垂最低位置处中相导线对地投影点北2m（边导线对地投影点0m）</w:t>
                  </w:r>
                </w:p>
              </w:tc>
              <w:tc>
                <w:tcPr>
                  <w:tcW w:w="1137" w:type="dxa"/>
                  <w:tcBorders>
                    <w:tl2br w:val="nil"/>
                    <w:tr2bl w:val="nil"/>
                  </w:tcBorders>
                  <w:shd w:val="clear" w:color="auto" w:fill="auto"/>
                  <w:vAlign w:val="center"/>
                </w:tcPr>
                <w:p w14:paraId="0CBF6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264B997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40</w:t>
                  </w:r>
                </w:p>
              </w:tc>
              <w:tc>
                <w:tcPr>
                  <w:tcW w:w="1113" w:type="dxa"/>
                  <w:tcBorders>
                    <w:tl2br w:val="nil"/>
                    <w:tr2bl w:val="nil"/>
                  </w:tcBorders>
                  <w:shd w:val="clear" w:color="auto" w:fill="auto"/>
                  <w:vAlign w:val="center"/>
                </w:tcPr>
                <w:p w14:paraId="3D4A836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38</w:t>
                  </w:r>
                </w:p>
              </w:tc>
            </w:tr>
            <w:tr w14:paraId="3CF25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2D72D41D">
                  <w:pPr>
                    <w:keepLines/>
                    <w:jc w:val="center"/>
                    <w:rPr>
                      <w:color w:val="auto"/>
                      <w:szCs w:val="21"/>
                      <w:highlight w:val="none"/>
                    </w:rPr>
                  </w:pPr>
                  <w:r>
                    <w:rPr>
                      <w:color w:val="auto"/>
                      <w:szCs w:val="21"/>
                      <w:highlight w:val="none"/>
                    </w:rPr>
                    <w:t>4</w:t>
                  </w:r>
                </w:p>
              </w:tc>
              <w:tc>
                <w:tcPr>
                  <w:tcW w:w="4253" w:type="dxa"/>
                  <w:tcBorders>
                    <w:tl2br w:val="nil"/>
                    <w:tr2bl w:val="nil"/>
                  </w:tcBorders>
                  <w:shd w:val="clear" w:color="auto" w:fill="auto"/>
                  <w:vAlign w:val="center"/>
                </w:tcPr>
                <w:p w14:paraId="29402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110千伏开镁线边导线对地投影点北1m</w:t>
                  </w:r>
                </w:p>
              </w:tc>
              <w:tc>
                <w:tcPr>
                  <w:tcW w:w="1137" w:type="dxa"/>
                  <w:tcBorders>
                    <w:tl2br w:val="nil"/>
                    <w:tr2bl w:val="nil"/>
                  </w:tcBorders>
                  <w:shd w:val="clear" w:color="auto" w:fill="auto"/>
                  <w:vAlign w:val="center"/>
                </w:tcPr>
                <w:p w14:paraId="1D1CE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79CE14F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41</w:t>
                  </w:r>
                </w:p>
              </w:tc>
              <w:tc>
                <w:tcPr>
                  <w:tcW w:w="1113" w:type="dxa"/>
                  <w:tcBorders>
                    <w:tl2br w:val="nil"/>
                    <w:tr2bl w:val="nil"/>
                  </w:tcBorders>
                  <w:shd w:val="clear" w:color="auto" w:fill="auto"/>
                  <w:vAlign w:val="center"/>
                </w:tcPr>
                <w:p w14:paraId="7208214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r>
            <w:tr w14:paraId="1344A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37E66F6A">
                  <w:pPr>
                    <w:keepLines/>
                    <w:jc w:val="center"/>
                    <w:rPr>
                      <w:color w:val="auto"/>
                      <w:szCs w:val="21"/>
                      <w:highlight w:val="none"/>
                    </w:rPr>
                  </w:pPr>
                  <w:r>
                    <w:rPr>
                      <w:color w:val="auto"/>
                      <w:szCs w:val="21"/>
                      <w:highlight w:val="none"/>
                    </w:rPr>
                    <w:t>5</w:t>
                  </w:r>
                </w:p>
              </w:tc>
              <w:tc>
                <w:tcPr>
                  <w:tcW w:w="4253" w:type="dxa"/>
                  <w:tcBorders>
                    <w:tl2br w:val="nil"/>
                    <w:tr2bl w:val="nil"/>
                  </w:tcBorders>
                  <w:shd w:val="clear" w:color="auto" w:fill="auto"/>
                  <w:vAlign w:val="center"/>
                </w:tcPr>
                <w:p w14:paraId="1E4D17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110千伏开镁线边导线对地投影点北2m</w:t>
                  </w:r>
                </w:p>
              </w:tc>
              <w:tc>
                <w:tcPr>
                  <w:tcW w:w="1137" w:type="dxa"/>
                  <w:tcBorders>
                    <w:tl2br w:val="nil"/>
                    <w:tr2bl w:val="nil"/>
                  </w:tcBorders>
                  <w:shd w:val="clear" w:color="auto" w:fill="auto"/>
                  <w:vAlign w:val="center"/>
                </w:tcPr>
                <w:p w14:paraId="0E862D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4C7F910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40</w:t>
                  </w:r>
                </w:p>
              </w:tc>
              <w:tc>
                <w:tcPr>
                  <w:tcW w:w="1113" w:type="dxa"/>
                  <w:tcBorders>
                    <w:tl2br w:val="nil"/>
                    <w:tr2bl w:val="nil"/>
                  </w:tcBorders>
                  <w:shd w:val="clear" w:color="auto" w:fill="auto"/>
                  <w:vAlign w:val="center"/>
                </w:tcPr>
                <w:p w14:paraId="54EC960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r>
            <w:tr w14:paraId="0E2404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4C347D63">
                  <w:pPr>
                    <w:keepLines/>
                    <w:jc w:val="center"/>
                    <w:rPr>
                      <w:color w:val="auto"/>
                      <w:szCs w:val="21"/>
                      <w:highlight w:val="none"/>
                    </w:rPr>
                  </w:pPr>
                  <w:r>
                    <w:rPr>
                      <w:color w:val="auto"/>
                      <w:szCs w:val="21"/>
                      <w:highlight w:val="none"/>
                    </w:rPr>
                    <w:t>6</w:t>
                  </w:r>
                </w:p>
              </w:tc>
              <w:tc>
                <w:tcPr>
                  <w:tcW w:w="4253" w:type="dxa"/>
                  <w:tcBorders>
                    <w:tl2br w:val="nil"/>
                    <w:tr2bl w:val="nil"/>
                  </w:tcBorders>
                  <w:shd w:val="clear" w:color="auto" w:fill="auto"/>
                  <w:vAlign w:val="center"/>
                </w:tcPr>
                <w:p w14:paraId="14BB2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110千伏开镁线边导线对地投影点北5m</w:t>
                  </w:r>
                </w:p>
              </w:tc>
              <w:tc>
                <w:tcPr>
                  <w:tcW w:w="1137" w:type="dxa"/>
                  <w:tcBorders>
                    <w:tl2br w:val="nil"/>
                    <w:tr2bl w:val="nil"/>
                  </w:tcBorders>
                  <w:shd w:val="clear" w:color="auto" w:fill="auto"/>
                  <w:vAlign w:val="center"/>
                </w:tcPr>
                <w:p w14:paraId="6B0C2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4D398FC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41</w:t>
                  </w:r>
                </w:p>
              </w:tc>
              <w:tc>
                <w:tcPr>
                  <w:tcW w:w="1113" w:type="dxa"/>
                  <w:tcBorders>
                    <w:tl2br w:val="nil"/>
                    <w:tr2bl w:val="nil"/>
                  </w:tcBorders>
                  <w:shd w:val="clear" w:color="auto" w:fill="auto"/>
                  <w:vAlign w:val="center"/>
                </w:tcPr>
                <w:p w14:paraId="344D222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r>
            <w:tr w14:paraId="09470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16D6A6F2">
                  <w:pPr>
                    <w:keepLines/>
                    <w:jc w:val="center"/>
                    <w:rPr>
                      <w:color w:val="auto"/>
                      <w:szCs w:val="21"/>
                      <w:highlight w:val="none"/>
                    </w:rPr>
                  </w:pPr>
                  <w:r>
                    <w:rPr>
                      <w:color w:val="auto"/>
                      <w:szCs w:val="21"/>
                      <w:highlight w:val="none"/>
                    </w:rPr>
                    <w:t>7</w:t>
                  </w:r>
                </w:p>
              </w:tc>
              <w:tc>
                <w:tcPr>
                  <w:tcW w:w="4253" w:type="dxa"/>
                  <w:tcBorders>
                    <w:tl2br w:val="nil"/>
                    <w:tr2bl w:val="nil"/>
                  </w:tcBorders>
                  <w:shd w:val="clear" w:color="auto" w:fill="auto"/>
                  <w:vAlign w:val="center"/>
                </w:tcPr>
                <w:p w14:paraId="43CF5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110千伏开镁线边导线对地投影点北10m</w:t>
                  </w:r>
                </w:p>
              </w:tc>
              <w:tc>
                <w:tcPr>
                  <w:tcW w:w="1137" w:type="dxa"/>
                  <w:tcBorders>
                    <w:tl2br w:val="nil"/>
                    <w:tr2bl w:val="nil"/>
                  </w:tcBorders>
                  <w:shd w:val="clear" w:color="auto" w:fill="auto"/>
                  <w:vAlign w:val="center"/>
                </w:tcPr>
                <w:p w14:paraId="03FEA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5AE54F8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42</w:t>
                  </w:r>
                </w:p>
              </w:tc>
              <w:tc>
                <w:tcPr>
                  <w:tcW w:w="1113" w:type="dxa"/>
                  <w:tcBorders>
                    <w:tl2br w:val="nil"/>
                    <w:tr2bl w:val="nil"/>
                  </w:tcBorders>
                  <w:shd w:val="clear" w:color="auto" w:fill="auto"/>
                  <w:vAlign w:val="center"/>
                </w:tcPr>
                <w:p w14:paraId="2A2930E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r>
            <w:tr w14:paraId="0A16C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04A94208">
                  <w:pPr>
                    <w:keepLines/>
                    <w:jc w:val="center"/>
                    <w:rPr>
                      <w:color w:val="auto"/>
                      <w:szCs w:val="21"/>
                      <w:highlight w:val="none"/>
                    </w:rPr>
                  </w:pPr>
                  <w:r>
                    <w:rPr>
                      <w:color w:val="auto"/>
                      <w:szCs w:val="21"/>
                      <w:highlight w:val="none"/>
                    </w:rPr>
                    <w:t>8</w:t>
                  </w:r>
                </w:p>
              </w:tc>
              <w:tc>
                <w:tcPr>
                  <w:tcW w:w="4253" w:type="dxa"/>
                  <w:tcBorders>
                    <w:tl2br w:val="nil"/>
                    <w:tr2bl w:val="nil"/>
                  </w:tcBorders>
                  <w:shd w:val="clear" w:color="auto" w:fill="auto"/>
                  <w:vAlign w:val="center"/>
                </w:tcPr>
                <w:p w14:paraId="6C56E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110千伏开镁线边导线对地投影点北15m</w:t>
                  </w:r>
                </w:p>
              </w:tc>
              <w:tc>
                <w:tcPr>
                  <w:tcW w:w="1137" w:type="dxa"/>
                  <w:tcBorders>
                    <w:tl2br w:val="nil"/>
                    <w:tr2bl w:val="nil"/>
                  </w:tcBorders>
                  <w:shd w:val="clear" w:color="auto" w:fill="auto"/>
                  <w:vAlign w:val="center"/>
                </w:tcPr>
                <w:p w14:paraId="5E26E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w:t>
                  </w:r>
                </w:p>
              </w:tc>
              <w:tc>
                <w:tcPr>
                  <w:tcW w:w="1191" w:type="dxa"/>
                  <w:tcBorders>
                    <w:tl2br w:val="nil"/>
                    <w:tr2bl w:val="nil"/>
                  </w:tcBorders>
                  <w:shd w:val="clear" w:color="auto" w:fill="auto"/>
                  <w:vAlign w:val="center"/>
                </w:tcPr>
                <w:p w14:paraId="158D642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40</w:t>
                  </w:r>
                </w:p>
              </w:tc>
              <w:tc>
                <w:tcPr>
                  <w:tcW w:w="1113" w:type="dxa"/>
                  <w:tcBorders>
                    <w:tl2br w:val="nil"/>
                    <w:tr2bl w:val="nil"/>
                  </w:tcBorders>
                  <w:shd w:val="clear" w:color="auto" w:fill="auto"/>
                  <w:vAlign w:val="center"/>
                </w:tcPr>
                <w:p w14:paraId="6C4765B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r>
            <w:tr w14:paraId="18B06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4E840E3F">
                  <w:pPr>
                    <w:keepLines/>
                    <w:jc w:val="center"/>
                    <w:rPr>
                      <w:rFonts w:hint="eastAsia" w:eastAsia="宋体"/>
                      <w:color w:val="auto"/>
                      <w:szCs w:val="21"/>
                      <w:highlight w:val="none"/>
                      <w:lang w:val="en-US" w:eastAsia="zh-CN"/>
                    </w:rPr>
                  </w:pPr>
                  <w:r>
                    <w:rPr>
                      <w:rFonts w:hint="eastAsia"/>
                      <w:color w:val="auto"/>
                      <w:szCs w:val="21"/>
                      <w:highlight w:val="none"/>
                      <w:lang w:val="en-US" w:eastAsia="zh-CN"/>
                    </w:rPr>
                    <w:t>9</w:t>
                  </w:r>
                </w:p>
              </w:tc>
              <w:tc>
                <w:tcPr>
                  <w:tcW w:w="4253" w:type="dxa"/>
                  <w:tcBorders>
                    <w:tl2br w:val="nil"/>
                    <w:tr2bl w:val="nil"/>
                  </w:tcBorders>
                  <w:shd w:val="clear" w:color="auto" w:fill="auto"/>
                  <w:vAlign w:val="center"/>
                </w:tcPr>
                <w:p w14:paraId="7163A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110千伏开镁线边导线对地投影点北20m</w:t>
                  </w:r>
                </w:p>
              </w:tc>
              <w:tc>
                <w:tcPr>
                  <w:tcW w:w="1137" w:type="dxa"/>
                  <w:tcBorders>
                    <w:tl2br w:val="nil"/>
                    <w:tr2bl w:val="nil"/>
                  </w:tcBorders>
                  <w:shd w:val="clear" w:color="auto" w:fill="auto"/>
                  <w:vAlign w:val="center"/>
                </w:tcPr>
                <w:p w14:paraId="623C1C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191" w:type="dxa"/>
                  <w:tcBorders>
                    <w:tl2br w:val="nil"/>
                    <w:tr2bl w:val="nil"/>
                  </w:tcBorders>
                  <w:shd w:val="clear" w:color="auto" w:fill="auto"/>
                  <w:vAlign w:val="center"/>
                </w:tcPr>
                <w:p w14:paraId="3D15201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40</w:t>
                  </w:r>
                </w:p>
              </w:tc>
              <w:tc>
                <w:tcPr>
                  <w:tcW w:w="1113" w:type="dxa"/>
                  <w:tcBorders>
                    <w:tl2br w:val="nil"/>
                    <w:tr2bl w:val="nil"/>
                  </w:tcBorders>
                  <w:shd w:val="clear" w:color="auto" w:fill="auto"/>
                  <w:vAlign w:val="center"/>
                </w:tcPr>
                <w:p w14:paraId="263E363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r>
            <w:tr w14:paraId="43A41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6ADA3F3A">
                  <w:pPr>
                    <w:keepLines/>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4253" w:type="dxa"/>
                  <w:tcBorders>
                    <w:tl2br w:val="nil"/>
                    <w:tr2bl w:val="nil"/>
                  </w:tcBorders>
                  <w:shd w:val="clear" w:color="auto" w:fill="auto"/>
                  <w:vAlign w:val="center"/>
                </w:tcPr>
                <w:p w14:paraId="38DCA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110千伏开镁线边导线对地投影点北25m</w:t>
                  </w:r>
                </w:p>
              </w:tc>
              <w:tc>
                <w:tcPr>
                  <w:tcW w:w="1137" w:type="dxa"/>
                  <w:tcBorders>
                    <w:tl2br w:val="nil"/>
                    <w:tr2bl w:val="nil"/>
                  </w:tcBorders>
                  <w:shd w:val="clear" w:color="auto" w:fill="auto"/>
                  <w:vAlign w:val="center"/>
                </w:tcPr>
                <w:p w14:paraId="0B4E4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191" w:type="dxa"/>
                  <w:tcBorders>
                    <w:tl2br w:val="nil"/>
                    <w:tr2bl w:val="nil"/>
                  </w:tcBorders>
                  <w:shd w:val="clear" w:color="auto" w:fill="auto"/>
                  <w:vAlign w:val="center"/>
                </w:tcPr>
                <w:p w14:paraId="01D6439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41</w:t>
                  </w:r>
                </w:p>
              </w:tc>
              <w:tc>
                <w:tcPr>
                  <w:tcW w:w="1113" w:type="dxa"/>
                  <w:tcBorders>
                    <w:tl2br w:val="nil"/>
                    <w:tr2bl w:val="nil"/>
                  </w:tcBorders>
                  <w:shd w:val="clear" w:color="auto" w:fill="auto"/>
                  <w:vAlign w:val="center"/>
                </w:tcPr>
                <w:p w14:paraId="6E8CF3C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r>
            <w:tr w14:paraId="53584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16" w:type="dxa"/>
                  <w:tcBorders>
                    <w:tl2br w:val="nil"/>
                    <w:tr2bl w:val="nil"/>
                  </w:tcBorders>
                  <w:vAlign w:val="center"/>
                </w:tcPr>
                <w:p w14:paraId="4CF4DCCB">
                  <w:pPr>
                    <w:keepLines/>
                    <w:jc w:val="center"/>
                    <w:rPr>
                      <w:rFonts w:hint="default" w:eastAsia="宋体"/>
                      <w:color w:val="auto"/>
                      <w:szCs w:val="21"/>
                      <w:highlight w:val="none"/>
                      <w:lang w:val="en-US" w:eastAsia="zh-CN"/>
                    </w:rPr>
                  </w:pPr>
                  <w:r>
                    <w:rPr>
                      <w:rFonts w:hint="eastAsia"/>
                      <w:color w:val="auto"/>
                      <w:szCs w:val="21"/>
                      <w:highlight w:val="none"/>
                      <w:lang w:val="en-US" w:eastAsia="zh-CN"/>
                    </w:rPr>
                    <w:t>11</w:t>
                  </w:r>
                </w:p>
              </w:tc>
              <w:tc>
                <w:tcPr>
                  <w:tcW w:w="4253" w:type="dxa"/>
                  <w:tcBorders>
                    <w:tl2br w:val="nil"/>
                    <w:tr2bl w:val="nil"/>
                  </w:tcBorders>
                  <w:shd w:val="clear" w:color="auto" w:fill="auto"/>
                  <w:vAlign w:val="center"/>
                </w:tcPr>
                <w:p w14:paraId="6DD1E0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110千伏开镁线边导线对地投影点北30m</w:t>
                  </w:r>
                </w:p>
              </w:tc>
              <w:tc>
                <w:tcPr>
                  <w:tcW w:w="1137" w:type="dxa"/>
                  <w:tcBorders>
                    <w:tl2br w:val="nil"/>
                    <w:tr2bl w:val="nil"/>
                  </w:tcBorders>
                  <w:shd w:val="clear" w:color="auto" w:fill="auto"/>
                  <w:vAlign w:val="center"/>
                </w:tcPr>
                <w:p w14:paraId="677459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1191" w:type="dxa"/>
                  <w:tcBorders>
                    <w:tl2br w:val="nil"/>
                    <w:tr2bl w:val="nil"/>
                  </w:tcBorders>
                  <w:shd w:val="clear" w:color="auto" w:fill="auto"/>
                  <w:vAlign w:val="center"/>
                </w:tcPr>
                <w:p w14:paraId="3615CA3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41</w:t>
                  </w:r>
                </w:p>
              </w:tc>
              <w:tc>
                <w:tcPr>
                  <w:tcW w:w="1113" w:type="dxa"/>
                  <w:tcBorders>
                    <w:tl2br w:val="nil"/>
                    <w:tr2bl w:val="nil"/>
                  </w:tcBorders>
                  <w:shd w:val="clear" w:color="auto" w:fill="auto"/>
                  <w:vAlign w:val="center"/>
                </w:tcPr>
                <w:p w14:paraId="4C88446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w:t>
                  </w:r>
                </w:p>
              </w:tc>
            </w:tr>
          </w:tbl>
          <w:p w14:paraId="7F2AEBF0">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highlight w:val="none"/>
              </w:rPr>
            </w:pPr>
            <w:r>
              <w:rPr>
                <w:rFonts w:hint="eastAsia"/>
                <w:color w:val="auto"/>
                <w:sz w:val="24"/>
                <w:highlight w:val="none"/>
              </w:rPr>
              <w:t>由</w:t>
            </w:r>
            <w:r>
              <w:rPr>
                <w:rFonts w:hint="eastAsia"/>
                <w:color w:val="auto"/>
                <w:sz w:val="24"/>
                <w:highlight w:val="none"/>
                <w:lang w:val="en-US" w:eastAsia="zh-CN"/>
              </w:rPr>
              <w:t>上</w:t>
            </w:r>
            <w:r>
              <w:rPr>
                <w:rFonts w:hint="eastAsia"/>
                <w:color w:val="auto"/>
                <w:sz w:val="24"/>
                <w:highlight w:val="none"/>
              </w:rPr>
              <w:t>表可以看出，</w:t>
            </w:r>
            <w:r>
              <w:rPr>
                <w:rFonts w:hint="default" w:ascii="Times New Roman" w:hAnsi="Times New Roman" w:cs="Times New Roman"/>
                <w:color w:val="auto"/>
                <w:sz w:val="24"/>
                <w:highlight w:val="none"/>
                <w:lang w:val="en-US" w:eastAsia="zh-CN"/>
              </w:rPr>
              <w:t>110千伏开镁线5#-6#杆塔间</w:t>
            </w:r>
            <w:r>
              <w:rPr>
                <w:rFonts w:hint="eastAsia" w:ascii="Times New Roman" w:hAnsi="Times New Roman" w:cs="Times New Roman"/>
                <w:color w:val="auto"/>
                <w:sz w:val="24"/>
                <w:szCs w:val="24"/>
                <w:highlight w:val="none"/>
                <w:lang w:val="en-US" w:eastAsia="zh-CN"/>
              </w:rPr>
              <w:t>单回线路</w:t>
            </w:r>
            <w:r>
              <w:rPr>
                <w:rFonts w:hint="default" w:ascii="Times New Roman" w:hAnsi="Times New Roman" w:cs="Times New Roman"/>
                <w:color w:val="auto"/>
                <w:kern w:val="1"/>
                <w:sz w:val="24"/>
                <w:highlight w:val="none"/>
                <w:lang w:val="en-US" w:eastAsia="zh-CN"/>
              </w:rPr>
              <w:t>监测断面上的</w:t>
            </w:r>
            <w:r>
              <w:rPr>
                <w:rFonts w:hint="eastAsia" w:ascii="Times New Roman" w:hAnsi="Times New Roman" w:cs="Times New Roman"/>
                <w:color w:val="auto"/>
                <w:kern w:val="1"/>
                <w:sz w:val="24"/>
                <w:highlight w:val="none"/>
                <w:lang w:val="en-US" w:eastAsia="zh-CN"/>
              </w:rPr>
              <w:t>环境噪声昼间</w:t>
            </w:r>
            <w:r>
              <w:rPr>
                <w:rFonts w:hint="default" w:ascii="Times New Roman" w:hAnsi="Times New Roman" w:cs="Times New Roman"/>
                <w:color w:val="auto"/>
                <w:kern w:val="1"/>
                <w:sz w:val="24"/>
                <w:highlight w:val="none"/>
                <w:lang w:val="en-US" w:eastAsia="zh-CN"/>
              </w:rPr>
              <w:t>为（</w:t>
            </w:r>
            <w:r>
              <w:rPr>
                <w:rFonts w:hint="eastAsia" w:ascii="Times New Roman" w:hAnsi="Times New Roman" w:cs="Times New Roman"/>
                <w:color w:val="auto"/>
                <w:kern w:val="1"/>
                <w:sz w:val="24"/>
                <w:highlight w:val="none"/>
                <w:lang w:val="en-US" w:eastAsia="zh-CN"/>
              </w:rPr>
              <w:t>4</w:t>
            </w:r>
            <w:r>
              <w:rPr>
                <w:rFonts w:hint="eastAsia" w:cs="Times New Roman"/>
                <w:color w:val="auto"/>
                <w:kern w:val="1"/>
                <w:sz w:val="24"/>
                <w:highlight w:val="none"/>
                <w:lang w:val="en-US" w:eastAsia="zh-CN"/>
              </w:rPr>
              <w:t>0</w:t>
            </w:r>
            <w:r>
              <w:rPr>
                <w:rFonts w:hint="default" w:ascii="Times New Roman" w:hAnsi="Times New Roman" w:cs="Times New Roman"/>
                <w:color w:val="auto"/>
                <w:kern w:val="1"/>
                <w:sz w:val="24"/>
                <w:highlight w:val="none"/>
                <w:lang w:val="en-US" w:eastAsia="zh-CN"/>
              </w:rPr>
              <w:t>~</w:t>
            </w:r>
            <w:r>
              <w:rPr>
                <w:rFonts w:hint="eastAsia" w:ascii="Times New Roman" w:hAnsi="Times New Roman" w:cs="Times New Roman"/>
                <w:color w:val="auto"/>
                <w:kern w:val="1"/>
                <w:sz w:val="24"/>
                <w:highlight w:val="none"/>
                <w:lang w:val="en-US" w:eastAsia="zh-CN"/>
              </w:rPr>
              <w:t>4</w:t>
            </w:r>
            <w:r>
              <w:rPr>
                <w:rFonts w:hint="eastAsia" w:cs="Times New Roman"/>
                <w:color w:val="auto"/>
                <w:kern w:val="1"/>
                <w:sz w:val="24"/>
                <w:highlight w:val="none"/>
                <w:lang w:val="en-US" w:eastAsia="zh-CN"/>
              </w:rPr>
              <w:t>2</w:t>
            </w:r>
            <w:r>
              <w:rPr>
                <w:rFonts w:hint="default" w:ascii="Times New Roman" w:hAnsi="Times New Roman" w:cs="Times New Roman"/>
                <w:color w:val="auto"/>
                <w:kern w:val="1"/>
                <w:sz w:val="24"/>
                <w:highlight w:val="none"/>
                <w:lang w:val="en-US" w:eastAsia="zh-CN"/>
              </w:rPr>
              <w:t>）</w:t>
            </w:r>
            <w:r>
              <w:rPr>
                <w:rFonts w:hint="default" w:ascii="Times New Roman" w:hAnsi="Times New Roman" w:cs="Times New Roman"/>
                <w:color w:val="auto"/>
                <w:kern w:val="0"/>
                <w:sz w:val="24"/>
                <w:szCs w:val="24"/>
                <w:highlight w:val="none"/>
              </w:rPr>
              <w:t>dB(A)</w:t>
            </w:r>
            <w:r>
              <w:rPr>
                <w:rFonts w:hint="default" w:ascii="Times New Roman" w:hAnsi="Times New Roman" w:cs="Times New Roman"/>
                <w:color w:val="auto"/>
                <w:kern w:val="1"/>
                <w:sz w:val="24"/>
                <w:highlight w:val="none"/>
                <w:lang w:val="en-US" w:eastAsia="zh-CN"/>
              </w:rPr>
              <w:t>、</w:t>
            </w:r>
            <w:r>
              <w:rPr>
                <w:rFonts w:hint="eastAsia" w:ascii="Times New Roman" w:hAnsi="Times New Roman" w:cs="Times New Roman"/>
                <w:color w:val="auto"/>
                <w:kern w:val="1"/>
                <w:sz w:val="24"/>
                <w:highlight w:val="none"/>
                <w:lang w:val="en-US" w:eastAsia="zh-CN"/>
              </w:rPr>
              <w:t>夜间</w:t>
            </w:r>
            <w:r>
              <w:rPr>
                <w:rFonts w:hint="default" w:ascii="Times New Roman" w:hAnsi="Times New Roman" w:cs="Times New Roman"/>
                <w:color w:val="auto"/>
                <w:kern w:val="1"/>
                <w:sz w:val="24"/>
                <w:highlight w:val="none"/>
                <w:lang w:val="en-US" w:eastAsia="zh-CN"/>
              </w:rPr>
              <w:t>为（</w:t>
            </w:r>
            <w:r>
              <w:rPr>
                <w:rFonts w:hint="eastAsia" w:ascii="Times New Roman" w:hAnsi="Times New Roman" w:cs="Times New Roman"/>
                <w:color w:val="auto"/>
                <w:kern w:val="1"/>
                <w:sz w:val="24"/>
                <w:highlight w:val="none"/>
                <w:lang w:val="en-US" w:eastAsia="zh-CN"/>
              </w:rPr>
              <w:t>38</w:t>
            </w:r>
            <w:r>
              <w:rPr>
                <w:rFonts w:hint="default" w:ascii="Times New Roman" w:hAnsi="Times New Roman" w:cs="Times New Roman"/>
                <w:color w:val="auto"/>
                <w:kern w:val="1"/>
                <w:sz w:val="24"/>
                <w:highlight w:val="none"/>
                <w:lang w:val="en-US" w:eastAsia="zh-CN"/>
              </w:rPr>
              <w:t>~</w:t>
            </w:r>
            <w:r>
              <w:rPr>
                <w:rFonts w:hint="eastAsia" w:ascii="Times New Roman" w:hAnsi="Times New Roman" w:cs="Times New Roman"/>
                <w:color w:val="auto"/>
                <w:kern w:val="1"/>
                <w:sz w:val="24"/>
                <w:highlight w:val="none"/>
                <w:lang w:val="en-US" w:eastAsia="zh-CN"/>
              </w:rPr>
              <w:t>4</w:t>
            </w:r>
            <w:r>
              <w:rPr>
                <w:rFonts w:hint="eastAsia" w:cs="Times New Roman"/>
                <w:color w:val="auto"/>
                <w:kern w:val="1"/>
                <w:sz w:val="24"/>
                <w:highlight w:val="none"/>
                <w:lang w:val="en-US" w:eastAsia="zh-CN"/>
              </w:rPr>
              <w:t>0</w:t>
            </w:r>
            <w:r>
              <w:rPr>
                <w:rFonts w:hint="default" w:ascii="Times New Roman" w:hAnsi="Times New Roman" w:cs="Times New Roman"/>
                <w:color w:val="auto"/>
                <w:kern w:val="1"/>
                <w:sz w:val="24"/>
                <w:highlight w:val="none"/>
                <w:lang w:val="en-US" w:eastAsia="zh-CN"/>
              </w:rPr>
              <w:t>）</w:t>
            </w:r>
            <w:r>
              <w:rPr>
                <w:rFonts w:hint="default" w:ascii="Times New Roman" w:hAnsi="Times New Roman" w:cs="Times New Roman"/>
                <w:color w:val="auto"/>
                <w:kern w:val="0"/>
                <w:sz w:val="24"/>
                <w:szCs w:val="24"/>
                <w:highlight w:val="none"/>
              </w:rPr>
              <w:t>dB(A)</w:t>
            </w:r>
            <w:r>
              <w:rPr>
                <w:rFonts w:hint="default" w:ascii="Times New Roman" w:hAnsi="Times New Roman" w:cs="Times New Roman"/>
                <w:color w:val="auto"/>
                <w:kern w:val="1"/>
                <w:sz w:val="24"/>
                <w:highlight w:val="none"/>
                <w:lang w:val="en-US" w:eastAsia="zh-CN"/>
              </w:rPr>
              <w:t>。</w:t>
            </w:r>
          </w:p>
          <w:p w14:paraId="7E46685D">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⑩噪声预测分析</w:t>
            </w:r>
          </w:p>
          <w:p w14:paraId="7D2156C9">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无限长线声源的几何发散衰减</w:t>
            </w:r>
            <w:r>
              <w:rPr>
                <w:rFonts w:hint="default" w:ascii="Times New Roman" w:hAnsi="Times New Roman" w:cs="Times New Roman"/>
                <w:color w:val="auto"/>
                <w:sz w:val="24"/>
                <w:highlight w:val="none"/>
                <w:lang w:val="en-US" w:eastAsia="zh-CN"/>
              </w:rPr>
              <w:t>计算</w:t>
            </w:r>
            <w:r>
              <w:rPr>
                <w:rFonts w:hint="default" w:ascii="Times New Roman" w:hAnsi="Times New Roman" w:cs="Times New Roman"/>
                <w:color w:val="auto"/>
                <w:sz w:val="24"/>
                <w:highlight w:val="none"/>
              </w:rPr>
              <w:t>公式</w:t>
            </w:r>
            <w:r>
              <w:rPr>
                <w:rFonts w:hint="eastAsia" w:cs="Times New Roman"/>
                <w:color w:val="auto"/>
                <w:sz w:val="24"/>
                <w:highlight w:val="none"/>
                <w:lang w:val="en-US" w:eastAsia="zh-CN"/>
              </w:rPr>
              <w:t>如下：</w:t>
            </w:r>
          </w:p>
          <w:p w14:paraId="4CCF879A">
            <w:pPr>
              <w:adjustRightInd w:val="0"/>
              <w:snapToGrid w:val="0"/>
              <w:spacing w:line="240" w:lineRule="auto"/>
              <w:jc w:val="center"/>
              <w:rPr>
                <w:rFonts w:hint="default" w:ascii="Times New Roman" w:hAnsi="Times New Roman" w:cs="Times New Roman"/>
                <w:color w:val="auto"/>
                <w:position w:val="-30"/>
                <w:sz w:val="24"/>
                <w:highlight w:val="none"/>
                <w:lang w:eastAsia="zh-CN"/>
              </w:rPr>
            </w:pPr>
            <w:r>
              <w:rPr>
                <w:rFonts w:hint="default" w:ascii="Times New Roman" w:hAnsi="Times New Roman" w:cs="Times New Roman"/>
                <w:color w:val="auto"/>
                <w:position w:val="-30"/>
                <w:sz w:val="24"/>
                <w:highlight w:val="none"/>
              </w:rPr>
              <w:object>
                <v:shape id="_x0000_i1026" o:spt="75" type="#_x0000_t75" style="height:37.75pt;width:140.8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p>
          <w:p w14:paraId="15CCE71D">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w:t>
            </w:r>
            <w:r>
              <w:rPr>
                <w:rFonts w:hint="default" w:ascii="Times New Roman" w:hAnsi="Times New Roman" w:cs="Times New Roman"/>
                <w:color w:val="auto"/>
                <w:sz w:val="24"/>
                <w:szCs w:val="24"/>
                <w:highlight w:val="none"/>
                <w:lang w:val="en-US" w:eastAsia="zh-CN"/>
              </w:rPr>
              <w:t>以环境影响最不利原则，选取类比线路现状监测最大值（未扣除区域背景值）作为</w:t>
            </w:r>
            <w:r>
              <w:rPr>
                <w:rFonts w:hint="default" w:ascii="Times New Roman" w:hAnsi="Times New Roman" w:cs="Times New Roman"/>
                <w:color w:val="auto"/>
                <w:sz w:val="24"/>
                <w:szCs w:val="24"/>
                <w:highlight w:val="none"/>
              </w:rPr>
              <w:t>贡献值</w:t>
            </w:r>
            <w:r>
              <w:rPr>
                <w:rFonts w:hint="default" w:ascii="Times New Roman" w:hAnsi="Times New Roman" w:cs="Times New Roman"/>
                <w:color w:val="auto"/>
                <w:sz w:val="24"/>
                <w:szCs w:val="24"/>
                <w:highlight w:val="none"/>
                <w:lang w:val="en-US" w:eastAsia="zh-CN"/>
              </w:rPr>
              <w:t>进行</w:t>
            </w:r>
            <w:r>
              <w:rPr>
                <w:rFonts w:hint="default" w:ascii="Times New Roman" w:hAnsi="Times New Roman" w:cs="Times New Roman"/>
                <w:color w:val="auto"/>
                <w:sz w:val="24"/>
                <w:szCs w:val="24"/>
                <w:highlight w:val="none"/>
              </w:rPr>
              <w:t>评价，即Lp(r)为</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dB(A)，参数r为</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m，r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14.5</w:t>
            </w:r>
            <w:r>
              <w:rPr>
                <w:rFonts w:hint="default" w:ascii="Times New Roman" w:hAnsi="Times New Roman" w:cs="Times New Roman"/>
                <w:color w:val="auto"/>
                <w:sz w:val="24"/>
                <w:szCs w:val="24"/>
                <w:highlight w:val="none"/>
              </w:rPr>
              <w:t>m，可得出</w:t>
            </w:r>
            <w:r>
              <w:rPr>
                <w:rFonts w:hint="default" w:ascii="Times New Roman" w:hAnsi="Times New Roman" w:cs="Times New Roman"/>
                <w:color w:val="auto"/>
                <w:sz w:val="24"/>
                <w:szCs w:val="24"/>
                <w:highlight w:val="none"/>
                <w:lang w:val="en-US" w:eastAsia="zh-CN"/>
              </w:rPr>
              <w:t>类比单</w:t>
            </w:r>
            <w:r>
              <w:rPr>
                <w:rFonts w:hint="default" w:ascii="Times New Roman" w:hAnsi="Times New Roman" w:cs="Times New Roman"/>
                <w:color w:val="auto"/>
                <w:sz w:val="24"/>
                <w:szCs w:val="24"/>
                <w:highlight w:val="none"/>
              </w:rPr>
              <w:t>回线路导线对地高度为</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m时，</w:t>
            </w:r>
            <w:r>
              <w:rPr>
                <w:rFonts w:hint="default" w:ascii="Times New Roman" w:hAnsi="Times New Roman" w:cs="Times New Roman"/>
                <w:color w:val="auto"/>
                <w:sz w:val="24"/>
                <w:szCs w:val="24"/>
                <w:highlight w:val="none"/>
                <w:lang w:val="en-US" w:eastAsia="zh-CN"/>
              </w:rPr>
              <w:t>线下</w:t>
            </w:r>
            <w:r>
              <w:rPr>
                <w:rFonts w:hint="default" w:ascii="Times New Roman" w:hAnsi="Times New Roman" w:cs="Times New Roman"/>
                <w:color w:val="auto"/>
                <w:sz w:val="24"/>
                <w:szCs w:val="24"/>
                <w:highlight w:val="none"/>
              </w:rPr>
              <w:t>噪声贡献值为</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项目单回架空线路段</w:t>
            </w:r>
            <w:r>
              <w:rPr>
                <w:rFonts w:hint="default" w:ascii="Times New Roman" w:hAnsi="Times New Roman" w:eastAsia="宋体" w:cs="Times New Roman"/>
                <w:color w:val="auto"/>
                <w:sz w:val="24"/>
                <w:szCs w:val="24"/>
                <w:highlight w:val="none"/>
              </w:rPr>
              <w:t>与类比</w:t>
            </w:r>
            <w:r>
              <w:rPr>
                <w:rFonts w:hint="eastAsia" w:ascii="Times New Roman" w:hAnsi="Times New Roman" w:cs="Times New Roman"/>
                <w:color w:val="auto"/>
                <w:sz w:val="24"/>
                <w:szCs w:val="24"/>
                <w:highlight w:val="none"/>
                <w:lang w:val="en-US" w:eastAsia="zh-CN"/>
              </w:rPr>
              <w:t>线路</w:t>
            </w:r>
            <w:r>
              <w:rPr>
                <w:rFonts w:hint="default" w:ascii="Times New Roman" w:hAnsi="Times New Roman" w:eastAsia="宋体" w:cs="Times New Roman"/>
                <w:color w:val="auto"/>
                <w:sz w:val="24"/>
                <w:szCs w:val="24"/>
                <w:highlight w:val="none"/>
              </w:rPr>
              <w:t>的电压等级、架设方式</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排列方式</w:t>
            </w:r>
            <w:r>
              <w:rPr>
                <w:rFonts w:hint="default" w:ascii="Times New Roman" w:hAnsi="Times New Roman" w:cs="Times New Roman"/>
                <w:color w:val="auto"/>
                <w:sz w:val="24"/>
                <w:szCs w:val="24"/>
                <w:highlight w:val="none"/>
                <w:lang w:val="en-US" w:eastAsia="zh-CN"/>
              </w:rPr>
              <w:t>相</w:t>
            </w:r>
            <w:r>
              <w:rPr>
                <w:rFonts w:hint="eastAsia" w:ascii="Times New Roman" w:hAnsi="Times New Roman" w:cs="Times New Roman"/>
                <w:color w:val="auto"/>
                <w:sz w:val="24"/>
                <w:szCs w:val="24"/>
                <w:highlight w:val="none"/>
                <w:lang w:val="en-US" w:eastAsia="zh-CN"/>
              </w:rPr>
              <w:t>同</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导线</w:t>
            </w:r>
            <w:r>
              <w:rPr>
                <w:rFonts w:hint="default" w:ascii="Times New Roman" w:hAnsi="Times New Roman" w:eastAsia="宋体" w:cs="Times New Roman"/>
                <w:color w:val="auto"/>
                <w:sz w:val="24"/>
                <w:szCs w:val="24"/>
                <w:highlight w:val="none"/>
                <w:lang w:val="en-US" w:eastAsia="zh-CN"/>
              </w:rPr>
              <w:t>型号类似，分裂数一致</w:t>
            </w:r>
            <w:r>
              <w:rPr>
                <w:rFonts w:hint="default" w:ascii="Times New Roman" w:hAnsi="Times New Roman" w:eastAsia="宋体" w:cs="Times New Roman"/>
                <w:color w:val="auto"/>
                <w:sz w:val="24"/>
                <w:szCs w:val="24"/>
                <w:highlight w:val="none"/>
              </w:rPr>
              <w:t>，且工程所在地环境条件相似，由</w:t>
            </w:r>
            <w:r>
              <w:rPr>
                <w:rFonts w:hint="default" w:ascii="Times New Roman" w:hAnsi="Times New Roman" w:eastAsia="宋体" w:cs="Times New Roman"/>
                <w:color w:val="auto"/>
                <w:sz w:val="24"/>
                <w:szCs w:val="24"/>
                <w:highlight w:val="none"/>
                <w:lang w:val="en-US" w:eastAsia="zh-CN"/>
              </w:rPr>
              <w:t>此类比可</w:t>
            </w:r>
            <w:r>
              <w:rPr>
                <w:rFonts w:hint="default" w:ascii="Times New Roman" w:hAnsi="Times New Roman" w:eastAsia="宋体" w:cs="Times New Roman"/>
                <w:color w:val="auto"/>
                <w:sz w:val="24"/>
                <w:szCs w:val="24"/>
                <w:highlight w:val="none"/>
              </w:rPr>
              <w:t>知</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单回架空</w:t>
            </w:r>
            <w:r>
              <w:rPr>
                <w:rFonts w:hint="default" w:ascii="Times New Roman" w:hAnsi="Times New Roman" w:cs="Times New Roman"/>
                <w:color w:val="auto"/>
                <w:sz w:val="24"/>
                <w:szCs w:val="24"/>
                <w:highlight w:val="none"/>
                <w:lang w:val="en-US" w:eastAsia="zh-CN"/>
              </w:rPr>
              <w:t>线路在导线对地高度不低于10m，距离地面1.5m处的</w:t>
            </w:r>
            <w:r>
              <w:rPr>
                <w:rFonts w:hint="default" w:ascii="Times New Roman" w:hAnsi="Times New Roman" w:cs="Times New Roman"/>
                <w:color w:val="auto"/>
                <w:sz w:val="24"/>
                <w:szCs w:val="24"/>
                <w:highlight w:val="none"/>
              </w:rPr>
              <w:t>噪声贡献值也满足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声</w:t>
            </w:r>
            <w:r>
              <w:rPr>
                <w:rFonts w:hint="default" w:ascii="Times New Roman" w:hAnsi="Times New Roman" w:eastAsia="宋体" w:cs="Times New Roman"/>
                <w:color w:val="auto"/>
                <w:sz w:val="24"/>
                <w:szCs w:val="24"/>
                <w:highlight w:val="none"/>
              </w:rPr>
              <w:t>环境</w:t>
            </w:r>
            <w:r>
              <w:rPr>
                <w:rFonts w:hint="default" w:ascii="Times New Roman" w:hAnsi="Times New Roman" w:cs="Times New Roman"/>
                <w:color w:val="auto"/>
                <w:sz w:val="24"/>
                <w:szCs w:val="24"/>
                <w:highlight w:val="none"/>
                <w:lang w:val="en-US" w:eastAsia="zh-CN"/>
              </w:rPr>
              <w:t>质量</w:t>
            </w:r>
            <w:r>
              <w:rPr>
                <w:rFonts w:hint="default" w:ascii="Times New Roman" w:hAnsi="Times New Roman" w:cs="Times New Roman"/>
                <w:color w:val="auto"/>
                <w:sz w:val="24"/>
                <w:szCs w:val="24"/>
                <w:highlight w:val="none"/>
              </w:rPr>
              <w:t>标准》（GB</w:t>
            </w:r>
            <w:r>
              <w:rPr>
                <w:rFonts w:hint="default" w:ascii="Times New Roman" w:hAnsi="Times New Roman" w:cs="Times New Roman"/>
                <w:color w:val="auto"/>
                <w:sz w:val="24"/>
                <w:szCs w:val="24"/>
                <w:highlight w:val="none"/>
                <w:lang w:val="en-US" w:eastAsia="zh-CN"/>
              </w:rPr>
              <w:t>3096</w:t>
            </w:r>
            <w:r>
              <w:rPr>
                <w:rFonts w:hint="default" w:ascii="Times New Roman" w:hAnsi="Times New Roman" w:cs="Times New Roman"/>
                <w:color w:val="auto"/>
                <w:sz w:val="24"/>
                <w:szCs w:val="24"/>
                <w:highlight w:val="none"/>
              </w:rPr>
              <w:t>-2008）</w:t>
            </w:r>
            <w:r>
              <w:rPr>
                <w:rFonts w:hint="default" w:ascii="Times New Roman" w:hAnsi="Times New Roman" w:cs="Times New Roman"/>
                <w:color w:val="auto"/>
                <w:sz w:val="24"/>
                <w:szCs w:val="24"/>
                <w:highlight w:val="none"/>
                <w:lang w:val="en-US" w:eastAsia="zh-CN"/>
              </w:rPr>
              <w:t>中1</w:t>
            </w:r>
            <w:r>
              <w:rPr>
                <w:rFonts w:hint="default" w:ascii="Times New Roman" w:hAnsi="Times New Roman" w:cs="Times New Roman"/>
                <w:color w:val="auto"/>
                <w:sz w:val="24"/>
                <w:szCs w:val="24"/>
                <w:highlight w:val="none"/>
              </w:rPr>
              <w:t>类</w:t>
            </w:r>
            <w:r>
              <w:rPr>
                <w:rFonts w:hint="eastAsia" w:ascii="Times New Roman" w:hAnsi="Times New Roman" w:cs="Times New Roman"/>
                <w:color w:val="auto"/>
                <w:sz w:val="24"/>
                <w:szCs w:val="24"/>
                <w:highlight w:val="none"/>
                <w:lang w:val="en-US" w:eastAsia="zh-CN"/>
              </w:rPr>
              <w:t>、2类</w:t>
            </w:r>
            <w:r>
              <w:rPr>
                <w:rFonts w:hint="default" w:ascii="Times New Roman" w:hAnsi="Times New Roman" w:cs="Times New Roman"/>
                <w:color w:val="auto"/>
                <w:sz w:val="24"/>
                <w:szCs w:val="24"/>
                <w:highlight w:val="none"/>
              </w:rPr>
              <w:t>标准要求。</w:t>
            </w:r>
          </w:p>
          <w:p w14:paraId="1DA0A2F2">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⑪环境保护目标</w:t>
            </w:r>
            <w:r>
              <w:rPr>
                <w:rFonts w:hint="default" w:ascii="Times New Roman" w:hAnsi="Times New Roman" w:cs="Times New Roman"/>
                <w:color w:val="auto"/>
                <w:sz w:val="24"/>
                <w:szCs w:val="24"/>
                <w:highlight w:val="none"/>
                <w:lang w:val="en-US" w:eastAsia="zh-CN"/>
              </w:rPr>
              <w:t>处噪声预测分析</w:t>
            </w:r>
          </w:p>
          <w:p w14:paraId="04D2AF4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w w:val="100"/>
                <w:position w:val="0"/>
                <w:sz w:val="24"/>
                <w:highlight w:val="none"/>
                <w:lang w:val="en-US" w:eastAsia="zh-CN"/>
              </w:rPr>
              <w:t>本项目</w:t>
            </w:r>
            <w:r>
              <w:rPr>
                <w:rFonts w:hint="eastAsia" w:ascii="Times New Roman" w:hAnsi="Times New Roman" w:eastAsia="宋体" w:cs="Times New Roman"/>
                <w:color w:val="auto"/>
                <w:spacing w:val="0"/>
                <w:w w:val="100"/>
                <w:position w:val="0"/>
                <w:sz w:val="24"/>
                <w:highlight w:val="none"/>
                <w:lang w:val="en-US" w:eastAsia="zh-CN"/>
              </w:rPr>
              <w:t>线路</w:t>
            </w:r>
            <w:r>
              <w:rPr>
                <w:rFonts w:hint="default" w:ascii="Times New Roman" w:hAnsi="Times New Roman" w:eastAsia="宋体" w:cs="Times New Roman"/>
                <w:color w:val="auto"/>
                <w:spacing w:val="0"/>
                <w:w w:val="100"/>
                <w:position w:val="0"/>
                <w:sz w:val="24"/>
                <w:highlight w:val="none"/>
                <w:lang w:val="en-US" w:eastAsia="zh-CN"/>
              </w:rPr>
              <w:t>环境敏感目标位于</w:t>
            </w:r>
            <w:r>
              <w:rPr>
                <w:rFonts w:hint="default" w:ascii="Times New Roman" w:hAnsi="Times New Roman" w:eastAsia="宋体" w:cs="Times New Roman"/>
                <w:bCs/>
                <w:color w:val="auto"/>
                <w:spacing w:val="0"/>
                <w:w w:val="100"/>
                <w:position w:val="0"/>
                <w:sz w:val="24"/>
                <w:highlight w:val="none"/>
                <w:lang w:val="en-US" w:eastAsia="zh-CN"/>
              </w:rPr>
              <w:t>110千伏</w:t>
            </w:r>
            <w:r>
              <w:rPr>
                <w:rFonts w:hint="eastAsia" w:ascii="Times New Roman" w:hAnsi="Times New Roman" w:cs="Times New Roman"/>
                <w:bCs/>
                <w:color w:val="auto"/>
                <w:spacing w:val="0"/>
                <w:w w:val="100"/>
                <w:position w:val="0"/>
                <w:sz w:val="24"/>
                <w:highlight w:val="none"/>
                <w:lang w:val="en-US" w:eastAsia="zh-CN"/>
              </w:rPr>
              <w:t>线路</w:t>
            </w:r>
            <w:r>
              <w:rPr>
                <w:rFonts w:hint="eastAsia" w:ascii="Times New Roman" w:hAnsi="Times New Roman" w:eastAsia="宋体" w:cs="Times New Roman"/>
                <w:bCs/>
                <w:color w:val="auto"/>
                <w:spacing w:val="0"/>
                <w:w w:val="100"/>
                <w:position w:val="0"/>
                <w:sz w:val="24"/>
                <w:highlight w:val="none"/>
                <w:lang w:val="en-US" w:eastAsia="zh-CN"/>
              </w:rPr>
              <w:t>单回路塔架设段，</w:t>
            </w:r>
            <w:r>
              <w:rPr>
                <w:rFonts w:hint="default" w:ascii="Times New Roman" w:hAnsi="Times New Roman" w:cs="Times New Roman"/>
                <w:color w:val="auto"/>
                <w:sz w:val="24"/>
                <w:szCs w:val="24"/>
                <w:highlight w:val="none"/>
              </w:rPr>
              <w:t>本次进行环境</w:t>
            </w:r>
            <w:r>
              <w:rPr>
                <w:rFonts w:hint="eastAsia" w:ascii="Times New Roman" w:hAnsi="Times New Roman" w:cs="Times New Roman"/>
                <w:color w:val="auto"/>
                <w:sz w:val="24"/>
                <w:szCs w:val="24"/>
                <w:highlight w:val="none"/>
                <w:lang w:val="en-US" w:eastAsia="zh-CN"/>
              </w:rPr>
              <w:t>环保</w:t>
            </w:r>
            <w:r>
              <w:rPr>
                <w:rFonts w:hint="default" w:ascii="Times New Roman" w:hAnsi="Times New Roman" w:cs="Times New Roman"/>
                <w:color w:val="auto"/>
                <w:sz w:val="24"/>
                <w:szCs w:val="24"/>
                <w:highlight w:val="none"/>
              </w:rPr>
              <w:t>目标声环境影响评价时，以声环境</w:t>
            </w:r>
            <w:r>
              <w:rPr>
                <w:rFonts w:hint="eastAsia" w:ascii="Times New Roman" w:hAnsi="Times New Roman" w:cs="Times New Roman"/>
                <w:color w:val="auto"/>
                <w:sz w:val="24"/>
                <w:szCs w:val="24"/>
                <w:highlight w:val="none"/>
                <w:lang w:val="en-US" w:eastAsia="zh-CN"/>
              </w:rPr>
              <w:t>保护</w:t>
            </w:r>
            <w:r>
              <w:rPr>
                <w:rFonts w:hint="default" w:ascii="Times New Roman" w:hAnsi="Times New Roman" w:cs="Times New Roman"/>
                <w:color w:val="auto"/>
                <w:sz w:val="24"/>
                <w:szCs w:val="24"/>
                <w:highlight w:val="none"/>
              </w:rPr>
              <w:t>目标所受的噪声贡献值与背景噪声值叠加后的预测值作为评价量，</w:t>
            </w:r>
            <w:r>
              <w:rPr>
                <w:rFonts w:hint="default" w:ascii="Times New Roman" w:hAnsi="Times New Roman" w:cs="Times New Roman"/>
                <w:color w:val="auto"/>
                <w:sz w:val="24"/>
                <w:szCs w:val="24"/>
                <w:highlight w:val="none"/>
                <w:lang w:val="en-US" w:eastAsia="zh-CN"/>
              </w:rPr>
              <w:t>根据设计单位提供的资料及与设计单位沟通确认，本项目输电线路</w:t>
            </w:r>
            <w:r>
              <w:rPr>
                <w:rFonts w:hint="eastAsia" w:ascii="Times New Roman" w:hAnsi="Times New Roman" w:cs="Times New Roman"/>
                <w:color w:val="auto"/>
                <w:sz w:val="24"/>
                <w:szCs w:val="24"/>
                <w:highlight w:val="none"/>
                <w:lang w:val="en-US" w:eastAsia="zh-CN"/>
              </w:rPr>
              <w:t>在经过环境保护目标处时设计</w:t>
            </w:r>
            <w:r>
              <w:rPr>
                <w:rFonts w:hint="default" w:ascii="Times New Roman" w:hAnsi="Times New Roman" w:cs="Times New Roman"/>
                <w:color w:val="auto"/>
                <w:sz w:val="24"/>
                <w:szCs w:val="24"/>
                <w:highlight w:val="none"/>
                <w:lang w:val="en-US" w:eastAsia="zh-CN"/>
              </w:rPr>
              <w:t>导线最低对地高度</w:t>
            </w:r>
            <w:r>
              <w:rPr>
                <w:rFonts w:hint="eastAsia" w:ascii="Times New Roman" w:hAnsi="Times New Roman" w:cs="Times New Roman"/>
                <w:color w:val="auto"/>
                <w:sz w:val="24"/>
                <w:szCs w:val="24"/>
                <w:highlight w:val="none"/>
                <w:lang w:val="en-US" w:eastAsia="zh-CN"/>
              </w:rPr>
              <w:t>约10</w:t>
            </w:r>
            <w:r>
              <w:rPr>
                <w:rFonts w:hint="default" w:ascii="Times New Roman" w:hAnsi="Times New Roman" w:cs="Times New Roman"/>
                <w:color w:val="auto"/>
                <w:sz w:val="24"/>
                <w:szCs w:val="24"/>
                <w:highlight w:val="none"/>
                <w:lang w:val="en-US" w:eastAsia="zh-CN"/>
              </w:rPr>
              <w:t>m</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由预测可知，</w:t>
            </w:r>
            <w:r>
              <w:rPr>
                <w:rFonts w:hint="default" w:ascii="Times New Roman" w:hAnsi="Times New Roman" w:cs="Times New Roman"/>
                <w:color w:val="auto"/>
                <w:sz w:val="24"/>
                <w:szCs w:val="24"/>
                <w:highlight w:val="none"/>
                <w:lang w:eastAsia="zh-CN"/>
              </w:rPr>
              <w:t>当导线对地高度不低于</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m时，</w:t>
            </w:r>
            <w:r>
              <w:rPr>
                <w:rFonts w:hint="default" w:ascii="Times New Roman" w:hAnsi="Times New Roman" w:cs="Times New Roman"/>
                <w:color w:val="auto"/>
                <w:sz w:val="24"/>
                <w:szCs w:val="24"/>
                <w:highlight w:val="none"/>
              </w:rPr>
              <w:t>本项</w:t>
            </w:r>
            <w:r>
              <w:rPr>
                <w:rFonts w:hint="default" w:ascii="Times New Roman" w:hAnsi="Times New Roman" w:cs="Times New Roman"/>
                <w:color w:val="auto"/>
                <w:sz w:val="24"/>
                <w:szCs w:val="24"/>
                <w:highlight w:val="none"/>
                <w:lang w:val="en-US" w:eastAsia="zh-CN"/>
              </w:rPr>
              <w:t>目</w:t>
            </w:r>
            <w:r>
              <w:rPr>
                <w:rFonts w:hint="eastAsia" w:ascii="Times New Roman" w:hAnsi="Times New Roman" w:cs="Times New Roman"/>
                <w:color w:val="auto"/>
                <w:sz w:val="24"/>
                <w:szCs w:val="24"/>
                <w:highlight w:val="none"/>
                <w:lang w:val="en-US" w:eastAsia="zh-CN"/>
              </w:rPr>
              <w:t>单回</w:t>
            </w:r>
            <w:r>
              <w:rPr>
                <w:rFonts w:hint="default" w:ascii="Times New Roman" w:hAnsi="Times New Roman" w:cs="Times New Roman"/>
                <w:color w:val="auto"/>
                <w:sz w:val="24"/>
                <w:szCs w:val="24"/>
                <w:highlight w:val="none"/>
                <w:lang w:val="en-US" w:eastAsia="zh-CN"/>
              </w:rPr>
              <w:t>架空</w:t>
            </w:r>
            <w:r>
              <w:rPr>
                <w:rFonts w:hint="eastAsia" w:ascii="Times New Roman" w:hAnsi="Times New Roman" w:cs="Times New Roman"/>
                <w:color w:val="auto"/>
                <w:sz w:val="24"/>
                <w:szCs w:val="24"/>
                <w:highlight w:val="none"/>
                <w:lang w:val="en-US" w:eastAsia="zh-CN"/>
              </w:rPr>
              <w:t>线路段</w:t>
            </w:r>
            <w:r>
              <w:rPr>
                <w:rFonts w:hint="default" w:ascii="Times New Roman" w:hAnsi="Times New Roman" w:cs="Times New Roman"/>
                <w:color w:val="auto"/>
                <w:sz w:val="24"/>
                <w:szCs w:val="24"/>
                <w:highlight w:val="none"/>
              </w:rPr>
              <w:t>建成运行后</w:t>
            </w:r>
            <w:r>
              <w:rPr>
                <w:rFonts w:hint="eastAsia" w:ascii="Times New Roman" w:hAnsi="Times New Roman" w:cs="Times New Roman"/>
                <w:color w:val="auto"/>
                <w:sz w:val="24"/>
                <w:szCs w:val="24"/>
                <w:highlight w:val="none"/>
                <w:lang w:val="en-US" w:eastAsia="zh-CN"/>
              </w:rPr>
              <w:t>声</w:t>
            </w:r>
            <w:r>
              <w:rPr>
                <w:rFonts w:hint="default" w:ascii="Times New Roman" w:hAnsi="Times New Roman" w:cs="Times New Roman"/>
                <w:color w:val="auto"/>
                <w:sz w:val="24"/>
                <w:szCs w:val="24"/>
                <w:highlight w:val="none"/>
              </w:rPr>
              <w:t>环境</w:t>
            </w:r>
            <w:r>
              <w:rPr>
                <w:rFonts w:hint="eastAsia" w:ascii="Times New Roman" w:hAnsi="Times New Roman" w:cs="Times New Roman"/>
                <w:color w:val="auto"/>
                <w:sz w:val="24"/>
                <w:szCs w:val="24"/>
                <w:highlight w:val="none"/>
                <w:lang w:val="en-US" w:eastAsia="zh-CN"/>
              </w:rPr>
              <w:t>保护</w:t>
            </w:r>
            <w:r>
              <w:rPr>
                <w:rFonts w:hint="default" w:ascii="Times New Roman" w:hAnsi="Times New Roman" w:cs="Times New Roman"/>
                <w:color w:val="auto"/>
                <w:sz w:val="24"/>
                <w:szCs w:val="24"/>
                <w:highlight w:val="none"/>
              </w:rPr>
              <w:t>目标处能够满足《声环境质量标准》（GB3096-2008）</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类</w:t>
            </w:r>
            <w:r>
              <w:rPr>
                <w:rFonts w:hint="default" w:ascii="Times New Roman" w:hAnsi="Times New Roman" w:cs="Times New Roman"/>
                <w:color w:val="auto"/>
                <w:sz w:val="24"/>
                <w:szCs w:val="24"/>
                <w:highlight w:val="none"/>
              </w:rPr>
              <w:t>标准</w:t>
            </w:r>
            <w:r>
              <w:rPr>
                <w:rFonts w:hint="eastAsia" w:ascii="Times New Roman" w:hAnsi="Times New Roman" w:cs="Times New Roman"/>
                <w:color w:val="auto"/>
                <w:sz w:val="24"/>
                <w:szCs w:val="24"/>
                <w:highlight w:val="none"/>
                <w:lang w:val="en-US" w:eastAsia="zh-CN"/>
              </w:rPr>
              <w:t>要求</w:t>
            </w:r>
            <w:r>
              <w:rPr>
                <w:rFonts w:hint="default" w:ascii="Times New Roman" w:hAnsi="Times New Roman" w:cs="Times New Roman"/>
                <w:color w:val="auto"/>
                <w:sz w:val="24"/>
                <w:szCs w:val="24"/>
                <w:highlight w:val="none"/>
              </w:rPr>
              <w:t>。具体预测结果</w:t>
            </w:r>
            <w:r>
              <w:rPr>
                <w:rFonts w:hint="eastAsia" w:ascii="Times New Roman" w:hAnsi="Times New Roman" w:cs="Times New Roman"/>
                <w:color w:val="auto"/>
                <w:sz w:val="24"/>
                <w:szCs w:val="24"/>
                <w:highlight w:val="none"/>
                <w:lang w:val="en-US" w:eastAsia="zh-CN"/>
              </w:rPr>
              <w:t>详</w:t>
            </w:r>
            <w:r>
              <w:rPr>
                <w:rFonts w:hint="default" w:ascii="Times New Roman" w:hAnsi="Times New Roman" w:cs="Times New Roman"/>
                <w:color w:val="auto"/>
                <w:sz w:val="24"/>
                <w:szCs w:val="24"/>
                <w:highlight w:val="none"/>
              </w:rPr>
              <w:t>见表</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14:paraId="612B5722">
            <w:pPr>
              <w:keepNext w:val="0"/>
              <w:keepLines w:val="0"/>
              <w:pageBreakBefore w:val="0"/>
              <w:widowControl w:val="0"/>
              <w:kinsoku/>
              <w:wordWrap/>
              <w:overflowPunct/>
              <w:topLinePunct w:val="0"/>
              <w:autoSpaceDE/>
              <w:autoSpaceDN/>
              <w:bidi w:val="0"/>
              <w:adjustRightInd w:val="0"/>
              <w:snapToGrid/>
              <w:spacing w:line="360" w:lineRule="auto"/>
              <w:jc w:val="right"/>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color w:val="auto"/>
                <w:sz w:val="24"/>
                <w:szCs w:val="24"/>
                <w:highlight w:val="none"/>
              </w:rPr>
              <w:t>表</w:t>
            </w:r>
            <w:r>
              <w:rPr>
                <w:rFonts w:hint="default" w:ascii="Times New Roman" w:hAnsi="Times New Roman" w:eastAsia="黑体" w:cs="Times New Roman"/>
                <w:b/>
                <w:color w:val="auto"/>
                <w:sz w:val="24"/>
                <w:szCs w:val="24"/>
                <w:highlight w:val="none"/>
                <w:lang w:val="en-US" w:eastAsia="zh-CN"/>
              </w:rPr>
              <w:t>4</w:t>
            </w:r>
            <w:r>
              <w:rPr>
                <w:rFonts w:hint="default" w:ascii="Times New Roman" w:hAnsi="Times New Roman" w:eastAsia="黑体" w:cs="Times New Roman"/>
                <w:b/>
                <w:color w:val="auto"/>
                <w:sz w:val="24"/>
                <w:szCs w:val="24"/>
                <w:highlight w:val="none"/>
              </w:rPr>
              <w:t>-</w:t>
            </w:r>
            <w:r>
              <w:rPr>
                <w:rFonts w:hint="eastAsia" w:ascii="Times New Roman" w:hAnsi="Times New Roman" w:eastAsia="黑体" w:cs="Times New Roman"/>
                <w:b/>
                <w:color w:val="auto"/>
                <w:sz w:val="24"/>
                <w:szCs w:val="24"/>
                <w:highlight w:val="none"/>
                <w:lang w:val="en-US" w:eastAsia="zh-CN"/>
              </w:rPr>
              <w:t>1</w:t>
            </w:r>
            <w:r>
              <w:rPr>
                <w:rFonts w:hint="eastAsia" w:eastAsia="黑体" w:cs="Times New Roman"/>
                <w:b/>
                <w:color w:val="auto"/>
                <w:sz w:val="24"/>
                <w:szCs w:val="24"/>
                <w:highlight w:val="none"/>
                <w:lang w:val="en-US" w:eastAsia="zh-CN"/>
              </w:rPr>
              <w:t>1</w:t>
            </w:r>
            <w:r>
              <w:rPr>
                <w:rFonts w:hint="default" w:ascii="Times New Roman" w:hAnsi="Times New Roman" w:eastAsia="黑体" w:cs="Times New Roman"/>
                <w:b/>
                <w:color w:val="auto"/>
                <w:sz w:val="24"/>
                <w:szCs w:val="24"/>
                <w:highlight w:val="none"/>
              </w:rPr>
              <w:t xml:space="preserve">  </w:t>
            </w:r>
            <w:r>
              <w:rPr>
                <w:rFonts w:hint="default" w:ascii="Times New Roman" w:hAnsi="Times New Roman" w:eastAsia="黑体" w:cs="Times New Roman"/>
                <w:b/>
                <w:color w:val="auto"/>
                <w:sz w:val="24"/>
                <w:szCs w:val="24"/>
                <w:highlight w:val="none"/>
                <w:lang w:eastAsia="zh-CN"/>
              </w:rPr>
              <w:t>声环境</w:t>
            </w:r>
            <w:r>
              <w:rPr>
                <w:rFonts w:hint="eastAsia" w:ascii="Times New Roman" w:hAnsi="Times New Roman" w:eastAsia="黑体" w:cs="Times New Roman"/>
                <w:b/>
                <w:color w:val="auto"/>
                <w:sz w:val="24"/>
                <w:szCs w:val="24"/>
                <w:highlight w:val="none"/>
                <w:lang w:val="en-US" w:eastAsia="zh-CN"/>
              </w:rPr>
              <w:t>保护</w:t>
            </w:r>
            <w:r>
              <w:rPr>
                <w:rFonts w:hint="default" w:ascii="Times New Roman" w:hAnsi="Times New Roman" w:eastAsia="黑体" w:cs="Times New Roman"/>
                <w:b/>
                <w:color w:val="auto"/>
                <w:sz w:val="24"/>
                <w:szCs w:val="24"/>
                <w:highlight w:val="none"/>
                <w:lang w:eastAsia="zh-CN"/>
              </w:rPr>
              <w:t>目标处</w:t>
            </w:r>
            <w:r>
              <w:rPr>
                <w:rFonts w:hint="default" w:ascii="Times New Roman" w:hAnsi="Times New Roman" w:eastAsia="黑体" w:cs="Times New Roman"/>
                <w:b/>
                <w:color w:val="auto"/>
                <w:sz w:val="24"/>
                <w:szCs w:val="24"/>
                <w:highlight w:val="none"/>
              </w:rPr>
              <w:t>噪声预测结果</w:t>
            </w:r>
            <w:r>
              <w:rPr>
                <w:rFonts w:hint="default" w:ascii="Times New Roman" w:hAnsi="Times New Roman" w:eastAsia="黑体" w:cs="Times New Roman"/>
                <w:b/>
                <w:color w:val="auto"/>
                <w:sz w:val="24"/>
                <w:szCs w:val="24"/>
                <w:highlight w:val="none"/>
                <w:lang w:val="en-US" w:eastAsia="zh-CN"/>
              </w:rPr>
              <w:t xml:space="preserve">      </w:t>
            </w:r>
            <w:r>
              <w:rPr>
                <w:rFonts w:hint="default" w:ascii="Times New Roman" w:hAnsi="Times New Roman" w:eastAsia="黑体" w:cs="Times New Roman"/>
                <w:b w:val="0"/>
                <w:bCs/>
                <w:color w:val="auto"/>
                <w:sz w:val="24"/>
                <w:szCs w:val="24"/>
                <w:highlight w:val="none"/>
                <w:lang w:val="en-US" w:eastAsia="zh-CN"/>
              </w:rPr>
              <w:t>单位：</w:t>
            </w:r>
            <w:r>
              <w:rPr>
                <w:rFonts w:hint="default" w:ascii="Times New Roman" w:hAnsi="Times New Roman" w:eastAsia="黑体" w:cs="Times New Roman"/>
                <w:b w:val="0"/>
                <w:bCs/>
                <w:color w:val="auto"/>
                <w:sz w:val="24"/>
                <w:szCs w:val="24"/>
                <w:highlight w:val="none"/>
              </w:rPr>
              <w:t>dB(A)</w:t>
            </w:r>
          </w:p>
          <w:tbl>
            <w:tblPr>
              <w:tblStyle w:val="28"/>
              <w:tblW w:w="489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910"/>
              <w:gridCol w:w="1125"/>
              <w:gridCol w:w="1084"/>
              <w:gridCol w:w="841"/>
              <w:gridCol w:w="783"/>
              <w:gridCol w:w="786"/>
              <w:gridCol w:w="745"/>
              <w:gridCol w:w="705"/>
              <w:gridCol w:w="672"/>
            </w:tblGrid>
            <w:tr w14:paraId="4B911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404" w:type="pct"/>
                  <w:vMerge w:val="restart"/>
                  <w:tcBorders>
                    <w:tl2br w:val="nil"/>
                    <w:tr2bl w:val="nil"/>
                  </w:tcBorders>
                  <w:noWrap w:val="0"/>
                  <w:vAlign w:val="center"/>
                </w:tcPr>
                <w:p w14:paraId="124361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222" w:type="pct"/>
                  <w:gridSpan w:val="2"/>
                  <w:vMerge w:val="restart"/>
                  <w:tcBorders>
                    <w:tl2br w:val="nil"/>
                    <w:tr2bl w:val="nil"/>
                  </w:tcBorders>
                  <w:noWrap w:val="0"/>
                  <w:vAlign w:val="center"/>
                </w:tcPr>
                <w:p w14:paraId="10F68442">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w:t>
                  </w:r>
                  <w:r>
                    <w:rPr>
                      <w:rFonts w:hint="eastAsia" w:ascii="Times New Roman" w:hAnsi="Times New Roman" w:eastAsia="宋体" w:cs="Times New Roman"/>
                      <w:b/>
                      <w:bCs/>
                      <w:color w:val="auto"/>
                      <w:sz w:val="21"/>
                      <w:szCs w:val="21"/>
                      <w:highlight w:val="none"/>
                      <w:lang w:val="en-US" w:eastAsia="zh-CN"/>
                    </w:rPr>
                    <w:t>环保</w:t>
                  </w:r>
                  <w:r>
                    <w:rPr>
                      <w:rFonts w:hint="default" w:ascii="Times New Roman" w:hAnsi="Times New Roman" w:eastAsia="宋体" w:cs="Times New Roman"/>
                      <w:b/>
                      <w:bCs/>
                      <w:color w:val="auto"/>
                      <w:sz w:val="21"/>
                      <w:szCs w:val="21"/>
                      <w:highlight w:val="none"/>
                      <w:lang w:val="en-US" w:eastAsia="zh-CN"/>
                    </w:rPr>
                    <w:t>目标</w:t>
                  </w:r>
                </w:p>
              </w:tc>
              <w:tc>
                <w:tcPr>
                  <w:tcW w:w="651" w:type="pct"/>
                  <w:vMerge w:val="restart"/>
                  <w:tcBorders>
                    <w:tl2br w:val="nil"/>
                    <w:tr2bl w:val="nil"/>
                  </w:tcBorders>
                  <w:noWrap w:val="0"/>
                  <w:vAlign w:val="center"/>
                </w:tcPr>
                <w:p w14:paraId="69281767">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贡献值</w:t>
                  </w:r>
                </w:p>
              </w:tc>
              <w:tc>
                <w:tcPr>
                  <w:tcW w:w="975" w:type="pct"/>
                  <w:gridSpan w:val="2"/>
                  <w:tcBorders>
                    <w:tl2br w:val="nil"/>
                    <w:tr2bl w:val="nil"/>
                  </w:tcBorders>
                  <w:noWrap w:val="0"/>
                  <w:vAlign w:val="center"/>
                </w:tcPr>
                <w:p w14:paraId="051D585C">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背景值</w:t>
                  </w:r>
                </w:p>
              </w:tc>
              <w:tc>
                <w:tcPr>
                  <w:tcW w:w="919" w:type="pct"/>
                  <w:gridSpan w:val="2"/>
                  <w:tcBorders>
                    <w:tl2br w:val="nil"/>
                    <w:tr2bl w:val="nil"/>
                  </w:tcBorders>
                  <w:noWrap w:val="0"/>
                  <w:vAlign w:val="center"/>
                </w:tcPr>
                <w:p w14:paraId="04C70174">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预测值</w:t>
                  </w:r>
                </w:p>
              </w:tc>
              <w:tc>
                <w:tcPr>
                  <w:tcW w:w="827" w:type="pct"/>
                  <w:gridSpan w:val="2"/>
                  <w:tcBorders>
                    <w:tl2br w:val="nil"/>
                    <w:tr2bl w:val="nil"/>
                  </w:tcBorders>
                  <w:noWrap w:val="0"/>
                  <w:vAlign w:val="center"/>
                </w:tcPr>
                <w:p w14:paraId="6A8A9B53">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r>
            <w:tr w14:paraId="7F108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04" w:type="pct"/>
                  <w:vMerge w:val="continue"/>
                  <w:tcBorders>
                    <w:tl2br w:val="nil"/>
                    <w:tr2bl w:val="nil"/>
                  </w:tcBorders>
                  <w:noWrap w:val="0"/>
                  <w:vAlign w:val="center"/>
                </w:tcPr>
                <w:p w14:paraId="34637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p>
              </w:tc>
              <w:tc>
                <w:tcPr>
                  <w:tcW w:w="1222" w:type="pct"/>
                  <w:gridSpan w:val="2"/>
                  <w:vMerge w:val="continue"/>
                  <w:tcBorders>
                    <w:tl2br w:val="nil"/>
                    <w:tr2bl w:val="nil"/>
                  </w:tcBorders>
                  <w:noWrap w:val="0"/>
                  <w:vAlign w:val="center"/>
                </w:tcPr>
                <w:p w14:paraId="0BE9A514">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p>
              </w:tc>
              <w:tc>
                <w:tcPr>
                  <w:tcW w:w="651" w:type="pct"/>
                  <w:vMerge w:val="continue"/>
                  <w:tcBorders>
                    <w:tl2br w:val="nil"/>
                    <w:tr2bl w:val="nil"/>
                  </w:tcBorders>
                  <w:noWrap w:val="0"/>
                  <w:vAlign w:val="center"/>
                </w:tcPr>
                <w:p w14:paraId="4F6DA970">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p>
              </w:tc>
              <w:tc>
                <w:tcPr>
                  <w:tcW w:w="505" w:type="pct"/>
                  <w:tcBorders>
                    <w:tl2br w:val="nil"/>
                    <w:tr2bl w:val="nil"/>
                  </w:tcBorders>
                  <w:noWrap w:val="0"/>
                  <w:vAlign w:val="center"/>
                </w:tcPr>
                <w:p w14:paraId="548CE792">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470" w:type="pct"/>
                  <w:tcBorders>
                    <w:tl2br w:val="nil"/>
                    <w:tr2bl w:val="nil"/>
                  </w:tcBorders>
                  <w:noWrap w:val="0"/>
                  <w:vAlign w:val="center"/>
                </w:tcPr>
                <w:p w14:paraId="3C93CA14">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w:t>
                  </w:r>
                </w:p>
              </w:tc>
              <w:tc>
                <w:tcPr>
                  <w:tcW w:w="472" w:type="pct"/>
                  <w:tcBorders>
                    <w:tl2br w:val="nil"/>
                    <w:tr2bl w:val="nil"/>
                  </w:tcBorders>
                  <w:noWrap w:val="0"/>
                  <w:vAlign w:val="center"/>
                </w:tcPr>
                <w:p w14:paraId="326E235E">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447" w:type="pct"/>
                  <w:tcBorders>
                    <w:tl2br w:val="nil"/>
                    <w:tr2bl w:val="nil"/>
                  </w:tcBorders>
                  <w:noWrap w:val="0"/>
                  <w:vAlign w:val="center"/>
                </w:tcPr>
                <w:p w14:paraId="565B9FAB">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w:t>
                  </w:r>
                </w:p>
              </w:tc>
              <w:tc>
                <w:tcPr>
                  <w:tcW w:w="423" w:type="pct"/>
                  <w:tcBorders>
                    <w:tl2br w:val="nil"/>
                    <w:tr2bl w:val="nil"/>
                  </w:tcBorders>
                  <w:noWrap w:val="0"/>
                  <w:vAlign w:val="center"/>
                </w:tcPr>
                <w:p w14:paraId="2A405DE7">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昼间</w:t>
                  </w:r>
                </w:p>
              </w:tc>
              <w:tc>
                <w:tcPr>
                  <w:tcW w:w="403" w:type="pct"/>
                  <w:tcBorders>
                    <w:tl2br w:val="nil"/>
                    <w:tr2bl w:val="nil"/>
                  </w:tcBorders>
                  <w:noWrap w:val="0"/>
                  <w:vAlign w:val="center"/>
                </w:tcPr>
                <w:p w14:paraId="62EF54C6">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夜间</w:t>
                  </w:r>
                </w:p>
              </w:tc>
            </w:tr>
            <w:tr w14:paraId="2D4BD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04" w:type="pct"/>
                  <w:tcBorders>
                    <w:tl2br w:val="nil"/>
                    <w:tr2bl w:val="nil"/>
                  </w:tcBorders>
                  <w:noWrap w:val="0"/>
                  <w:vAlign w:val="center"/>
                </w:tcPr>
                <w:p w14:paraId="2B7EE1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546" w:type="pct"/>
                  <w:tcBorders>
                    <w:tl2br w:val="nil"/>
                    <w:tr2bl w:val="nil"/>
                  </w:tcBorders>
                  <w:noWrap w:val="0"/>
                  <w:vAlign w:val="center"/>
                </w:tcPr>
                <w:p w14:paraId="6F8905C7">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pacing w:val="0"/>
                      <w:w w:val="100"/>
                      <w:kern w:val="0"/>
                      <w:position w:val="0"/>
                      <w:sz w:val="21"/>
                      <w:szCs w:val="21"/>
                      <w:highlight w:val="none"/>
                      <w:lang w:val="en-US" w:eastAsia="zh-CN"/>
                    </w:rPr>
                    <w:t>******</w:t>
                  </w:r>
                </w:p>
              </w:tc>
              <w:tc>
                <w:tcPr>
                  <w:tcW w:w="675" w:type="pct"/>
                  <w:tcBorders>
                    <w:tl2br w:val="nil"/>
                    <w:tr2bl w:val="nil"/>
                  </w:tcBorders>
                  <w:noWrap w:val="0"/>
                  <w:vAlign w:val="center"/>
                </w:tcPr>
                <w:p w14:paraId="000466E3">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pacing w:val="0"/>
                      <w:w w:val="100"/>
                      <w:kern w:val="0"/>
                      <w:position w:val="0"/>
                      <w:sz w:val="21"/>
                      <w:szCs w:val="21"/>
                      <w:highlight w:val="none"/>
                      <w:lang w:val="en-US" w:eastAsia="zh-CN"/>
                    </w:rPr>
                    <w:t>******</w:t>
                  </w:r>
                </w:p>
              </w:tc>
              <w:tc>
                <w:tcPr>
                  <w:tcW w:w="651" w:type="pct"/>
                  <w:tcBorders>
                    <w:tl2br w:val="nil"/>
                    <w:tr2bl w:val="nil"/>
                  </w:tcBorders>
                  <w:noWrap w:val="0"/>
                  <w:vAlign w:val="center"/>
                </w:tcPr>
                <w:p w14:paraId="74212444">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39</w:t>
                  </w:r>
                </w:p>
              </w:tc>
              <w:tc>
                <w:tcPr>
                  <w:tcW w:w="505" w:type="pct"/>
                  <w:tcBorders>
                    <w:tl2br w:val="nil"/>
                    <w:tr2bl w:val="nil"/>
                  </w:tcBorders>
                  <w:noWrap w:val="0"/>
                  <w:vAlign w:val="center"/>
                </w:tcPr>
                <w:p w14:paraId="74FD233F">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34</w:t>
                  </w:r>
                </w:p>
              </w:tc>
              <w:tc>
                <w:tcPr>
                  <w:tcW w:w="470" w:type="pct"/>
                  <w:tcBorders>
                    <w:tl2br w:val="nil"/>
                    <w:tr2bl w:val="nil"/>
                  </w:tcBorders>
                  <w:noWrap w:val="0"/>
                  <w:vAlign w:val="center"/>
                </w:tcPr>
                <w:p w14:paraId="3FA8EA6A">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r>
                    <w:rPr>
                      <w:rFonts w:hint="eastAsia" w:cs="Times New Roman"/>
                      <w:b w:val="0"/>
                      <w:bCs w:val="0"/>
                      <w:color w:val="auto"/>
                      <w:sz w:val="21"/>
                      <w:szCs w:val="21"/>
                      <w:highlight w:val="none"/>
                      <w:lang w:val="en-US" w:eastAsia="zh-CN"/>
                    </w:rPr>
                    <w:t>1</w:t>
                  </w:r>
                </w:p>
              </w:tc>
              <w:tc>
                <w:tcPr>
                  <w:tcW w:w="472" w:type="pct"/>
                  <w:tcBorders>
                    <w:tl2br w:val="nil"/>
                    <w:tr2bl w:val="nil"/>
                  </w:tcBorders>
                  <w:noWrap w:val="0"/>
                  <w:vAlign w:val="center"/>
                </w:tcPr>
                <w:p w14:paraId="6BEC453D">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447" w:type="pct"/>
                  <w:tcBorders>
                    <w:tl2br w:val="nil"/>
                    <w:tr2bl w:val="nil"/>
                  </w:tcBorders>
                  <w:noWrap w:val="0"/>
                  <w:vAlign w:val="center"/>
                </w:tcPr>
                <w:p w14:paraId="6D0FA07C">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423" w:type="pct"/>
                  <w:tcBorders>
                    <w:tl2br w:val="nil"/>
                    <w:tr2bl w:val="nil"/>
                  </w:tcBorders>
                  <w:noWrap w:val="0"/>
                  <w:vAlign w:val="center"/>
                </w:tcPr>
                <w:p w14:paraId="1F2DB692">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55</w:t>
                  </w:r>
                </w:p>
              </w:tc>
              <w:tc>
                <w:tcPr>
                  <w:tcW w:w="403" w:type="pct"/>
                  <w:tcBorders>
                    <w:tl2br w:val="nil"/>
                    <w:tr2bl w:val="nil"/>
                  </w:tcBorders>
                  <w:noWrap w:val="0"/>
                  <w:vAlign w:val="center"/>
                </w:tcPr>
                <w:p w14:paraId="524C1498">
                  <w:pPr>
                    <w:keepNext w:val="0"/>
                    <w:keepLines w:val="0"/>
                    <w:pageBreakBefore w:val="0"/>
                    <w:widowControl w:val="0"/>
                    <w:kinsoku/>
                    <w:wordWrap/>
                    <w:overflowPunct/>
                    <w:topLinePunct w:val="0"/>
                    <w:autoSpaceDE/>
                    <w:autoSpaceDN/>
                    <w:bidi w:val="0"/>
                    <w:adjustRightInd/>
                    <w:snapToGrid/>
                    <w:spacing w:line="240" w:lineRule="auto"/>
                    <w:ind w:left="105" w:leftChars="0" w:hanging="105" w:hangingChars="5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45</w:t>
                  </w:r>
                </w:p>
              </w:tc>
            </w:tr>
          </w:tbl>
          <w:p w14:paraId="22832580">
            <w:pPr>
              <w:pStyle w:val="11"/>
              <w:keepNext w:val="0"/>
              <w:keepLines w:val="0"/>
              <w:pageBreakBefore w:val="0"/>
              <w:widowControl w:val="0"/>
              <w:kinsoku/>
              <w:wordWrap/>
              <w:overflowPunct/>
              <w:topLinePunct w:val="0"/>
              <w:autoSpaceDE/>
              <w:autoSpaceDN/>
              <w:bidi w:val="0"/>
              <w:adjustRightInd/>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输电线路</w:t>
            </w:r>
            <w:r>
              <w:rPr>
                <w:rFonts w:hint="default" w:ascii="Times New Roman" w:hAnsi="Times New Roman" w:eastAsia="宋体" w:cs="Times New Roman"/>
                <w:color w:val="auto"/>
                <w:sz w:val="24"/>
                <w:szCs w:val="24"/>
                <w:highlight w:val="none"/>
              </w:rPr>
              <w:t>声环境</w:t>
            </w:r>
            <w:r>
              <w:rPr>
                <w:rFonts w:hint="eastAsia" w:ascii="Times New Roman" w:hAnsi="Times New Roman" w:eastAsia="宋体" w:cs="Times New Roman"/>
                <w:color w:val="auto"/>
                <w:sz w:val="24"/>
                <w:szCs w:val="24"/>
                <w:highlight w:val="none"/>
                <w:lang w:val="en-US" w:eastAsia="zh-CN"/>
              </w:rPr>
              <w:t>保护</w:t>
            </w:r>
            <w:r>
              <w:rPr>
                <w:rFonts w:hint="default" w:ascii="Times New Roman" w:hAnsi="Times New Roman" w:eastAsia="宋体" w:cs="Times New Roman"/>
                <w:color w:val="auto"/>
                <w:sz w:val="24"/>
                <w:szCs w:val="24"/>
                <w:highlight w:val="none"/>
              </w:rPr>
              <w:t>目标噪声预测值</w:t>
            </w:r>
            <w:r>
              <w:rPr>
                <w:rFonts w:hint="default" w:ascii="Times New Roman" w:hAnsi="Times New Roman" w:eastAsia="宋体" w:cs="Times New Roman"/>
                <w:color w:val="auto"/>
                <w:sz w:val="24"/>
                <w:szCs w:val="24"/>
                <w:highlight w:val="none"/>
                <w:lang w:eastAsia="zh-CN"/>
              </w:rPr>
              <w:t>昼间</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dB(A)、夜间</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dB(A)，均低于《声环境质量标准》（GB3096-2008）中的</w:t>
            </w: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w:t>
            </w:r>
          </w:p>
          <w:p w14:paraId="3D2F1B5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本次预测仅考虑了噪声距离衰减，因此本次评价的噪声预测值要大于线路实际产生的噪声值，声环境影响预测与评价是正确的并且是合理的。</w:t>
            </w:r>
          </w:p>
          <w:p w14:paraId="148C3B74">
            <w:pPr>
              <w:spacing w:line="360" w:lineRule="auto"/>
              <w:ind w:firstLine="470" w:firstLineChars="196"/>
              <w:rPr>
                <w:b w:val="0"/>
                <w:bCs w:val="0"/>
                <w:color w:val="auto"/>
                <w:sz w:val="24"/>
                <w:highlight w:val="none"/>
              </w:rPr>
            </w:pPr>
            <w:r>
              <w:rPr>
                <w:rFonts w:hint="eastAsia"/>
                <w:b w:val="0"/>
                <w:bCs w:val="0"/>
                <w:color w:val="auto"/>
                <w:sz w:val="24"/>
                <w:highlight w:val="none"/>
                <w:lang w:val="en-US" w:eastAsia="zh-CN"/>
              </w:rPr>
              <w:t>2）110kV双回路塔单侧挂线段</w:t>
            </w:r>
          </w:p>
          <w:p w14:paraId="62D19C38">
            <w:pPr>
              <w:spacing w:line="360" w:lineRule="auto"/>
              <w:ind w:firstLine="480" w:firstLineChars="200"/>
              <w:rPr>
                <w:color w:val="auto"/>
                <w:sz w:val="24"/>
                <w:highlight w:val="none"/>
              </w:rPr>
            </w:pPr>
            <w:r>
              <w:rPr>
                <w:color w:val="auto"/>
                <w:sz w:val="24"/>
                <w:highlight w:val="none"/>
              </w:rPr>
              <w:t>①选择类比对象</w:t>
            </w:r>
          </w:p>
          <w:p w14:paraId="2202B0AE">
            <w:pPr>
              <w:pStyle w:val="8"/>
              <w:spacing w:after="0" w:line="360" w:lineRule="auto"/>
              <w:ind w:left="0" w:leftChars="0"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线路涉及双回路塔单侧挂线架设段，本次</w:t>
            </w:r>
            <w:r>
              <w:rPr>
                <w:color w:val="auto"/>
                <w:sz w:val="24"/>
                <w:highlight w:val="none"/>
              </w:rPr>
              <w:t>选取同规模已运行线路进行类比</w:t>
            </w:r>
            <w:r>
              <w:rPr>
                <w:rFonts w:hint="eastAsia"/>
                <w:color w:val="auto"/>
                <w:sz w:val="24"/>
                <w:highlight w:val="none"/>
                <w:lang w:val="en-US" w:eastAsia="zh-CN"/>
              </w:rPr>
              <w:t>监测</w:t>
            </w:r>
            <w:r>
              <w:rPr>
                <w:color w:val="auto"/>
                <w:sz w:val="24"/>
                <w:highlight w:val="none"/>
              </w:rPr>
              <w:t>的方法来分析本项目</w:t>
            </w:r>
            <w:r>
              <w:rPr>
                <w:rFonts w:hint="eastAsia"/>
                <w:color w:val="auto"/>
                <w:sz w:val="24"/>
                <w:highlight w:val="none"/>
                <w:lang w:val="en-US" w:eastAsia="zh-CN"/>
              </w:rPr>
              <w:t>线路双回路塔单侧挂线段</w:t>
            </w:r>
            <w:r>
              <w:rPr>
                <w:color w:val="auto"/>
                <w:sz w:val="24"/>
                <w:highlight w:val="none"/>
              </w:rPr>
              <w:t>产生的噪声对周围环境的影响。类比监测线路选择已运行的</w:t>
            </w:r>
            <w:r>
              <w:rPr>
                <w:rFonts w:hint="default"/>
                <w:color w:val="auto"/>
                <w:sz w:val="24"/>
                <w:highlight w:val="none"/>
              </w:rPr>
              <w:t>110千伏汉白甲乙线6#-7#杆塔间</w:t>
            </w:r>
            <w:r>
              <w:rPr>
                <w:rFonts w:hint="eastAsia"/>
                <w:color w:val="auto"/>
                <w:sz w:val="24"/>
                <w:highlight w:val="none"/>
                <w:lang w:val="en-US" w:eastAsia="zh-CN"/>
              </w:rPr>
              <w:t>（线高11m）</w:t>
            </w:r>
            <w:r>
              <w:rPr>
                <w:rFonts w:hint="eastAsia" w:ascii="Times New Roman" w:hAnsi="Times New Roman" w:eastAsia="宋体" w:cs="Times New Roman"/>
                <w:color w:val="auto"/>
                <w:sz w:val="24"/>
                <w:highlight w:val="none"/>
                <w:lang w:val="en-US" w:eastAsia="zh-CN"/>
              </w:rPr>
              <w:t>同塔双回线路</w:t>
            </w:r>
            <w:r>
              <w:rPr>
                <w:color w:val="auto"/>
                <w:sz w:val="24"/>
                <w:highlight w:val="none"/>
              </w:rPr>
              <w:t>进行类比，监测结果引用《</w:t>
            </w:r>
            <w:r>
              <w:rPr>
                <w:rFonts w:hint="default"/>
                <w:color w:val="auto"/>
                <w:sz w:val="24"/>
                <w:highlight w:val="none"/>
              </w:rPr>
              <w:t>宁夏宁东江汉330 千伏变电站110千伏送出工程竣工环境保护验收调查报告表</w:t>
            </w:r>
            <w:r>
              <w:rPr>
                <w:color w:val="auto"/>
                <w:sz w:val="24"/>
                <w:highlight w:val="none"/>
              </w:rPr>
              <w:t>》中的监测数据</w:t>
            </w:r>
            <w:r>
              <w:rPr>
                <w:rFonts w:hint="eastAsia"/>
                <w:color w:val="auto"/>
                <w:sz w:val="24"/>
                <w:highlight w:val="none"/>
              </w:rPr>
              <w:t>，</w:t>
            </w:r>
            <w:r>
              <w:rPr>
                <w:rFonts w:hint="eastAsia"/>
                <w:color w:val="auto"/>
                <w:sz w:val="24"/>
                <w:highlight w:val="none"/>
                <w:lang w:val="en-US" w:eastAsia="zh-CN"/>
              </w:rPr>
              <w:t>具体</w:t>
            </w:r>
            <w:r>
              <w:rPr>
                <w:rFonts w:hint="eastAsia"/>
                <w:color w:val="auto"/>
                <w:sz w:val="24"/>
                <w:highlight w:val="none"/>
              </w:rPr>
              <w:t>详见附件</w:t>
            </w:r>
            <w:r>
              <w:rPr>
                <w:color w:val="auto"/>
                <w:sz w:val="24"/>
                <w:highlight w:val="none"/>
              </w:rPr>
              <w:t>。</w:t>
            </w:r>
          </w:p>
          <w:p w14:paraId="3329FD26">
            <w:pPr>
              <w:spacing w:line="360" w:lineRule="auto"/>
              <w:ind w:firstLine="480" w:firstLineChars="200"/>
              <w:rPr>
                <w:color w:val="auto"/>
                <w:sz w:val="24"/>
                <w:highlight w:val="none"/>
              </w:rPr>
            </w:pPr>
            <w:r>
              <w:rPr>
                <w:color w:val="auto"/>
                <w:sz w:val="24"/>
                <w:highlight w:val="none"/>
              </w:rPr>
              <w:t>线路产生的噪声主要与线路电压等级、导线架设方式、导线排列方式等因素有关，</w:t>
            </w:r>
            <w:r>
              <w:rPr>
                <w:rFonts w:hint="eastAsia" w:ascii="Times New Roman" w:hAnsi="Times New Roman" w:cs="Times New Roman"/>
                <w:color w:val="auto"/>
                <w:sz w:val="24"/>
                <w:highlight w:val="none"/>
                <w:lang w:val="en-US" w:eastAsia="zh-CN"/>
              </w:rPr>
              <w:t>类比条件分析详见表4-</w:t>
            </w:r>
            <w:r>
              <w:rPr>
                <w:rFonts w:hint="eastAsia" w:cs="Times New Roman"/>
                <w:color w:val="auto"/>
                <w:sz w:val="24"/>
                <w:highlight w:val="none"/>
                <w:lang w:val="en-US" w:eastAsia="zh-CN"/>
              </w:rPr>
              <w:t>12</w:t>
            </w:r>
            <w:r>
              <w:rPr>
                <w:color w:val="auto"/>
                <w:sz w:val="24"/>
                <w:highlight w:val="none"/>
              </w:rPr>
              <w:t>。</w:t>
            </w:r>
          </w:p>
          <w:p w14:paraId="02F7F216">
            <w:pPr>
              <w:spacing w:line="360" w:lineRule="auto"/>
              <w:jc w:val="center"/>
              <w:rPr>
                <w:rFonts w:hint="eastAsia" w:ascii="黑体" w:hAnsi="黑体" w:cs="宋体"/>
                <w:b/>
                <w:bCs/>
                <w:color w:val="auto"/>
                <w:sz w:val="24"/>
                <w:highlight w:val="none"/>
              </w:rPr>
            </w:pPr>
            <w:r>
              <w:rPr>
                <w:rFonts w:hint="eastAsia" w:ascii="Times New Roman" w:hAnsi="Times New Roman" w:eastAsia="黑体" w:cs="Times New Roman"/>
                <w:b/>
                <w:color w:val="auto"/>
                <w:sz w:val="24"/>
                <w:highlight w:val="none"/>
              </w:rPr>
              <w:t>表4-</w:t>
            </w:r>
            <w:r>
              <w:rPr>
                <w:rFonts w:hint="eastAsia" w:eastAsia="黑体" w:cs="Times New Roman"/>
                <w:b/>
                <w:color w:val="auto"/>
                <w:sz w:val="24"/>
                <w:highlight w:val="none"/>
                <w:lang w:val="en-US" w:eastAsia="zh-CN"/>
              </w:rPr>
              <w:t>12</w:t>
            </w:r>
            <w:r>
              <w:rPr>
                <w:rFonts w:hint="eastAsia" w:ascii="Times New Roman" w:hAnsi="Times New Roman" w:eastAsia="黑体" w:cs="Times New Roman"/>
                <w:b/>
                <w:color w:val="auto"/>
                <w:sz w:val="24"/>
                <w:highlight w:val="none"/>
                <w:lang w:val="en-US" w:eastAsia="zh-CN"/>
              </w:rPr>
              <w:t xml:space="preserve"> </w:t>
            </w:r>
            <w:r>
              <w:rPr>
                <w:rFonts w:hint="eastAsia" w:ascii="Times New Roman" w:hAnsi="Times New Roman" w:eastAsia="黑体" w:cs="Times New Roman"/>
                <w:b/>
                <w:color w:val="auto"/>
                <w:sz w:val="24"/>
                <w:highlight w:val="none"/>
              </w:rPr>
              <w:t xml:space="preserve"> 110kV</w:t>
            </w:r>
            <w:r>
              <w:rPr>
                <w:rFonts w:hint="eastAsia" w:ascii="Times New Roman" w:hAnsi="Times New Roman" w:eastAsia="黑体" w:cs="Times New Roman"/>
                <w:b/>
                <w:color w:val="auto"/>
                <w:sz w:val="24"/>
                <w:highlight w:val="none"/>
                <w:lang w:val="en-US" w:eastAsia="zh-CN"/>
              </w:rPr>
              <w:t>双回路塔单侧挂线</w:t>
            </w:r>
            <w:r>
              <w:rPr>
                <w:rFonts w:hint="eastAsia" w:ascii="Times New Roman" w:hAnsi="Times New Roman" w:eastAsia="黑体" w:cs="Times New Roman"/>
                <w:b/>
                <w:color w:val="auto"/>
                <w:sz w:val="24"/>
                <w:highlight w:val="none"/>
              </w:rPr>
              <w:t>架空线路类比情况一览表</w:t>
            </w:r>
          </w:p>
          <w:tbl>
            <w:tblPr>
              <w:tblStyle w:val="28"/>
              <w:tblW w:w="47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3428"/>
              <w:gridCol w:w="3071"/>
            </w:tblGrid>
            <w:tr w14:paraId="487B8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207DCEB4">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项目</w:t>
                  </w:r>
                </w:p>
              </w:tc>
              <w:tc>
                <w:tcPr>
                  <w:tcW w:w="3407" w:type="dxa"/>
                  <w:noWrap w:val="0"/>
                  <w:vAlign w:val="center"/>
                </w:tcPr>
                <w:p w14:paraId="2F0C409F">
                  <w:pPr>
                    <w:pStyle w:val="47"/>
                    <w:spacing w:line="240" w:lineRule="atLeast"/>
                    <w:ind w:firstLine="0" w:firstLineChars="0"/>
                    <w:jc w:val="center"/>
                    <w:textAlignment w:val="center"/>
                    <w:rPr>
                      <w:rFonts w:eastAsia="宋体"/>
                      <w:color w:val="auto"/>
                      <w:sz w:val="21"/>
                      <w:szCs w:val="21"/>
                      <w:highlight w:val="none"/>
                    </w:rPr>
                  </w:pPr>
                  <w:r>
                    <w:rPr>
                      <w:rFonts w:eastAsia="宋体"/>
                      <w:color w:val="auto"/>
                      <w:sz w:val="21"/>
                      <w:szCs w:val="21"/>
                      <w:highlight w:val="none"/>
                    </w:rPr>
                    <w:t>本项目</w:t>
                  </w:r>
                  <w:r>
                    <w:rPr>
                      <w:rFonts w:hint="eastAsia" w:eastAsia="宋体"/>
                      <w:color w:val="auto"/>
                      <w:sz w:val="21"/>
                      <w:szCs w:val="21"/>
                      <w:highlight w:val="none"/>
                      <w:lang w:val="en-US" w:eastAsia="zh-CN"/>
                    </w:rPr>
                    <w:t>双回路塔单侧挂线</w:t>
                  </w:r>
                  <w:r>
                    <w:rPr>
                      <w:rFonts w:eastAsia="宋体"/>
                      <w:color w:val="auto"/>
                      <w:sz w:val="21"/>
                      <w:szCs w:val="21"/>
                      <w:highlight w:val="none"/>
                    </w:rPr>
                    <w:t>架空线路</w:t>
                  </w:r>
                </w:p>
              </w:tc>
              <w:tc>
                <w:tcPr>
                  <w:tcW w:w="3052" w:type="dxa"/>
                  <w:shd w:val="clear" w:color="auto" w:fill="auto"/>
                  <w:noWrap w:val="0"/>
                  <w:vAlign w:val="center"/>
                </w:tcPr>
                <w:p w14:paraId="09E82B34">
                  <w:pPr>
                    <w:pStyle w:val="47"/>
                    <w:spacing w:line="240" w:lineRule="atLeast"/>
                    <w:ind w:firstLine="0" w:firstLineChars="0"/>
                    <w:jc w:val="center"/>
                    <w:textAlignment w:val="center"/>
                    <w:rPr>
                      <w:rFonts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110千伏汉白甲乙线6#-7#杆塔间类比线路</w:t>
                  </w:r>
                </w:p>
              </w:tc>
            </w:tr>
            <w:tr w14:paraId="5CFFC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56" w:type="dxa"/>
                  <w:noWrap w:val="0"/>
                  <w:vAlign w:val="center"/>
                </w:tcPr>
                <w:p w14:paraId="212AA31A">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所在位置</w:t>
                  </w:r>
                </w:p>
              </w:tc>
              <w:tc>
                <w:tcPr>
                  <w:tcW w:w="3407" w:type="dxa"/>
                  <w:noWrap w:val="0"/>
                  <w:vAlign w:val="center"/>
                </w:tcPr>
                <w:p w14:paraId="0F9B520C">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eastAsia="宋体"/>
                      <w:color w:val="auto"/>
                      <w:sz w:val="21"/>
                      <w:szCs w:val="21"/>
                      <w:highlight w:val="none"/>
                    </w:rPr>
                    <w:t>宁夏回族自治区</w:t>
                  </w:r>
                  <w:r>
                    <w:rPr>
                      <w:rFonts w:hint="eastAsia" w:eastAsia="宋体"/>
                      <w:color w:val="auto"/>
                      <w:sz w:val="21"/>
                      <w:szCs w:val="21"/>
                      <w:highlight w:val="none"/>
                      <w:lang w:val="en-US" w:eastAsia="zh-CN"/>
                    </w:rPr>
                    <w:t>固原市</w:t>
                  </w:r>
                </w:p>
              </w:tc>
              <w:tc>
                <w:tcPr>
                  <w:tcW w:w="3052" w:type="dxa"/>
                  <w:shd w:val="clear" w:color="auto" w:fill="auto"/>
                  <w:noWrap w:val="0"/>
                  <w:vAlign w:val="center"/>
                </w:tcPr>
                <w:p w14:paraId="656CF1F7">
                  <w:pPr>
                    <w:pStyle w:val="47"/>
                    <w:spacing w:line="240" w:lineRule="atLeast"/>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宁夏回族自治区灵武市</w:t>
                  </w:r>
                </w:p>
              </w:tc>
            </w:tr>
            <w:tr w14:paraId="4F4A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0AEAB40A">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电压等级</w:t>
                  </w:r>
                </w:p>
              </w:tc>
              <w:tc>
                <w:tcPr>
                  <w:tcW w:w="3407" w:type="dxa"/>
                  <w:noWrap w:val="0"/>
                  <w:vAlign w:val="center"/>
                </w:tcPr>
                <w:p w14:paraId="04450ADF">
                  <w:pPr>
                    <w:pStyle w:val="47"/>
                    <w:spacing w:line="240" w:lineRule="atLeast"/>
                    <w:ind w:firstLine="0" w:firstLineChars="0"/>
                    <w:jc w:val="center"/>
                    <w:textAlignment w:val="center"/>
                    <w:rPr>
                      <w:rFonts w:eastAsia="宋体"/>
                      <w:color w:val="auto"/>
                      <w:sz w:val="21"/>
                      <w:szCs w:val="21"/>
                      <w:highlight w:val="none"/>
                    </w:rPr>
                  </w:pPr>
                  <w:r>
                    <w:rPr>
                      <w:rFonts w:eastAsia="宋体"/>
                      <w:color w:val="auto"/>
                      <w:sz w:val="21"/>
                      <w:szCs w:val="21"/>
                      <w:highlight w:val="none"/>
                    </w:rPr>
                    <w:t>110kV</w:t>
                  </w:r>
                </w:p>
              </w:tc>
              <w:tc>
                <w:tcPr>
                  <w:tcW w:w="3052" w:type="dxa"/>
                  <w:shd w:val="clear" w:color="auto" w:fill="auto"/>
                  <w:noWrap w:val="0"/>
                  <w:vAlign w:val="center"/>
                </w:tcPr>
                <w:p w14:paraId="0AE0538E">
                  <w:pPr>
                    <w:pStyle w:val="47"/>
                    <w:spacing w:line="240" w:lineRule="atLeast"/>
                    <w:ind w:firstLine="0" w:firstLineChars="0"/>
                    <w:jc w:val="center"/>
                    <w:textAlignment w:val="center"/>
                    <w:rPr>
                      <w:rFonts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110kV</w:t>
                  </w:r>
                </w:p>
              </w:tc>
            </w:tr>
            <w:tr w14:paraId="68B91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01D3E1CA">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导线架设方式</w:t>
                  </w:r>
                </w:p>
              </w:tc>
              <w:tc>
                <w:tcPr>
                  <w:tcW w:w="3407" w:type="dxa"/>
                  <w:noWrap w:val="0"/>
                  <w:vAlign w:val="center"/>
                </w:tcPr>
                <w:p w14:paraId="6BA7035F">
                  <w:pPr>
                    <w:pStyle w:val="47"/>
                    <w:spacing w:line="240" w:lineRule="atLeast"/>
                    <w:ind w:firstLine="0" w:firstLineChars="0"/>
                    <w:jc w:val="center"/>
                    <w:textAlignment w:val="center"/>
                    <w:rPr>
                      <w:rFonts w:eastAsia="宋体"/>
                      <w:color w:val="auto"/>
                      <w:sz w:val="21"/>
                      <w:szCs w:val="21"/>
                      <w:highlight w:val="none"/>
                    </w:rPr>
                  </w:pPr>
                  <w:r>
                    <w:rPr>
                      <w:rFonts w:hint="default" w:eastAsia="宋体"/>
                      <w:color w:val="auto"/>
                      <w:sz w:val="21"/>
                      <w:szCs w:val="21"/>
                      <w:highlight w:val="none"/>
                      <w:lang w:val="en-US" w:eastAsia="zh-CN"/>
                    </w:rPr>
                    <w:t>同塔双回单侧挂线</w:t>
                  </w:r>
                </w:p>
              </w:tc>
              <w:tc>
                <w:tcPr>
                  <w:tcW w:w="3052" w:type="dxa"/>
                  <w:shd w:val="clear" w:color="auto" w:fill="auto"/>
                  <w:noWrap w:val="0"/>
                  <w:vAlign w:val="center"/>
                </w:tcPr>
                <w:p w14:paraId="57492772">
                  <w:pPr>
                    <w:pStyle w:val="47"/>
                    <w:spacing w:line="240" w:lineRule="atLeast"/>
                    <w:ind w:firstLine="0" w:firstLineChars="0"/>
                    <w:jc w:val="center"/>
                    <w:textAlignment w:val="center"/>
                    <w:rPr>
                      <w:rFonts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同塔双回路</w:t>
                  </w:r>
                </w:p>
              </w:tc>
            </w:tr>
            <w:tr w14:paraId="31B98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56" w:type="dxa"/>
                  <w:noWrap w:val="0"/>
                  <w:vAlign w:val="center"/>
                </w:tcPr>
                <w:p w14:paraId="72DCAC76">
                  <w:pPr>
                    <w:pStyle w:val="47"/>
                    <w:spacing w:line="240" w:lineRule="atLeast"/>
                    <w:ind w:firstLine="0" w:firstLineChars="0"/>
                    <w:jc w:val="center"/>
                    <w:textAlignment w:val="center"/>
                    <w:rPr>
                      <w:rFonts w:hint="eastAsia" w:eastAsia="宋体"/>
                      <w:b/>
                      <w:bCs/>
                      <w:color w:val="auto"/>
                      <w:sz w:val="21"/>
                      <w:szCs w:val="21"/>
                      <w:highlight w:val="none"/>
                    </w:rPr>
                  </w:pPr>
                  <w:r>
                    <w:rPr>
                      <w:rFonts w:hint="eastAsia" w:eastAsia="宋体"/>
                      <w:b/>
                      <w:bCs/>
                      <w:color w:val="auto"/>
                      <w:sz w:val="21"/>
                      <w:szCs w:val="21"/>
                      <w:highlight w:val="none"/>
                    </w:rPr>
                    <w:t>导线型号</w:t>
                  </w:r>
                </w:p>
              </w:tc>
              <w:tc>
                <w:tcPr>
                  <w:tcW w:w="3407" w:type="dxa"/>
                  <w:noWrap w:val="0"/>
                  <w:vAlign w:val="center"/>
                </w:tcPr>
                <w:p w14:paraId="399C5719">
                  <w:pPr>
                    <w:pStyle w:val="47"/>
                    <w:spacing w:line="240" w:lineRule="atLeast"/>
                    <w:ind w:firstLine="0" w:firstLineChars="0"/>
                    <w:jc w:val="center"/>
                    <w:textAlignment w:val="center"/>
                    <w:rPr>
                      <w:rFonts w:eastAsia="宋体"/>
                      <w:color w:val="auto"/>
                      <w:sz w:val="21"/>
                      <w:szCs w:val="21"/>
                      <w:highlight w:val="none"/>
                    </w:rPr>
                  </w:pPr>
                  <w:r>
                    <w:rPr>
                      <w:rFonts w:hint="default" w:eastAsia="宋体"/>
                      <w:color w:val="auto"/>
                      <w:sz w:val="21"/>
                      <w:szCs w:val="21"/>
                      <w:highlight w:val="none"/>
                      <w:lang w:val="en-US" w:eastAsia="zh-CN"/>
                    </w:rPr>
                    <w:t xml:space="preserve">JL3/G1A-300/40-24/7 </w:t>
                  </w:r>
                </w:p>
              </w:tc>
              <w:tc>
                <w:tcPr>
                  <w:tcW w:w="3052" w:type="dxa"/>
                  <w:shd w:val="clear" w:color="auto" w:fill="auto"/>
                  <w:noWrap w:val="0"/>
                  <w:vAlign w:val="center"/>
                </w:tcPr>
                <w:p w14:paraId="309E9C43">
                  <w:pPr>
                    <w:pStyle w:val="47"/>
                    <w:spacing w:line="240" w:lineRule="atLeast"/>
                    <w:ind w:firstLine="0" w:firstLineChars="0"/>
                    <w:jc w:val="center"/>
                    <w:textAlignment w:val="center"/>
                    <w:rPr>
                      <w:rFonts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JL/G1A-300/25</w:t>
                  </w:r>
                </w:p>
              </w:tc>
            </w:tr>
            <w:tr w14:paraId="2DEBB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56" w:type="dxa"/>
                  <w:noWrap w:val="0"/>
                  <w:vAlign w:val="center"/>
                </w:tcPr>
                <w:p w14:paraId="58CACE9D">
                  <w:pPr>
                    <w:pStyle w:val="47"/>
                    <w:spacing w:line="240" w:lineRule="atLeast"/>
                    <w:ind w:firstLine="0" w:firstLineChars="0"/>
                    <w:jc w:val="center"/>
                    <w:textAlignment w:val="center"/>
                    <w:rPr>
                      <w:rFonts w:hint="default" w:eastAsia="宋体"/>
                      <w:b/>
                      <w:bCs/>
                      <w:color w:val="auto"/>
                      <w:sz w:val="21"/>
                      <w:szCs w:val="21"/>
                      <w:highlight w:val="none"/>
                      <w:lang w:val="en-US" w:eastAsia="zh-CN"/>
                    </w:rPr>
                  </w:pPr>
                  <w:r>
                    <w:rPr>
                      <w:rFonts w:hint="eastAsia" w:eastAsia="宋体"/>
                      <w:b/>
                      <w:bCs/>
                      <w:color w:val="auto"/>
                      <w:sz w:val="21"/>
                      <w:szCs w:val="21"/>
                      <w:highlight w:val="none"/>
                      <w:lang w:val="en-US" w:eastAsia="zh-CN"/>
                    </w:rPr>
                    <w:t>分裂数</w:t>
                  </w:r>
                </w:p>
              </w:tc>
              <w:tc>
                <w:tcPr>
                  <w:tcW w:w="3407" w:type="dxa"/>
                  <w:noWrap w:val="0"/>
                  <w:vAlign w:val="center"/>
                </w:tcPr>
                <w:p w14:paraId="280120AB">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3052" w:type="dxa"/>
                  <w:shd w:val="clear" w:color="auto" w:fill="auto"/>
                  <w:noWrap w:val="0"/>
                  <w:vAlign w:val="center"/>
                </w:tcPr>
                <w:p w14:paraId="3B75C7F9">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w:t>
                  </w:r>
                </w:p>
              </w:tc>
            </w:tr>
            <w:tr w14:paraId="567EE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0F18797C">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导线排列方式</w:t>
                  </w:r>
                </w:p>
              </w:tc>
              <w:tc>
                <w:tcPr>
                  <w:tcW w:w="3407" w:type="dxa"/>
                  <w:noWrap w:val="0"/>
                  <w:vAlign w:val="center"/>
                </w:tcPr>
                <w:p w14:paraId="1A172556">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垂直排列</w:t>
                  </w:r>
                </w:p>
              </w:tc>
              <w:tc>
                <w:tcPr>
                  <w:tcW w:w="3052" w:type="dxa"/>
                  <w:shd w:val="clear" w:color="auto" w:fill="auto"/>
                  <w:noWrap w:val="0"/>
                  <w:vAlign w:val="center"/>
                </w:tcPr>
                <w:p w14:paraId="3A43219E">
                  <w:pPr>
                    <w:pStyle w:val="47"/>
                    <w:spacing w:line="240" w:lineRule="atLeas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垂直排列</w:t>
                  </w:r>
                </w:p>
              </w:tc>
            </w:tr>
            <w:tr w14:paraId="29A35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6614AF5D">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导线对地高度</w:t>
                  </w:r>
                </w:p>
              </w:tc>
              <w:tc>
                <w:tcPr>
                  <w:tcW w:w="3407" w:type="dxa"/>
                  <w:noWrap w:val="0"/>
                  <w:vAlign w:val="center"/>
                </w:tcPr>
                <w:p w14:paraId="6909C584">
                  <w:pPr>
                    <w:pStyle w:val="47"/>
                    <w:spacing w:line="240" w:lineRule="atLeast"/>
                    <w:ind w:firstLine="0" w:firstLineChars="0"/>
                    <w:jc w:val="center"/>
                    <w:textAlignment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实际导线架设最低高度约10m</w:t>
                  </w:r>
                </w:p>
              </w:tc>
              <w:tc>
                <w:tcPr>
                  <w:tcW w:w="3052" w:type="dxa"/>
                  <w:shd w:val="clear" w:color="auto" w:fill="auto"/>
                  <w:noWrap w:val="0"/>
                  <w:vAlign w:val="center"/>
                </w:tcPr>
                <w:p w14:paraId="56C58F65">
                  <w:pPr>
                    <w:pStyle w:val="47"/>
                    <w:spacing w:line="240" w:lineRule="atLeast"/>
                    <w:ind w:firstLine="0" w:firstLineChars="0"/>
                    <w:jc w:val="center"/>
                    <w:textAlignment w:val="center"/>
                    <w:rPr>
                      <w:rFonts w:ascii="Times New Roman" w:hAnsi="Times New Roman"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u w:val="none"/>
                    </w:rPr>
                    <w:t>11m</w:t>
                  </w:r>
                </w:p>
              </w:tc>
            </w:tr>
            <w:tr w14:paraId="5F578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6" w:type="dxa"/>
                  <w:noWrap w:val="0"/>
                  <w:vAlign w:val="center"/>
                </w:tcPr>
                <w:p w14:paraId="772ACD80">
                  <w:pPr>
                    <w:pStyle w:val="47"/>
                    <w:spacing w:line="240" w:lineRule="atLeast"/>
                    <w:ind w:firstLine="0" w:firstLineChars="0"/>
                    <w:jc w:val="center"/>
                    <w:textAlignment w:val="center"/>
                    <w:rPr>
                      <w:rFonts w:eastAsia="宋体"/>
                      <w:b/>
                      <w:bCs/>
                      <w:color w:val="auto"/>
                      <w:sz w:val="21"/>
                      <w:szCs w:val="21"/>
                      <w:highlight w:val="none"/>
                    </w:rPr>
                  </w:pPr>
                  <w:r>
                    <w:rPr>
                      <w:rFonts w:eastAsia="宋体"/>
                      <w:b/>
                      <w:bCs/>
                      <w:color w:val="auto"/>
                      <w:sz w:val="21"/>
                      <w:szCs w:val="21"/>
                      <w:highlight w:val="none"/>
                    </w:rPr>
                    <w:t>环境条件</w:t>
                  </w:r>
                </w:p>
              </w:tc>
              <w:tc>
                <w:tcPr>
                  <w:tcW w:w="6459" w:type="dxa"/>
                  <w:gridSpan w:val="2"/>
                  <w:noWrap w:val="0"/>
                  <w:vAlign w:val="center"/>
                </w:tcPr>
                <w:p w14:paraId="6F50D082">
                  <w:pPr>
                    <w:pStyle w:val="47"/>
                    <w:spacing w:line="240" w:lineRule="atLeast"/>
                    <w:ind w:firstLine="0" w:firstLineChars="0"/>
                    <w:jc w:val="center"/>
                    <w:textAlignment w:val="center"/>
                    <w:rPr>
                      <w:rFonts w:eastAsia="宋体"/>
                      <w:color w:val="auto"/>
                      <w:sz w:val="21"/>
                      <w:szCs w:val="21"/>
                      <w:highlight w:val="none"/>
                    </w:rPr>
                  </w:pPr>
                  <w:r>
                    <w:rPr>
                      <w:rFonts w:hint="eastAsia" w:eastAsia="宋体"/>
                      <w:color w:val="auto"/>
                      <w:sz w:val="21"/>
                      <w:szCs w:val="21"/>
                      <w:highlight w:val="none"/>
                      <w:lang w:val="en-US" w:eastAsia="zh-CN"/>
                    </w:rPr>
                    <w:t>地势均较为开阔，</w:t>
                  </w:r>
                  <w:r>
                    <w:rPr>
                      <w:rFonts w:hint="eastAsia" w:eastAsia="宋体" w:cs="Times New Roman"/>
                      <w:color w:val="auto"/>
                      <w:sz w:val="21"/>
                      <w:szCs w:val="21"/>
                      <w:highlight w:val="none"/>
                      <w:u w:val="none"/>
                      <w:lang w:val="en-US" w:eastAsia="zh-CN"/>
                    </w:rPr>
                    <w:t>无其他电磁设备干扰，</w:t>
                  </w:r>
                  <w:r>
                    <w:rPr>
                      <w:rFonts w:eastAsia="宋体"/>
                      <w:color w:val="auto"/>
                      <w:sz w:val="21"/>
                      <w:szCs w:val="21"/>
                      <w:highlight w:val="none"/>
                    </w:rPr>
                    <w:t>环境条件相似</w:t>
                  </w:r>
                </w:p>
              </w:tc>
            </w:tr>
          </w:tbl>
          <w:p w14:paraId="584983BB">
            <w:pPr>
              <w:spacing w:line="360" w:lineRule="auto"/>
              <w:ind w:firstLine="480" w:firstLineChars="200"/>
              <w:jc w:val="left"/>
              <w:rPr>
                <w:color w:val="auto"/>
                <w:sz w:val="24"/>
                <w:highlight w:val="none"/>
              </w:rPr>
            </w:pPr>
            <w:r>
              <w:rPr>
                <w:rFonts w:hint="eastAsia"/>
                <w:color w:val="auto"/>
                <w:sz w:val="24"/>
                <w:highlight w:val="none"/>
                <w:lang w:val="en-US" w:eastAsia="zh-CN"/>
              </w:rPr>
              <w:t>由上表可知</w:t>
            </w:r>
            <w:r>
              <w:rPr>
                <w:color w:val="auto"/>
                <w:sz w:val="24"/>
                <w:highlight w:val="none"/>
              </w:rPr>
              <w:t>，类比线路</w:t>
            </w:r>
            <w:r>
              <w:rPr>
                <w:rFonts w:hint="default"/>
                <w:color w:val="auto"/>
                <w:sz w:val="24"/>
                <w:highlight w:val="none"/>
              </w:rPr>
              <w:t>110千伏汉白甲乙线6#-7#杆塔间</w:t>
            </w:r>
            <w:r>
              <w:rPr>
                <w:rFonts w:hint="eastAsia"/>
                <w:color w:val="auto"/>
                <w:sz w:val="24"/>
                <w:highlight w:val="none"/>
                <w:lang w:val="en-US" w:eastAsia="zh-CN"/>
              </w:rPr>
              <w:t>同塔双回线路</w:t>
            </w:r>
            <w:r>
              <w:rPr>
                <w:color w:val="auto"/>
                <w:sz w:val="24"/>
                <w:highlight w:val="none"/>
              </w:rPr>
              <w:t>与本项目</w:t>
            </w:r>
            <w:r>
              <w:rPr>
                <w:rFonts w:hint="eastAsia"/>
                <w:color w:val="auto"/>
                <w:sz w:val="24"/>
                <w:highlight w:val="none"/>
                <w:lang w:val="en-US" w:eastAsia="zh-CN"/>
              </w:rPr>
              <w:t>双回路塔单侧挂线</w:t>
            </w:r>
            <w:r>
              <w:rPr>
                <w:color w:val="auto"/>
                <w:sz w:val="24"/>
                <w:highlight w:val="none"/>
              </w:rPr>
              <w:t>架空线路电压等级均为110kV，导线架设方式</w:t>
            </w:r>
            <w:r>
              <w:rPr>
                <w:rFonts w:hint="eastAsia" w:cs="Times New Roman"/>
                <w:color w:val="auto"/>
                <w:sz w:val="24"/>
                <w:highlight w:val="none"/>
                <w:u w:val="none"/>
                <w:lang w:val="en-US" w:eastAsia="zh-CN"/>
              </w:rPr>
              <w:t>类比线路为同塔双回路架设、本项目</w:t>
            </w:r>
            <w:r>
              <w:rPr>
                <w:rFonts w:hint="default" w:ascii="Times New Roman" w:hAnsi="Times New Roman" w:cs="Times New Roman"/>
                <w:color w:val="auto"/>
                <w:sz w:val="24"/>
                <w:highlight w:val="none"/>
                <w:u w:val="none"/>
              </w:rPr>
              <w:t>为</w:t>
            </w:r>
            <w:r>
              <w:rPr>
                <w:rFonts w:hint="eastAsia" w:cs="Times New Roman"/>
                <w:color w:val="auto"/>
                <w:sz w:val="24"/>
                <w:highlight w:val="none"/>
                <w:u w:val="none"/>
                <w:lang w:val="en-US" w:eastAsia="zh-CN"/>
              </w:rPr>
              <w:t>同塔双回单侧挂线</w:t>
            </w:r>
            <w:r>
              <w:rPr>
                <w:color w:val="auto"/>
                <w:sz w:val="24"/>
                <w:highlight w:val="none"/>
              </w:rPr>
              <w:t>架设，</w:t>
            </w:r>
            <w:r>
              <w:rPr>
                <w:rFonts w:hint="eastAsia"/>
                <w:color w:val="auto"/>
                <w:sz w:val="24"/>
                <w:highlight w:val="none"/>
              </w:rPr>
              <w:t>导线型号相似</w:t>
            </w:r>
            <w:r>
              <w:rPr>
                <w:rFonts w:hint="eastAsia"/>
                <w:color w:val="auto"/>
                <w:sz w:val="24"/>
                <w:highlight w:val="none"/>
                <w:lang w:val="en-US" w:eastAsia="zh-CN"/>
              </w:rPr>
              <w:t>，分裂数均为1</w:t>
            </w:r>
            <w:r>
              <w:rPr>
                <w:rFonts w:hint="eastAsia"/>
                <w:color w:val="auto"/>
                <w:sz w:val="24"/>
                <w:highlight w:val="none"/>
                <w:lang w:eastAsia="zh-CN"/>
              </w:rPr>
              <w:t>，</w:t>
            </w:r>
            <w:r>
              <w:rPr>
                <w:color w:val="auto"/>
                <w:sz w:val="24"/>
                <w:highlight w:val="none"/>
              </w:rPr>
              <w:t>导线排列方式均为</w:t>
            </w:r>
            <w:r>
              <w:rPr>
                <w:rFonts w:hint="eastAsia"/>
                <w:color w:val="auto"/>
                <w:sz w:val="24"/>
                <w:highlight w:val="none"/>
                <w:lang w:val="en-US" w:eastAsia="zh-CN"/>
              </w:rPr>
              <w:t>垂直</w:t>
            </w:r>
            <w:r>
              <w:rPr>
                <w:color w:val="auto"/>
                <w:sz w:val="24"/>
                <w:highlight w:val="none"/>
              </w:rPr>
              <w:t>排列</w:t>
            </w:r>
            <w:r>
              <w:rPr>
                <w:rFonts w:hint="eastAsia"/>
                <w:color w:val="auto"/>
                <w:sz w:val="24"/>
                <w:highlight w:val="none"/>
                <w:lang w:eastAsia="zh-CN"/>
              </w:rPr>
              <w:t>，</w:t>
            </w:r>
            <w:r>
              <w:rPr>
                <w:color w:val="auto"/>
                <w:sz w:val="24"/>
                <w:highlight w:val="none"/>
              </w:rPr>
              <w:t>且环境均较为空旷，</w:t>
            </w:r>
            <w:r>
              <w:rPr>
                <w:rFonts w:hint="default" w:ascii="Times New Roman" w:hAnsi="Times New Roman" w:cs="Times New Roman"/>
                <w:color w:val="auto"/>
                <w:sz w:val="24"/>
                <w:highlight w:val="none"/>
                <w:u w:val="none"/>
                <w:lang w:val="en-US" w:eastAsia="zh-CN"/>
              </w:rPr>
              <w:t>无其他电磁设备干扰，</w:t>
            </w:r>
            <w:r>
              <w:rPr>
                <w:color w:val="auto"/>
                <w:sz w:val="24"/>
                <w:highlight w:val="none"/>
              </w:rPr>
              <w:t>环境条件类似。</w:t>
            </w:r>
            <w:r>
              <w:rPr>
                <w:rFonts w:hint="eastAsia"/>
                <w:color w:val="auto"/>
                <w:sz w:val="24"/>
                <w:highlight w:val="none"/>
                <w:lang w:val="en-US" w:eastAsia="zh-CN"/>
              </w:rPr>
              <w:t>经与设计单位沟通，本项目输电线路在实际架设过程中，导线最低对地高度约10m，比类比线路高度低。</w:t>
            </w:r>
            <w:r>
              <w:rPr>
                <w:rFonts w:hint="default" w:ascii="Times New Roman" w:hAnsi="Times New Roman" w:eastAsia="宋体" w:cs="Times New Roman"/>
                <w:color w:val="auto"/>
                <w:kern w:val="0"/>
                <w:sz w:val="24"/>
                <w:szCs w:val="24"/>
                <w:highlight w:val="none"/>
                <w:lang w:val="en-US" w:eastAsia="zh-CN" w:bidi="ar"/>
              </w:rPr>
              <w:t>虽然本段线路评价采用的高度与类比线路有所不同，但其高度差异只影响其产生噪声的</w:t>
            </w:r>
            <w:r>
              <w:rPr>
                <w:rFonts w:hint="eastAsia" w:ascii="Times New Roman" w:hAnsi="Times New Roman" w:eastAsia="宋体" w:cs="Times New Roman"/>
                <w:color w:val="auto"/>
                <w:kern w:val="0"/>
                <w:sz w:val="24"/>
                <w:szCs w:val="24"/>
                <w:highlight w:val="none"/>
                <w:lang w:val="en-US" w:eastAsia="zh-CN" w:bidi="ar"/>
              </w:rPr>
              <w:t>最大值</w:t>
            </w:r>
            <w:r>
              <w:rPr>
                <w:rFonts w:hint="default" w:ascii="Times New Roman" w:hAnsi="Times New Roman" w:eastAsia="宋体" w:cs="Times New Roman"/>
                <w:color w:val="auto"/>
                <w:kern w:val="0"/>
                <w:sz w:val="24"/>
                <w:szCs w:val="24"/>
                <w:highlight w:val="none"/>
                <w:lang w:val="en-US" w:eastAsia="zh-CN" w:bidi="ar"/>
              </w:rPr>
              <w:t>，不影响其总体变化趋势；</w:t>
            </w:r>
            <w:r>
              <w:rPr>
                <w:rFonts w:hint="eastAsia" w:ascii="Times New Roman" w:hAnsi="Times New Roman" w:eastAsia="宋体" w:cs="Times New Roman"/>
                <w:color w:val="auto"/>
                <w:kern w:val="0"/>
                <w:sz w:val="24"/>
                <w:szCs w:val="24"/>
                <w:highlight w:val="none"/>
                <w:lang w:val="en-US" w:eastAsia="zh-CN" w:bidi="ar"/>
              </w:rPr>
              <w:t>本次噪声预测，采用</w:t>
            </w:r>
            <w:r>
              <w:rPr>
                <w:rFonts w:hint="default" w:ascii="Times New Roman" w:hAnsi="Times New Roman" w:cs="Times New Roman"/>
                <w:color w:val="auto"/>
                <w:sz w:val="24"/>
                <w:highlight w:val="none"/>
                <w:lang w:val="en-US" w:eastAsia="zh-CN"/>
              </w:rPr>
              <w:t>类比预测结合类比监测数据反推的方法进行预测其投运后产生的噪声影响</w:t>
            </w:r>
            <w:r>
              <w:rPr>
                <w:rFonts w:hint="eastAsia"/>
                <w:color w:val="auto"/>
                <w:sz w:val="24"/>
                <w:highlight w:val="none"/>
                <w:lang w:val="en-US" w:eastAsia="zh-CN"/>
              </w:rPr>
              <w:t>。</w:t>
            </w:r>
            <w:r>
              <w:rPr>
                <w:color w:val="auto"/>
                <w:sz w:val="24"/>
                <w:highlight w:val="none"/>
              </w:rPr>
              <w:t>因此，选用</w:t>
            </w:r>
            <w:r>
              <w:rPr>
                <w:rFonts w:hint="default"/>
                <w:color w:val="auto"/>
                <w:sz w:val="24"/>
                <w:highlight w:val="none"/>
              </w:rPr>
              <w:t>110千伏汉白甲乙线6#-7#杆塔间</w:t>
            </w:r>
            <w:r>
              <w:rPr>
                <w:rFonts w:hint="eastAsia"/>
                <w:color w:val="auto"/>
                <w:sz w:val="24"/>
                <w:highlight w:val="none"/>
                <w:lang w:val="en-US" w:eastAsia="zh-CN"/>
              </w:rPr>
              <w:t>同塔双回线路</w:t>
            </w:r>
            <w:r>
              <w:rPr>
                <w:color w:val="auto"/>
                <w:sz w:val="24"/>
                <w:highlight w:val="none"/>
              </w:rPr>
              <w:t>运行的噪声监测值能够较好反应本项目</w:t>
            </w:r>
            <w:r>
              <w:rPr>
                <w:rFonts w:hint="eastAsia"/>
                <w:color w:val="auto"/>
                <w:sz w:val="24"/>
                <w:highlight w:val="none"/>
                <w:lang w:val="en-US" w:eastAsia="zh-CN"/>
              </w:rPr>
              <w:t>双回路塔单侧挂线</w:t>
            </w:r>
            <w:r>
              <w:rPr>
                <w:color w:val="auto"/>
                <w:sz w:val="24"/>
                <w:highlight w:val="none"/>
              </w:rPr>
              <w:t>架空线路段运行后产生的噪声影响。</w:t>
            </w:r>
          </w:p>
          <w:p w14:paraId="47D188DB">
            <w:pPr>
              <w:spacing w:line="360" w:lineRule="auto"/>
              <w:ind w:firstLine="480" w:firstLineChars="200"/>
              <w:rPr>
                <w:color w:val="auto"/>
                <w:sz w:val="24"/>
                <w:highlight w:val="none"/>
              </w:rPr>
            </w:pPr>
            <w:r>
              <w:rPr>
                <w:color w:val="auto"/>
                <w:sz w:val="24"/>
                <w:highlight w:val="none"/>
              </w:rPr>
              <w:t>②类比监测单位</w:t>
            </w:r>
          </w:p>
          <w:p w14:paraId="49686ACF">
            <w:pPr>
              <w:spacing w:line="360" w:lineRule="auto"/>
              <w:ind w:firstLine="480" w:firstLineChars="200"/>
              <w:rPr>
                <w:color w:val="auto"/>
                <w:sz w:val="24"/>
                <w:highlight w:val="none"/>
              </w:rPr>
            </w:pPr>
            <w:r>
              <w:rPr>
                <w:rFonts w:hint="default" w:ascii="Times New Roman" w:hAnsi="Times New Roman" w:cs="Times New Roman"/>
                <w:color w:val="auto"/>
                <w:sz w:val="24"/>
                <w:highlight w:val="none"/>
                <w:u w:val="none"/>
              </w:rPr>
              <w:t>宁夏盛世蓝天环保技术有限公司</w:t>
            </w:r>
            <w:r>
              <w:rPr>
                <w:color w:val="auto"/>
                <w:sz w:val="24"/>
                <w:highlight w:val="none"/>
              </w:rPr>
              <w:t>。</w:t>
            </w:r>
          </w:p>
          <w:p w14:paraId="547B9472">
            <w:pPr>
              <w:spacing w:line="360" w:lineRule="auto"/>
              <w:ind w:firstLine="480" w:firstLineChars="200"/>
              <w:rPr>
                <w:color w:val="auto"/>
                <w:sz w:val="24"/>
                <w:highlight w:val="none"/>
              </w:rPr>
            </w:pPr>
            <w:r>
              <w:rPr>
                <w:color w:val="auto"/>
                <w:sz w:val="24"/>
                <w:highlight w:val="none"/>
              </w:rPr>
              <w:t>③类比监测项目</w:t>
            </w:r>
          </w:p>
          <w:p w14:paraId="0C0B529E">
            <w:pPr>
              <w:spacing w:line="360" w:lineRule="auto"/>
              <w:ind w:firstLine="480" w:firstLineChars="200"/>
              <w:rPr>
                <w:color w:val="auto"/>
                <w:sz w:val="24"/>
                <w:highlight w:val="none"/>
              </w:rPr>
            </w:pPr>
            <w:r>
              <w:rPr>
                <w:color w:val="auto"/>
                <w:sz w:val="24"/>
                <w:highlight w:val="none"/>
              </w:rPr>
              <w:t>噪声。</w:t>
            </w:r>
          </w:p>
          <w:p w14:paraId="0CB27851">
            <w:pPr>
              <w:spacing w:line="360" w:lineRule="auto"/>
              <w:ind w:firstLine="480" w:firstLineChars="200"/>
              <w:rPr>
                <w:color w:val="auto"/>
                <w:sz w:val="24"/>
                <w:highlight w:val="none"/>
              </w:rPr>
            </w:pPr>
            <w:r>
              <w:rPr>
                <w:color w:val="auto"/>
                <w:sz w:val="24"/>
                <w:highlight w:val="none"/>
              </w:rPr>
              <w:t>④类比监测方法</w:t>
            </w:r>
          </w:p>
          <w:p w14:paraId="3F0823BD">
            <w:pPr>
              <w:spacing w:line="360" w:lineRule="auto"/>
              <w:ind w:firstLine="480" w:firstLineChars="200"/>
              <w:rPr>
                <w:color w:val="auto"/>
                <w:sz w:val="24"/>
                <w:highlight w:val="none"/>
              </w:rPr>
            </w:pPr>
            <w:r>
              <w:rPr>
                <w:color w:val="auto"/>
                <w:sz w:val="24"/>
                <w:highlight w:val="none"/>
              </w:rPr>
              <w:t>按《工业企业厂界环境噪声排放标准》（GB12348-2008）进行监测。采用类比分析方法评价架空线路运行后产生的噪声对周围环境的影响。</w:t>
            </w:r>
          </w:p>
          <w:p w14:paraId="4066FE00">
            <w:pPr>
              <w:spacing w:line="360" w:lineRule="auto"/>
              <w:ind w:firstLine="480" w:firstLineChars="200"/>
              <w:rPr>
                <w:color w:val="auto"/>
                <w:sz w:val="24"/>
                <w:highlight w:val="none"/>
              </w:rPr>
            </w:pPr>
            <w:r>
              <w:rPr>
                <w:color w:val="auto"/>
                <w:sz w:val="24"/>
                <w:highlight w:val="none"/>
              </w:rPr>
              <w:t>⑤类比监测仪器</w:t>
            </w:r>
          </w:p>
          <w:p w14:paraId="0392882D">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噪声监测仪器：AWA5688多功能声级计/AWA6221A 声校准器；</w:t>
            </w:r>
          </w:p>
          <w:p w14:paraId="3E5C0427">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量程范围：30dB~105dB/94.0dB；</w:t>
            </w:r>
          </w:p>
          <w:p w14:paraId="68136D1B">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生产厂家：杭州爱华仪器有限公司；</w:t>
            </w:r>
          </w:p>
          <w:p w14:paraId="716894D5">
            <w:pPr>
              <w:spacing w:line="360" w:lineRule="auto"/>
              <w:ind w:firstLine="480" w:firstLineChars="200"/>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出厂编号：10329747/1007026；</w:t>
            </w:r>
          </w:p>
          <w:p w14:paraId="42909573">
            <w:pPr>
              <w:spacing w:line="360" w:lineRule="auto"/>
              <w:ind w:firstLine="480" w:firstLineChars="200"/>
              <w:rPr>
                <w:rFonts w:hint="default" w:eastAsia="宋体"/>
                <w:color w:val="auto"/>
                <w:sz w:val="24"/>
                <w:highlight w:val="none"/>
                <w:lang w:val="en-US" w:eastAsia="zh-CN"/>
              </w:rPr>
            </w:pPr>
            <w:r>
              <w:rPr>
                <w:rFonts w:hint="default" w:ascii="Times New Roman" w:hAnsi="Times New Roman" w:cs="Times New Roman"/>
                <w:color w:val="auto"/>
                <w:sz w:val="24"/>
                <w:highlight w:val="none"/>
                <w:u w:val="none"/>
              </w:rPr>
              <w:t>设备编号：LT-03/LT-03-1</w:t>
            </w:r>
            <w:r>
              <w:rPr>
                <w:rFonts w:hint="eastAsia"/>
                <w:color w:val="auto"/>
                <w:sz w:val="24"/>
                <w:highlight w:val="none"/>
                <w:lang w:val="en-US" w:eastAsia="zh-CN"/>
              </w:rPr>
              <w:t>。</w:t>
            </w:r>
          </w:p>
          <w:p w14:paraId="7807A112">
            <w:pPr>
              <w:spacing w:line="360" w:lineRule="auto"/>
              <w:ind w:firstLine="480" w:firstLineChars="200"/>
              <w:rPr>
                <w:color w:val="auto"/>
                <w:sz w:val="24"/>
                <w:highlight w:val="none"/>
              </w:rPr>
            </w:pPr>
            <w:r>
              <w:rPr>
                <w:color w:val="auto"/>
                <w:sz w:val="24"/>
                <w:highlight w:val="none"/>
              </w:rPr>
              <w:t>⑥类比监测条件</w:t>
            </w:r>
          </w:p>
          <w:p w14:paraId="6BC4F755">
            <w:pPr>
              <w:spacing w:line="360" w:lineRule="auto"/>
              <w:ind w:firstLine="480" w:firstLineChars="200"/>
              <w:rPr>
                <w:color w:val="auto"/>
                <w:sz w:val="24"/>
                <w:highlight w:val="none"/>
              </w:rPr>
            </w:pPr>
            <w:r>
              <w:rPr>
                <w:color w:val="auto"/>
                <w:sz w:val="24"/>
                <w:highlight w:val="none"/>
              </w:rPr>
              <w:t>类比监测时间：</w:t>
            </w:r>
            <w:r>
              <w:rPr>
                <w:rFonts w:hint="default" w:ascii="Times New Roman" w:hAnsi="Times New Roman" w:cs="Times New Roman"/>
                <w:color w:val="auto"/>
                <w:sz w:val="24"/>
                <w:highlight w:val="none"/>
                <w:u w:val="none"/>
              </w:rPr>
              <w:t>2023年10月11日</w:t>
            </w:r>
            <w:r>
              <w:rPr>
                <w:color w:val="auto"/>
                <w:sz w:val="24"/>
                <w:highlight w:val="none"/>
              </w:rPr>
              <w:t>。</w:t>
            </w:r>
          </w:p>
          <w:p w14:paraId="77D0AD4C">
            <w:pPr>
              <w:spacing w:line="360" w:lineRule="auto"/>
              <w:ind w:firstLine="480" w:firstLineChars="200"/>
              <w:rPr>
                <w:color w:val="auto"/>
                <w:kern w:val="0"/>
                <w:sz w:val="24"/>
                <w:highlight w:val="none"/>
              </w:rPr>
            </w:pPr>
            <w:r>
              <w:rPr>
                <w:rFonts w:hint="eastAsia" w:ascii="Times New Roman" w:hAnsi="Times New Roman" w:cs="Times New Roman"/>
                <w:color w:val="auto"/>
                <w:kern w:val="0"/>
                <w:sz w:val="24"/>
                <w:szCs w:val="24"/>
                <w:highlight w:val="none"/>
                <w:lang w:val="en-US" w:eastAsia="zh-CN"/>
              </w:rPr>
              <w:t>类比</w:t>
            </w:r>
            <w:r>
              <w:rPr>
                <w:rFonts w:hint="default" w:ascii="Times New Roman" w:hAnsi="Times New Roman" w:cs="Times New Roman"/>
                <w:color w:val="auto"/>
                <w:kern w:val="0"/>
                <w:sz w:val="24"/>
                <w:szCs w:val="24"/>
                <w:highlight w:val="none"/>
              </w:rPr>
              <w:t>监测环境条件：</w:t>
            </w:r>
            <w:r>
              <w:rPr>
                <w:rFonts w:hint="default" w:ascii="Times New Roman" w:hAnsi="Times New Roman" w:cs="Times New Roman"/>
                <w:color w:val="auto"/>
                <w:kern w:val="0"/>
                <w:sz w:val="24"/>
                <w:highlight w:val="none"/>
                <w:u w:val="none"/>
              </w:rPr>
              <w:t>昼间天气晴，</w:t>
            </w:r>
            <w:r>
              <w:rPr>
                <w:rFonts w:hint="default" w:ascii="Times New Roman" w:hAnsi="Times New Roman" w:cs="Times New Roman"/>
                <w:color w:val="auto"/>
                <w:sz w:val="24"/>
                <w:highlight w:val="none"/>
                <w:u w:val="none"/>
              </w:rPr>
              <w:t>温度21.5℃，湿度33.0%，0.6m/s，大气压857.3hPa</w:t>
            </w:r>
            <w:r>
              <w:rPr>
                <w:rFonts w:hint="eastAsia" w:cs="Times New Roman"/>
                <w:color w:val="auto"/>
                <w:kern w:val="0"/>
                <w:sz w:val="24"/>
                <w:highlight w:val="none"/>
                <w:u w:val="none"/>
                <w:lang w:eastAsia="zh-CN"/>
              </w:rPr>
              <w:t>；</w:t>
            </w:r>
            <w:r>
              <w:rPr>
                <w:rFonts w:hint="default" w:ascii="Times New Roman" w:hAnsi="Times New Roman" w:cs="Times New Roman"/>
                <w:color w:val="auto"/>
                <w:kern w:val="0"/>
                <w:sz w:val="24"/>
                <w:highlight w:val="none"/>
                <w:u w:val="none"/>
              </w:rPr>
              <w:t>夜间</w:t>
            </w:r>
            <w:r>
              <w:rPr>
                <w:rFonts w:hint="default" w:ascii="Times New Roman" w:hAnsi="Times New Roman" w:cs="Times New Roman"/>
                <w:color w:val="auto"/>
                <w:sz w:val="24"/>
                <w:highlight w:val="none"/>
                <w:u w:val="none"/>
              </w:rPr>
              <w:t>天气晴，温度12.4℃，湿度31.2%，静风，大气压855.0hPa</w:t>
            </w:r>
            <w:r>
              <w:rPr>
                <w:rFonts w:hint="default" w:ascii="Times New Roman" w:hAnsi="Times New Roman" w:cs="Times New Roman"/>
                <w:color w:val="auto"/>
                <w:kern w:val="0"/>
                <w:sz w:val="24"/>
                <w:szCs w:val="24"/>
                <w:highlight w:val="none"/>
                <w:lang w:val="en-US" w:eastAsia="zh-CN"/>
              </w:rPr>
              <w:t>。</w:t>
            </w:r>
          </w:p>
          <w:p w14:paraId="6ED867DA">
            <w:pPr>
              <w:spacing w:line="360" w:lineRule="auto"/>
              <w:ind w:firstLine="480" w:firstLineChars="200"/>
              <w:rPr>
                <w:color w:val="auto"/>
                <w:sz w:val="24"/>
                <w:highlight w:val="none"/>
              </w:rPr>
            </w:pPr>
            <w:r>
              <w:rPr>
                <w:color w:val="auto"/>
                <w:sz w:val="24"/>
                <w:highlight w:val="none"/>
              </w:rPr>
              <w:t>⑦类比监测点位</w:t>
            </w:r>
          </w:p>
          <w:p w14:paraId="691B920B">
            <w:pPr>
              <w:spacing w:line="360" w:lineRule="auto"/>
              <w:ind w:firstLine="465"/>
              <w:rPr>
                <w:color w:val="auto"/>
                <w:sz w:val="24"/>
                <w:highlight w:val="none"/>
              </w:rPr>
            </w:pPr>
            <w:r>
              <w:rPr>
                <w:rFonts w:hint="default" w:ascii="Times New Roman" w:hAnsi="Times New Roman" w:cs="Times New Roman"/>
                <w:color w:val="auto"/>
                <w:sz w:val="24"/>
                <w:highlight w:val="none"/>
                <w:u w:val="none"/>
              </w:rPr>
              <w:t>对类比线路以导线档距中央弧垂最低位置的横断面方向上，同塔双回输电线路以弧垂最低位置处档距对应两杆塔中央连线对地投影为起点，监测点均匀分布在边相导线两侧的横断面方向上。挂线方式以杆塔对称排列的输电线路，在杆塔一侧的横断面方向上布置监测点。测点间距5m，依次监测至评价范围边界处。</w:t>
            </w:r>
            <w:r>
              <w:rPr>
                <w:rFonts w:hint="default"/>
                <w:color w:val="auto"/>
                <w:sz w:val="24"/>
                <w:highlight w:val="none"/>
              </w:rPr>
              <w:t>110千伏汉白甲乙线6#-7#杆塔间</w:t>
            </w:r>
            <w:r>
              <w:rPr>
                <w:rFonts w:hint="default" w:ascii="Times New Roman" w:hAnsi="Times New Roman" w:cs="Times New Roman"/>
                <w:color w:val="auto"/>
                <w:sz w:val="24"/>
                <w:highlight w:val="none"/>
                <w:u w:val="none"/>
              </w:rPr>
              <w:t>同塔双回线路</w:t>
            </w:r>
            <w:r>
              <w:rPr>
                <w:color w:val="auto"/>
                <w:sz w:val="24"/>
                <w:highlight w:val="none"/>
              </w:rPr>
              <w:t>监测断面见图4-</w:t>
            </w:r>
            <w:r>
              <w:rPr>
                <w:rFonts w:hint="eastAsia"/>
                <w:color w:val="auto"/>
                <w:sz w:val="24"/>
                <w:highlight w:val="none"/>
                <w:lang w:val="en-US" w:eastAsia="zh-CN"/>
              </w:rPr>
              <w:t>3</w:t>
            </w:r>
            <w:r>
              <w:rPr>
                <w:color w:val="auto"/>
                <w:sz w:val="24"/>
                <w:highlight w:val="none"/>
              </w:rPr>
              <w:t>。</w:t>
            </w:r>
          </w:p>
          <w:p w14:paraId="61BE966C">
            <w:pPr>
              <w:spacing w:line="360" w:lineRule="auto"/>
              <w:jc w:val="center"/>
              <w:rPr>
                <w:color w:val="auto"/>
                <w:highlight w:val="none"/>
              </w:rPr>
            </w:pPr>
            <w:r>
              <w:rPr>
                <w:rFonts w:hint="default" w:ascii="Times New Roman" w:hAnsi="Times New Roman" w:cs="Times New Roman"/>
                <w:color w:val="auto"/>
                <w:highlight w:val="none"/>
                <w:u w:val="single"/>
              </w:rPr>
              <w:drawing>
                <wp:inline distT="0" distB="0" distL="114300" distR="114300">
                  <wp:extent cx="3512185" cy="2414905"/>
                  <wp:effectExtent l="12700" t="12700" r="18415" b="2984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3512185" cy="241490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2575D350">
            <w:pPr>
              <w:spacing w:line="240" w:lineRule="auto"/>
              <w:jc w:val="center"/>
              <w:rPr>
                <w:color w:val="auto"/>
                <w:sz w:val="24"/>
                <w:highlight w:val="none"/>
              </w:rPr>
            </w:pPr>
            <w:r>
              <w:rPr>
                <w:rFonts w:ascii="Times New Roman" w:hAnsi="Times New Roman" w:eastAsia="黑体" w:cs="Times New Roman"/>
                <w:b/>
                <w:bCs/>
                <w:color w:val="auto"/>
                <w:sz w:val="24"/>
                <w:highlight w:val="none"/>
              </w:rPr>
              <w:t>图4-</w:t>
            </w:r>
            <w:r>
              <w:rPr>
                <w:rFonts w:hint="eastAsia" w:ascii="Times New Roman" w:hAnsi="Times New Roman" w:eastAsia="黑体" w:cs="Times New Roman"/>
                <w:b/>
                <w:bCs/>
                <w:color w:val="auto"/>
                <w:sz w:val="24"/>
                <w:highlight w:val="none"/>
                <w:lang w:val="en-US" w:eastAsia="zh-CN"/>
              </w:rPr>
              <w:t>3</w:t>
            </w:r>
            <w:r>
              <w:rPr>
                <w:rFonts w:ascii="Times New Roman" w:hAnsi="Times New Roman" w:eastAsia="黑体" w:cs="Times New Roman"/>
                <w:b/>
                <w:bCs/>
                <w:color w:val="auto"/>
                <w:sz w:val="24"/>
                <w:highlight w:val="none"/>
              </w:rPr>
              <w:t xml:space="preserve">  类比线路监测断面</w:t>
            </w:r>
            <w:r>
              <w:rPr>
                <w:rFonts w:hint="eastAsia" w:ascii="Times New Roman" w:hAnsi="Times New Roman" w:eastAsia="黑体" w:cs="Times New Roman"/>
                <w:b/>
                <w:bCs/>
                <w:color w:val="auto"/>
                <w:sz w:val="24"/>
                <w:highlight w:val="none"/>
                <w:lang w:val="en-US" w:eastAsia="zh-CN"/>
              </w:rPr>
              <w:t>图</w:t>
            </w:r>
          </w:p>
          <w:p w14:paraId="6D03E35C">
            <w:pPr>
              <w:spacing w:line="360" w:lineRule="auto"/>
              <w:ind w:firstLine="470" w:firstLineChars="196"/>
              <w:rPr>
                <w:color w:val="auto"/>
                <w:sz w:val="24"/>
                <w:highlight w:val="none"/>
              </w:rPr>
            </w:pPr>
            <w:r>
              <w:rPr>
                <w:color w:val="auto"/>
                <w:sz w:val="24"/>
                <w:highlight w:val="none"/>
              </w:rPr>
              <w:t>⑧类比监测工况</w:t>
            </w:r>
          </w:p>
          <w:p w14:paraId="0A2D1B70">
            <w:pPr>
              <w:spacing w:line="360" w:lineRule="auto"/>
              <w:ind w:firstLine="480" w:firstLineChars="200"/>
              <w:rPr>
                <w:color w:val="auto"/>
                <w:sz w:val="24"/>
                <w:highlight w:val="none"/>
              </w:rPr>
            </w:pPr>
            <w:r>
              <w:rPr>
                <w:rFonts w:hint="default" w:ascii="Times New Roman" w:hAnsi="Times New Roman" w:cs="Times New Roman"/>
                <w:color w:val="auto"/>
                <w:sz w:val="24"/>
                <w:highlight w:val="none"/>
                <w:u w:val="none"/>
              </w:rPr>
              <w:t>110千伏汉白甲乙线</w:t>
            </w:r>
            <w:r>
              <w:rPr>
                <w:rFonts w:hint="default"/>
                <w:color w:val="auto"/>
                <w:sz w:val="24"/>
                <w:highlight w:val="none"/>
                <w:lang w:val="en-US" w:eastAsia="zh-CN"/>
              </w:rPr>
              <w:t>#</w:t>
            </w:r>
            <w:r>
              <w:rPr>
                <w:rFonts w:hint="eastAsia"/>
                <w:color w:val="auto"/>
                <w:sz w:val="24"/>
                <w:highlight w:val="none"/>
                <w:lang w:val="en-US" w:eastAsia="zh-CN"/>
              </w:rPr>
              <w:t>6</w:t>
            </w:r>
            <w:r>
              <w:rPr>
                <w:rFonts w:hint="default"/>
                <w:color w:val="auto"/>
                <w:sz w:val="24"/>
                <w:highlight w:val="none"/>
                <w:lang w:val="en-US" w:eastAsia="zh-CN"/>
              </w:rPr>
              <w:t>-#</w:t>
            </w:r>
            <w:r>
              <w:rPr>
                <w:rFonts w:hint="eastAsia"/>
                <w:color w:val="auto"/>
                <w:sz w:val="24"/>
                <w:highlight w:val="none"/>
                <w:lang w:val="en-US" w:eastAsia="zh-CN"/>
              </w:rPr>
              <w:t>7杆塔间同塔双回线路</w:t>
            </w:r>
            <w:r>
              <w:rPr>
                <w:color w:val="auto"/>
                <w:sz w:val="24"/>
                <w:highlight w:val="none"/>
              </w:rPr>
              <w:t>监测期间运行工况见表4-</w:t>
            </w:r>
            <w:r>
              <w:rPr>
                <w:rFonts w:hint="eastAsia"/>
                <w:color w:val="auto"/>
                <w:sz w:val="24"/>
                <w:highlight w:val="none"/>
                <w:lang w:val="en-US" w:eastAsia="zh-CN"/>
              </w:rPr>
              <w:t>13</w:t>
            </w:r>
            <w:r>
              <w:rPr>
                <w:color w:val="auto"/>
                <w:sz w:val="24"/>
                <w:highlight w:val="none"/>
              </w:rPr>
              <w:t>。</w:t>
            </w:r>
          </w:p>
          <w:p w14:paraId="54C793E1">
            <w:pPr>
              <w:spacing w:line="360" w:lineRule="auto"/>
              <w:jc w:val="center"/>
              <w:rPr>
                <w:rFonts w:eastAsia="黑体"/>
                <w:color w:val="auto"/>
                <w:sz w:val="24"/>
                <w:highlight w:val="none"/>
              </w:rPr>
            </w:pPr>
            <w:r>
              <w:rPr>
                <w:rFonts w:eastAsia="黑体"/>
                <w:b/>
                <w:bCs/>
                <w:color w:val="auto"/>
                <w:sz w:val="24"/>
                <w:highlight w:val="none"/>
              </w:rPr>
              <w:t>表4-</w:t>
            </w:r>
            <w:r>
              <w:rPr>
                <w:rFonts w:hint="eastAsia" w:eastAsia="黑体"/>
                <w:b/>
                <w:bCs/>
                <w:color w:val="auto"/>
                <w:sz w:val="24"/>
                <w:highlight w:val="none"/>
                <w:lang w:val="en-US" w:eastAsia="zh-CN"/>
              </w:rPr>
              <w:t>13</w:t>
            </w:r>
            <w:r>
              <w:rPr>
                <w:rFonts w:eastAsia="黑体"/>
                <w:b/>
                <w:bCs/>
                <w:color w:val="auto"/>
                <w:sz w:val="24"/>
                <w:highlight w:val="none"/>
              </w:rPr>
              <w:t xml:space="preserve">  类比线路监测期间运行工况一览表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668"/>
              <w:gridCol w:w="1582"/>
              <w:gridCol w:w="1545"/>
              <w:gridCol w:w="1582"/>
            </w:tblGrid>
            <w:tr w14:paraId="2D4F0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14" w:type="dxa"/>
                  <w:vAlign w:val="center"/>
                </w:tcPr>
                <w:p w14:paraId="03D859D6">
                  <w:pPr>
                    <w:adjustRightInd w:val="0"/>
                    <w:snapToGrid w:val="0"/>
                    <w:jc w:val="center"/>
                    <w:rPr>
                      <w:b/>
                      <w:bCs/>
                      <w:color w:val="auto"/>
                      <w:highlight w:val="none"/>
                    </w:rPr>
                  </w:pPr>
                  <w:r>
                    <w:rPr>
                      <w:b/>
                      <w:bCs/>
                      <w:color w:val="auto"/>
                      <w:highlight w:val="none"/>
                    </w:rPr>
                    <w:t>名称</w:t>
                  </w:r>
                </w:p>
              </w:tc>
              <w:tc>
                <w:tcPr>
                  <w:tcW w:w="1668" w:type="dxa"/>
                  <w:vAlign w:val="center"/>
                </w:tcPr>
                <w:p w14:paraId="0BE464B1">
                  <w:pPr>
                    <w:adjustRightInd w:val="0"/>
                    <w:snapToGrid w:val="0"/>
                    <w:jc w:val="center"/>
                    <w:rPr>
                      <w:b/>
                      <w:bCs/>
                      <w:color w:val="auto"/>
                      <w:highlight w:val="none"/>
                    </w:rPr>
                  </w:pPr>
                  <w:r>
                    <w:rPr>
                      <w:b/>
                      <w:bCs/>
                      <w:color w:val="auto"/>
                      <w:highlight w:val="none"/>
                    </w:rPr>
                    <w:t>电压</w:t>
                  </w:r>
                </w:p>
                <w:p w14:paraId="5C661920">
                  <w:pPr>
                    <w:adjustRightInd w:val="0"/>
                    <w:snapToGrid w:val="0"/>
                    <w:jc w:val="center"/>
                    <w:rPr>
                      <w:b/>
                      <w:bCs/>
                      <w:color w:val="auto"/>
                      <w:highlight w:val="none"/>
                    </w:rPr>
                  </w:pPr>
                  <w:r>
                    <w:rPr>
                      <w:b/>
                      <w:bCs/>
                      <w:color w:val="auto"/>
                      <w:highlight w:val="none"/>
                    </w:rPr>
                    <w:t>（kV）</w:t>
                  </w:r>
                </w:p>
              </w:tc>
              <w:tc>
                <w:tcPr>
                  <w:tcW w:w="1582" w:type="dxa"/>
                  <w:vAlign w:val="center"/>
                </w:tcPr>
                <w:p w14:paraId="6229A338">
                  <w:pPr>
                    <w:adjustRightInd w:val="0"/>
                    <w:snapToGrid w:val="0"/>
                    <w:jc w:val="center"/>
                    <w:rPr>
                      <w:b/>
                      <w:bCs/>
                      <w:color w:val="auto"/>
                      <w:highlight w:val="none"/>
                    </w:rPr>
                  </w:pPr>
                  <w:r>
                    <w:rPr>
                      <w:b/>
                      <w:bCs/>
                      <w:color w:val="auto"/>
                      <w:highlight w:val="none"/>
                    </w:rPr>
                    <w:t>电流</w:t>
                  </w:r>
                </w:p>
                <w:p w14:paraId="1991C92A">
                  <w:pPr>
                    <w:adjustRightInd w:val="0"/>
                    <w:snapToGrid w:val="0"/>
                    <w:jc w:val="center"/>
                    <w:rPr>
                      <w:b/>
                      <w:bCs/>
                      <w:color w:val="auto"/>
                      <w:highlight w:val="none"/>
                    </w:rPr>
                  </w:pPr>
                  <w:r>
                    <w:rPr>
                      <w:b/>
                      <w:bCs/>
                      <w:color w:val="auto"/>
                      <w:highlight w:val="none"/>
                    </w:rPr>
                    <w:t>（A）</w:t>
                  </w:r>
                </w:p>
              </w:tc>
              <w:tc>
                <w:tcPr>
                  <w:tcW w:w="1545" w:type="dxa"/>
                  <w:vAlign w:val="center"/>
                </w:tcPr>
                <w:p w14:paraId="1AC17DE8">
                  <w:pPr>
                    <w:adjustRightInd w:val="0"/>
                    <w:snapToGrid w:val="0"/>
                    <w:jc w:val="center"/>
                    <w:rPr>
                      <w:b/>
                      <w:bCs/>
                      <w:color w:val="auto"/>
                      <w:highlight w:val="none"/>
                    </w:rPr>
                  </w:pPr>
                  <w:r>
                    <w:rPr>
                      <w:b/>
                      <w:bCs/>
                      <w:color w:val="auto"/>
                      <w:highlight w:val="none"/>
                    </w:rPr>
                    <w:t>有功功率（MV）</w:t>
                  </w:r>
                </w:p>
              </w:tc>
              <w:tc>
                <w:tcPr>
                  <w:tcW w:w="1582" w:type="dxa"/>
                  <w:vAlign w:val="center"/>
                </w:tcPr>
                <w:p w14:paraId="0ECF14C6">
                  <w:pPr>
                    <w:adjustRightInd w:val="0"/>
                    <w:snapToGrid w:val="0"/>
                    <w:jc w:val="center"/>
                    <w:rPr>
                      <w:b/>
                      <w:bCs/>
                      <w:color w:val="auto"/>
                      <w:highlight w:val="none"/>
                    </w:rPr>
                  </w:pPr>
                  <w:r>
                    <w:rPr>
                      <w:b/>
                      <w:bCs/>
                      <w:color w:val="auto"/>
                      <w:highlight w:val="none"/>
                    </w:rPr>
                    <w:t>无功功率（MVar）</w:t>
                  </w:r>
                </w:p>
              </w:tc>
            </w:tr>
            <w:tr w14:paraId="1FEBF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14" w:type="dxa"/>
                  <w:shd w:val="clear" w:color="auto" w:fill="auto"/>
                  <w:vAlign w:val="center"/>
                </w:tcPr>
                <w:p w14:paraId="6AE28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110千伏汉白甲线</w:t>
                  </w:r>
                </w:p>
              </w:tc>
              <w:tc>
                <w:tcPr>
                  <w:tcW w:w="1668" w:type="dxa"/>
                  <w:shd w:val="clear" w:color="auto" w:fill="auto"/>
                  <w:vAlign w:val="center"/>
                </w:tcPr>
                <w:p w14:paraId="4A20E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82" w:type="dxa"/>
                  <w:shd w:val="clear" w:color="auto" w:fill="auto"/>
                  <w:vAlign w:val="center"/>
                </w:tcPr>
                <w:p w14:paraId="45B5F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45" w:type="dxa"/>
                  <w:shd w:val="clear" w:color="auto" w:fill="auto"/>
                  <w:vAlign w:val="center"/>
                </w:tcPr>
                <w:p w14:paraId="2CB600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82" w:type="dxa"/>
                  <w:shd w:val="clear" w:color="auto" w:fill="auto"/>
                  <w:vAlign w:val="center"/>
                </w:tcPr>
                <w:p w14:paraId="3AA6A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r>
            <w:tr w14:paraId="63102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914" w:type="dxa"/>
                  <w:shd w:val="clear" w:color="auto" w:fill="auto"/>
                  <w:vAlign w:val="center"/>
                </w:tcPr>
                <w:p w14:paraId="52A183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110千伏汉白乙线</w:t>
                  </w:r>
                </w:p>
              </w:tc>
              <w:tc>
                <w:tcPr>
                  <w:tcW w:w="1668" w:type="dxa"/>
                  <w:shd w:val="clear" w:color="auto" w:fill="auto"/>
                  <w:vAlign w:val="center"/>
                </w:tcPr>
                <w:p w14:paraId="6CAA5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82" w:type="dxa"/>
                  <w:shd w:val="clear" w:color="auto" w:fill="auto"/>
                  <w:vAlign w:val="center"/>
                </w:tcPr>
                <w:p w14:paraId="64EB98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45" w:type="dxa"/>
                  <w:shd w:val="clear" w:color="auto" w:fill="auto"/>
                  <w:vAlign w:val="center"/>
                </w:tcPr>
                <w:p w14:paraId="3B83A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c>
                <w:tcPr>
                  <w:tcW w:w="1582" w:type="dxa"/>
                  <w:shd w:val="clear" w:color="auto" w:fill="auto"/>
                  <w:vAlign w:val="center"/>
                </w:tcPr>
                <w:p w14:paraId="71B80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olor w:val="auto"/>
                      <w:sz w:val="21"/>
                      <w:szCs w:val="21"/>
                      <w:highlight w:val="none"/>
                      <w:lang w:val="en-US" w:eastAsia="zh-CN"/>
                    </w:rPr>
                    <w:t>******</w:t>
                  </w:r>
                </w:p>
              </w:tc>
            </w:tr>
          </w:tbl>
          <w:p w14:paraId="4DDC27D8">
            <w:pPr>
              <w:spacing w:line="360" w:lineRule="auto"/>
              <w:ind w:firstLine="480" w:firstLineChars="200"/>
              <w:rPr>
                <w:color w:val="auto"/>
                <w:sz w:val="24"/>
                <w:highlight w:val="none"/>
              </w:rPr>
            </w:pPr>
            <w:r>
              <w:rPr>
                <w:color w:val="auto"/>
                <w:sz w:val="24"/>
                <w:highlight w:val="none"/>
              </w:rPr>
              <w:t>⑨类比监测结果</w:t>
            </w:r>
          </w:p>
          <w:p w14:paraId="0F7A9F1A">
            <w:pPr>
              <w:spacing w:line="360" w:lineRule="auto"/>
              <w:ind w:firstLine="480" w:firstLineChars="200"/>
              <w:jc w:val="left"/>
              <w:rPr>
                <w:color w:val="auto"/>
                <w:highlight w:val="none"/>
              </w:rPr>
            </w:pPr>
            <w:r>
              <w:rPr>
                <w:rFonts w:hint="default" w:ascii="Times New Roman" w:hAnsi="Times New Roman" w:cs="Times New Roman"/>
                <w:color w:val="auto"/>
                <w:sz w:val="24"/>
                <w:highlight w:val="none"/>
                <w:u w:val="none"/>
              </w:rPr>
              <w:t>110千伏汉白甲乙线</w:t>
            </w:r>
            <w:r>
              <w:rPr>
                <w:rFonts w:hint="default"/>
                <w:color w:val="auto"/>
                <w:sz w:val="24"/>
                <w:highlight w:val="none"/>
                <w:lang w:val="en-US" w:eastAsia="zh-CN"/>
              </w:rPr>
              <w:t>#</w:t>
            </w:r>
            <w:r>
              <w:rPr>
                <w:rFonts w:hint="eastAsia"/>
                <w:color w:val="auto"/>
                <w:sz w:val="24"/>
                <w:highlight w:val="none"/>
                <w:lang w:val="en-US" w:eastAsia="zh-CN"/>
              </w:rPr>
              <w:t>6</w:t>
            </w:r>
            <w:r>
              <w:rPr>
                <w:rFonts w:hint="default"/>
                <w:color w:val="auto"/>
                <w:sz w:val="24"/>
                <w:highlight w:val="none"/>
                <w:lang w:val="en-US" w:eastAsia="zh-CN"/>
              </w:rPr>
              <w:t>-#</w:t>
            </w:r>
            <w:r>
              <w:rPr>
                <w:rFonts w:hint="eastAsia"/>
                <w:color w:val="auto"/>
                <w:sz w:val="24"/>
                <w:highlight w:val="none"/>
                <w:lang w:val="en-US" w:eastAsia="zh-CN"/>
              </w:rPr>
              <w:t>7杆塔间同塔双回线路</w:t>
            </w:r>
            <w:r>
              <w:rPr>
                <w:color w:val="auto"/>
                <w:sz w:val="24"/>
                <w:highlight w:val="none"/>
              </w:rPr>
              <w:t>运行产生的噪声源强见表4-</w:t>
            </w:r>
            <w:r>
              <w:rPr>
                <w:rFonts w:hint="eastAsia"/>
                <w:color w:val="auto"/>
                <w:sz w:val="24"/>
                <w:highlight w:val="none"/>
                <w:lang w:val="en-US" w:eastAsia="zh-CN"/>
              </w:rPr>
              <w:t>14</w:t>
            </w:r>
            <w:r>
              <w:rPr>
                <w:color w:val="auto"/>
                <w:sz w:val="24"/>
                <w:highlight w:val="none"/>
              </w:rPr>
              <w:t>。</w:t>
            </w:r>
          </w:p>
          <w:p w14:paraId="166495E6">
            <w:pPr>
              <w:spacing w:line="360" w:lineRule="auto"/>
              <w:jc w:val="center"/>
              <w:rPr>
                <w:rFonts w:ascii="Times New Roman" w:hAnsi="Times New Roman" w:eastAsia="黑体" w:cs="Times New Roman"/>
                <w:b/>
                <w:bCs/>
                <w:color w:val="auto"/>
                <w:sz w:val="24"/>
                <w:highlight w:val="none"/>
              </w:rPr>
            </w:pPr>
            <w:r>
              <w:rPr>
                <w:rFonts w:ascii="Times New Roman" w:hAnsi="Times New Roman" w:eastAsia="黑体" w:cs="Times New Roman"/>
                <w:b/>
                <w:bCs/>
                <w:color w:val="auto"/>
                <w:sz w:val="24"/>
                <w:highlight w:val="none"/>
              </w:rPr>
              <w:t>表4-</w:t>
            </w:r>
            <w:r>
              <w:rPr>
                <w:rFonts w:hint="eastAsia" w:ascii="Times New Roman" w:hAnsi="Times New Roman" w:eastAsia="黑体" w:cs="Times New Roman"/>
                <w:b/>
                <w:bCs/>
                <w:color w:val="auto"/>
                <w:sz w:val="24"/>
                <w:highlight w:val="none"/>
                <w:lang w:val="en-US" w:eastAsia="zh-CN"/>
              </w:rPr>
              <w:t>1</w:t>
            </w:r>
            <w:r>
              <w:rPr>
                <w:rFonts w:hint="eastAsia" w:eastAsia="黑体" w:cs="Times New Roman"/>
                <w:b/>
                <w:bCs/>
                <w:color w:val="auto"/>
                <w:sz w:val="24"/>
                <w:highlight w:val="none"/>
                <w:lang w:val="en-US" w:eastAsia="zh-CN"/>
              </w:rPr>
              <w:t>4</w:t>
            </w:r>
            <w:r>
              <w:rPr>
                <w:rFonts w:ascii="Times New Roman" w:hAnsi="Times New Roman" w:eastAsia="黑体" w:cs="Times New Roman"/>
                <w:b/>
                <w:bCs/>
                <w:color w:val="auto"/>
                <w:sz w:val="24"/>
                <w:highlight w:val="none"/>
              </w:rPr>
              <w:t xml:space="preserve">  类比线路</w:t>
            </w:r>
            <w:r>
              <w:rPr>
                <w:rFonts w:hint="eastAsia" w:ascii="Times New Roman" w:hAnsi="Times New Roman" w:eastAsia="黑体" w:cs="Times New Roman"/>
                <w:b/>
                <w:bCs/>
                <w:color w:val="auto"/>
                <w:sz w:val="24"/>
                <w:highlight w:val="none"/>
                <w:lang w:val="en-US" w:eastAsia="zh-CN"/>
              </w:rPr>
              <w:t>监测</w:t>
            </w:r>
            <w:r>
              <w:rPr>
                <w:rFonts w:ascii="Times New Roman" w:hAnsi="Times New Roman" w:eastAsia="黑体" w:cs="Times New Roman"/>
                <w:b/>
                <w:bCs/>
                <w:color w:val="auto"/>
                <w:sz w:val="24"/>
                <w:highlight w:val="none"/>
              </w:rPr>
              <w:t>断面</w:t>
            </w:r>
            <w:r>
              <w:rPr>
                <w:rFonts w:hint="eastAsia" w:ascii="Times New Roman" w:hAnsi="Times New Roman" w:eastAsia="黑体" w:cs="Times New Roman"/>
                <w:b/>
                <w:bCs/>
                <w:color w:val="auto"/>
                <w:sz w:val="24"/>
                <w:highlight w:val="none"/>
                <w:lang w:val="en-US" w:eastAsia="zh-CN"/>
              </w:rPr>
              <w:t>噪声</w:t>
            </w:r>
            <w:r>
              <w:rPr>
                <w:rFonts w:ascii="Times New Roman" w:hAnsi="Times New Roman" w:eastAsia="黑体" w:cs="Times New Roman"/>
                <w:b/>
                <w:bCs/>
                <w:color w:val="auto"/>
                <w:sz w:val="24"/>
                <w:highlight w:val="none"/>
              </w:rPr>
              <w:t>监测结果</w:t>
            </w:r>
          </w:p>
          <w:tbl>
            <w:tblPr>
              <w:tblStyle w:val="28"/>
              <w:tblW w:w="48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4113"/>
              <w:gridCol w:w="1137"/>
              <w:gridCol w:w="1191"/>
              <w:gridCol w:w="1113"/>
            </w:tblGrid>
            <w:tr w14:paraId="51F44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62DC05C3">
                  <w:pPr>
                    <w:keepLines/>
                    <w:jc w:val="center"/>
                    <w:rPr>
                      <w:rFonts w:hint="eastAsia" w:eastAsia="宋体"/>
                      <w:b/>
                      <w:color w:val="auto"/>
                      <w:szCs w:val="21"/>
                      <w:highlight w:val="none"/>
                      <w:lang w:eastAsia="zh-CN"/>
                    </w:rPr>
                  </w:pPr>
                  <w:r>
                    <w:rPr>
                      <w:rFonts w:hint="eastAsia"/>
                      <w:b/>
                      <w:color w:val="auto"/>
                      <w:szCs w:val="21"/>
                      <w:highlight w:val="none"/>
                      <w:lang w:val="en-US" w:eastAsia="zh-CN"/>
                    </w:rPr>
                    <w:t>序号</w:t>
                  </w:r>
                </w:p>
              </w:tc>
              <w:tc>
                <w:tcPr>
                  <w:tcW w:w="4113" w:type="dxa"/>
                  <w:tcBorders>
                    <w:tl2br w:val="nil"/>
                    <w:tr2bl w:val="nil"/>
                  </w:tcBorders>
                  <w:vAlign w:val="center"/>
                </w:tcPr>
                <w:p w14:paraId="786CD821">
                  <w:pPr>
                    <w:keepLines/>
                    <w:jc w:val="center"/>
                    <w:rPr>
                      <w:b/>
                      <w:color w:val="auto"/>
                      <w:szCs w:val="21"/>
                      <w:highlight w:val="none"/>
                    </w:rPr>
                  </w:pPr>
                  <w:r>
                    <w:rPr>
                      <w:b/>
                      <w:color w:val="auto"/>
                      <w:szCs w:val="21"/>
                      <w:highlight w:val="none"/>
                    </w:rPr>
                    <w:t>监测点位</w:t>
                  </w:r>
                </w:p>
              </w:tc>
              <w:tc>
                <w:tcPr>
                  <w:tcW w:w="1137" w:type="dxa"/>
                  <w:tcBorders>
                    <w:tl2br w:val="nil"/>
                    <w:tr2bl w:val="nil"/>
                  </w:tcBorders>
                  <w:vAlign w:val="center"/>
                </w:tcPr>
                <w:p w14:paraId="1AF3D4A7">
                  <w:pPr>
                    <w:keepLines/>
                    <w:jc w:val="center"/>
                    <w:rPr>
                      <w:b/>
                      <w:color w:val="auto"/>
                      <w:szCs w:val="21"/>
                      <w:highlight w:val="none"/>
                    </w:rPr>
                  </w:pPr>
                  <w:r>
                    <w:rPr>
                      <w:b/>
                      <w:color w:val="auto"/>
                      <w:szCs w:val="21"/>
                      <w:highlight w:val="none"/>
                    </w:rPr>
                    <w:t>测点高度（m）</w:t>
                  </w:r>
                </w:p>
              </w:tc>
              <w:tc>
                <w:tcPr>
                  <w:tcW w:w="1191" w:type="dxa"/>
                  <w:tcBorders>
                    <w:tl2br w:val="nil"/>
                    <w:tr2bl w:val="nil"/>
                  </w:tcBorders>
                  <w:vAlign w:val="center"/>
                </w:tcPr>
                <w:p w14:paraId="2606B435">
                  <w:pPr>
                    <w:keepLines/>
                    <w:jc w:val="center"/>
                    <w:rPr>
                      <w:b/>
                      <w:color w:val="auto"/>
                      <w:szCs w:val="21"/>
                      <w:highlight w:val="none"/>
                    </w:rPr>
                  </w:pPr>
                  <w:r>
                    <w:rPr>
                      <w:b/>
                      <w:color w:val="auto"/>
                      <w:szCs w:val="21"/>
                      <w:highlight w:val="none"/>
                    </w:rPr>
                    <w:t>昼间</w:t>
                  </w:r>
                </w:p>
                <w:p w14:paraId="052EDDD1">
                  <w:pPr>
                    <w:keepLines/>
                    <w:jc w:val="center"/>
                    <w:rPr>
                      <w:b/>
                      <w:color w:val="auto"/>
                      <w:szCs w:val="21"/>
                      <w:highlight w:val="none"/>
                    </w:rPr>
                  </w:pPr>
                  <w:r>
                    <w:rPr>
                      <w:b/>
                      <w:color w:val="auto"/>
                      <w:szCs w:val="21"/>
                      <w:highlight w:val="none"/>
                    </w:rPr>
                    <w:t>dB(A)</w:t>
                  </w:r>
                </w:p>
              </w:tc>
              <w:tc>
                <w:tcPr>
                  <w:tcW w:w="1113" w:type="dxa"/>
                  <w:tcBorders>
                    <w:tl2br w:val="nil"/>
                    <w:tr2bl w:val="nil"/>
                  </w:tcBorders>
                  <w:vAlign w:val="center"/>
                </w:tcPr>
                <w:p w14:paraId="3AB02B22">
                  <w:pPr>
                    <w:keepLines/>
                    <w:jc w:val="center"/>
                    <w:rPr>
                      <w:b/>
                      <w:color w:val="auto"/>
                      <w:szCs w:val="21"/>
                      <w:highlight w:val="none"/>
                    </w:rPr>
                  </w:pPr>
                  <w:r>
                    <w:rPr>
                      <w:b/>
                      <w:color w:val="auto"/>
                      <w:szCs w:val="21"/>
                      <w:highlight w:val="none"/>
                    </w:rPr>
                    <w:t>夜间</w:t>
                  </w:r>
                </w:p>
                <w:p w14:paraId="104DD4D9">
                  <w:pPr>
                    <w:keepLines/>
                    <w:jc w:val="center"/>
                    <w:rPr>
                      <w:b/>
                      <w:color w:val="auto"/>
                      <w:szCs w:val="21"/>
                      <w:highlight w:val="none"/>
                    </w:rPr>
                  </w:pPr>
                  <w:r>
                    <w:rPr>
                      <w:b/>
                      <w:color w:val="auto"/>
                      <w:szCs w:val="21"/>
                      <w:highlight w:val="none"/>
                    </w:rPr>
                    <w:t>dB(A)</w:t>
                  </w:r>
                </w:p>
              </w:tc>
            </w:tr>
            <w:tr w14:paraId="61C3C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631AB472">
                  <w:pPr>
                    <w:keepLines/>
                    <w:jc w:val="center"/>
                    <w:rPr>
                      <w:color w:val="auto"/>
                      <w:szCs w:val="21"/>
                      <w:highlight w:val="none"/>
                    </w:rPr>
                  </w:pPr>
                  <w:r>
                    <w:rPr>
                      <w:color w:val="auto"/>
                      <w:szCs w:val="21"/>
                      <w:highlight w:val="none"/>
                    </w:rPr>
                    <w:t>1</w:t>
                  </w:r>
                </w:p>
              </w:tc>
              <w:tc>
                <w:tcPr>
                  <w:tcW w:w="4113" w:type="dxa"/>
                  <w:tcBorders>
                    <w:tl2br w:val="nil"/>
                    <w:tr2bl w:val="nil"/>
                  </w:tcBorders>
                  <w:shd w:val="clear" w:color="auto" w:fill="auto"/>
                  <w:vAlign w:val="center"/>
                </w:tcPr>
                <w:p w14:paraId="48AED367">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弧垂最大位置处档距对应两杆塔中央连线对地投影点0m</w:t>
                  </w:r>
                </w:p>
              </w:tc>
              <w:tc>
                <w:tcPr>
                  <w:tcW w:w="1137" w:type="dxa"/>
                  <w:tcBorders>
                    <w:tl2br w:val="nil"/>
                    <w:tr2bl w:val="nil"/>
                  </w:tcBorders>
                  <w:shd w:val="clear" w:color="auto" w:fill="auto"/>
                  <w:vAlign w:val="center"/>
                </w:tcPr>
                <w:p w14:paraId="70F74D34">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303672A9">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42</w:t>
                  </w:r>
                </w:p>
              </w:tc>
              <w:tc>
                <w:tcPr>
                  <w:tcW w:w="1113" w:type="dxa"/>
                  <w:tcBorders>
                    <w:tl2br w:val="nil"/>
                    <w:tr2bl w:val="nil"/>
                  </w:tcBorders>
                  <w:shd w:val="clear" w:color="auto" w:fill="auto"/>
                  <w:vAlign w:val="center"/>
                </w:tcPr>
                <w:p w14:paraId="5947A184">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41</w:t>
                  </w:r>
                </w:p>
              </w:tc>
            </w:tr>
            <w:tr w14:paraId="1F9C7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748D34D9">
                  <w:pPr>
                    <w:keepLines/>
                    <w:jc w:val="center"/>
                    <w:rPr>
                      <w:color w:val="auto"/>
                      <w:szCs w:val="21"/>
                      <w:highlight w:val="none"/>
                    </w:rPr>
                  </w:pPr>
                  <w:r>
                    <w:rPr>
                      <w:color w:val="auto"/>
                      <w:szCs w:val="21"/>
                      <w:highlight w:val="none"/>
                    </w:rPr>
                    <w:t>2</w:t>
                  </w:r>
                </w:p>
              </w:tc>
              <w:tc>
                <w:tcPr>
                  <w:tcW w:w="4113" w:type="dxa"/>
                  <w:tcBorders>
                    <w:tl2br w:val="nil"/>
                    <w:tr2bl w:val="nil"/>
                  </w:tcBorders>
                  <w:shd w:val="clear" w:color="auto" w:fill="auto"/>
                  <w:vAlign w:val="center"/>
                </w:tcPr>
                <w:p w14:paraId="5DB4B9F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弧垂最大位置处档距对应两杆塔中央连线对地投影点西4m（110千伏汉白甲线边导线对地投影点0m）</w:t>
                  </w:r>
                </w:p>
              </w:tc>
              <w:tc>
                <w:tcPr>
                  <w:tcW w:w="1137" w:type="dxa"/>
                  <w:tcBorders>
                    <w:tl2br w:val="nil"/>
                    <w:tr2bl w:val="nil"/>
                  </w:tcBorders>
                  <w:shd w:val="clear" w:color="auto" w:fill="auto"/>
                  <w:vAlign w:val="center"/>
                </w:tcPr>
                <w:p w14:paraId="1605010F">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2953EED9">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42</w:t>
                  </w:r>
                </w:p>
              </w:tc>
              <w:tc>
                <w:tcPr>
                  <w:tcW w:w="1113" w:type="dxa"/>
                  <w:tcBorders>
                    <w:tl2br w:val="nil"/>
                    <w:tr2bl w:val="nil"/>
                  </w:tcBorders>
                  <w:shd w:val="clear" w:color="auto" w:fill="auto"/>
                  <w:vAlign w:val="center"/>
                </w:tcPr>
                <w:p w14:paraId="27E37006">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41</w:t>
                  </w:r>
                </w:p>
              </w:tc>
            </w:tr>
            <w:tr w14:paraId="18473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1EE163B7">
                  <w:pPr>
                    <w:keepLines/>
                    <w:jc w:val="center"/>
                    <w:rPr>
                      <w:color w:val="auto"/>
                      <w:szCs w:val="21"/>
                      <w:highlight w:val="none"/>
                    </w:rPr>
                  </w:pPr>
                  <w:r>
                    <w:rPr>
                      <w:color w:val="auto"/>
                      <w:szCs w:val="21"/>
                      <w:highlight w:val="none"/>
                    </w:rPr>
                    <w:t>3</w:t>
                  </w:r>
                </w:p>
              </w:tc>
              <w:tc>
                <w:tcPr>
                  <w:tcW w:w="4113" w:type="dxa"/>
                  <w:tcBorders>
                    <w:tl2br w:val="nil"/>
                    <w:tr2bl w:val="nil"/>
                  </w:tcBorders>
                  <w:shd w:val="clear" w:color="auto" w:fill="auto"/>
                  <w:vAlign w:val="center"/>
                </w:tcPr>
                <w:p w14:paraId="42E2CEAE">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边导线对地投影点西5m处</w:t>
                  </w:r>
                </w:p>
              </w:tc>
              <w:tc>
                <w:tcPr>
                  <w:tcW w:w="1137" w:type="dxa"/>
                  <w:tcBorders>
                    <w:tl2br w:val="nil"/>
                    <w:tr2bl w:val="nil"/>
                  </w:tcBorders>
                  <w:shd w:val="clear" w:color="auto" w:fill="auto"/>
                  <w:vAlign w:val="center"/>
                </w:tcPr>
                <w:p w14:paraId="4076B393">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719107AF">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42</w:t>
                  </w:r>
                </w:p>
              </w:tc>
              <w:tc>
                <w:tcPr>
                  <w:tcW w:w="1113" w:type="dxa"/>
                  <w:tcBorders>
                    <w:tl2br w:val="nil"/>
                    <w:tr2bl w:val="nil"/>
                  </w:tcBorders>
                  <w:shd w:val="clear" w:color="auto" w:fill="auto"/>
                  <w:vAlign w:val="center"/>
                </w:tcPr>
                <w:p w14:paraId="6377E44F">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41</w:t>
                  </w:r>
                </w:p>
              </w:tc>
            </w:tr>
            <w:tr w14:paraId="28E88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25354EFB">
                  <w:pPr>
                    <w:keepLines/>
                    <w:jc w:val="center"/>
                    <w:rPr>
                      <w:color w:val="auto"/>
                      <w:szCs w:val="21"/>
                      <w:highlight w:val="none"/>
                    </w:rPr>
                  </w:pPr>
                  <w:r>
                    <w:rPr>
                      <w:color w:val="auto"/>
                      <w:szCs w:val="21"/>
                      <w:highlight w:val="none"/>
                    </w:rPr>
                    <w:t>4</w:t>
                  </w:r>
                </w:p>
              </w:tc>
              <w:tc>
                <w:tcPr>
                  <w:tcW w:w="4113" w:type="dxa"/>
                  <w:tcBorders>
                    <w:tl2br w:val="nil"/>
                    <w:tr2bl w:val="nil"/>
                  </w:tcBorders>
                  <w:shd w:val="clear" w:color="auto" w:fill="auto"/>
                  <w:vAlign w:val="center"/>
                </w:tcPr>
                <w:p w14:paraId="0DA70F52">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边导线对地投影点西10m处</w:t>
                  </w:r>
                </w:p>
              </w:tc>
              <w:tc>
                <w:tcPr>
                  <w:tcW w:w="1137" w:type="dxa"/>
                  <w:tcBorders>
                    <w:tl2br w:val="nil"/>
                    <w:tr2bl w:val="nil"/>
                  </w:tcBorders>
                  <w:shd w:val="clear" w:color="auto" w:fill="auto"/>
                  <w:vAlign w:val="center"/>
                </w:tcPr>
                <w:p w14:paraId="3D80E1D6">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4CF94C02">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41</w:t>
                  </w:r>
                </w:p>
              </w:tc>
              <w:tc>
                <w:tcPr>
                  <w:tcW w:w="1113" w:type="dxa"/>
                  <w:tcBorders>
                    <w:tl2br w:val="nil"/>
                    <w:tr2bl w:val="nil"/>
                  </w:tcBorders>
                  <w:shd w:val="clear" w:color="auto" w:fill="auto"/>
                  <w:vAlign w:val="center"/>
                </w:tcPr>
                <w:p w14:paraId="3CC5633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40</w:t>
                  </w:r>
                </w:p>
              </w:tc>
            </w:tr>
            <w:tr w14:paraId="0DB7D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2E7A45E5">
                  <w:pPr>
                    <w:keepLines/>
                    <w:jc w:val="center"/>
                    <w:rPr>
                      <w:color w:val="auto"/>
                      <w:szCs w:val="21"/>
                      <w:highlight w:val="none"/>
                    </w:rPr>
                  </w:pPr>
                  <w:r>
                    <w:rPr>
                      <w:color w:val="auto"/>
                      <w:szCs w:val="21"/>
                      <w:highlight w:val="none"/>
                    </w:rPr>
                    <w:t>5</w:t>
                  </w:r>
                </w:p>
              </w:tc>
              <w:tc>
                <w:tcPr>
                  <w:tcW w:w="4113" w:type="dxa"/>
                  <w:tcBorders>
                    <w:tl2br w:val="nil"/>
                    <w:tr2bl w:val="nil"/>
                  </w:tcBorders>
                  <w:shd w:val="clear" w:color="auto" w:fill="auto"/>
                  <w:vAlign w:val="center"/>
                </w:tcPr>
                <w:p w14:paraId="702BA90E">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边导线对地投影点西15m处</w:t>
                  </w:r>
                </w:p>
              </w:tc>
              <w:tc>
                <w:tcPr>
                  <w:tcW w:w="1137" w:type="dxa"/>
                  <w:tcBorders>
                    <w:tl2br w:val="nil"/>
                    <w:tr2bl w:val="nil"/>
                  </w:tcBorders>
                  <w:shd w:val="clear" w:color="auto" w:fill="auto"/>
                  <w:vAlign w:val="center"/>
                </w:tcPr>
                <w:p w14:paraId="68FE98E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243F2B37">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41</w:t>
                  </w:r>
                </w:p>
              </w:tc>
              <w:tc>
                <w:tcPr>
                  <w:tcW w:w="1113" w:type="dxa"/>
                  <w:tcBorders>
                    <w:tl2br w:val="nil"/>
                    <w:tr2bl w:val="nil"/>
                  </w:tcBorders>
                  <w:shd w:val="clear" w:color="auto" w:fill="auto"/>
                  <w:vAlign w:val="center"/>
                </w:tcPr>
                <w:p w14:paraId="3C34877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39</w:t>
                  </w:r>
                </w:p>
              </w:tc>
            </w:tr>
            <w:tr w14:paraId="26BF6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25687446">
                  <w:pPr>
                    <w:keepLines/>
                    <w:jc w:val="center"/>
                    <w:rPr>
                      <w:color w:val="auto"/>
                      <w:szCs w:val="21"/>
                      <w:highlight w:val="none"/>
                    </w:rPr>
                  </w:pPr>
                  <w:r>
                    <w:rPr>
                      <w:color w:val="auto"/>
                      <w:szCs w:val="21"/>
                      <w:highlight w:val="none"/>
                    </w:rPr>
                    <w:t>6</w:t>
                  </w:r>
                </w:p>
              </w:tc>
              <w:tc>
                <w:tcPr>
                  <w:tcW w:w="4113" w:type="dxa"/>
                  <w:tcBorders>
                    <w:tl2br w:val="nil"/>
                    <w:tr2bl w:val="nil"/>
                  </w:tcBorders>
                  <w:shd w:val="clear" w:color="auto" w:fill="auto"/>
                  <w:vAlign w:val="center"/>
                </w:tcPr>
                <w:p w14:paraId="4A3FF93D">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边导线对地投影点西20m处</w:t>
                  </w:r>
                </w:p>
              </w:tc>
              <w:tc>
                <w:tcPr>
                  <w:tcW w:w="1137" w:type="dxa"/>
                  <w:tcBorders>
                    <w:tl2br w:val="nil"/>
                    <w:tr2bl w:val="nil"/>
                  </w:tcBorders>
                  <w:shd w:val="clear" w:color="auto" w:fill="auto"/>
                  <w:vAlign w:val="center"/>
                </w:tcPr>
                <w:p w14:paraId="74E6E251">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59DC904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40</w:t>
                  </w:r>
                </w:p>
              </w:tc>
              <w:tc>
                <w:tcPr>
                  <w:tcW w:w="1113" w:type="dxa"/>
                  <w:tcBorders>
                    <w:tl2br w:val="nil"/>
                    <w:tr2bl w:val="nil"/>
                  </w:tcBorders>
                  <w:shd w:val="clear" w:color="auto" w:fill="auto"/>
                  <w:vAlign w:val="center"/>
                </w:tcPr>
                <w:p w14:paraId="1A683343">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39</w:t>
                  </w:r>
                </w:p>
              </w:tc>
            </w:tr>
            <w:tr w14:paraId="2E071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2F7BDC6B">
                  <w:pPr>
                    <w:keepLines/>
                    <w:jc w:val="center"/>
                    <w:rPr>
                      <w:color w:val="auto"/>
                      <w:szCs w:val="21"/>
                      <w:highlight w:val="none"/>
                    </w:rPr>
                  </w:pPr>
                  <w:r>
                    <w:rPr>
                      <w:color w:val="auto"/>
                      <w:szCs w:val="21"/>
                      <w:highlight w:val="none"/>
                    </w:rPr>
                    <w:t>7</w:t>
                  </w:r>
                </w:p>
              </w:tc>
              <w:tc>
                <w:tcPr>
                  <w:tcW w:w="4113" w:type="dxa"/>
                  <w:tcBorders>
                    <w:tl2br w:val="nil"/>
                    <w:tr2bl w:val="nil"/>
                  </w:tcBorders>
                  <w:shd w:val="clear" w:color="auto" w:fill="auto"/>
                  <w:vAlign w:val="center"/>
                </w:tcPr>
                <w:p w14:paraId="71E3459D">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边导线对地投影点西25m处</w:t>
                  </w:r>
                </w:p>
              </w:tc>
              <w:tc>
                <w:tcPr>
                  <w:tcW w:w="1137" w:type="dxa"/>
                  <w:tcBorders>
                    <w:tl2br w:val="nil"/>
                    <w:tr2bl w:val="nil"/>
                  </w:tcBorders>
                  <w:shd w:val="clear" w:color="auto" w:fill="auto"/>
                  <w:vAlign w:val="center"/>
                </w:tcPr>
                <w:p w14:paraId="0B39AE62">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7FC543CF">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40</w:t>
                  </w:r>
                </w:p>
              </w:tc>
              <w:tc>
                <w:tcPr>
                  <w:tcW w:w="1113" w:type="dxa"/>
                  <w:tcBorders>
                    <w:tl2br w:val="nil"/>
                    <w:tr2bl w:val="nil"/>
                  </w:tcBorders>
                  <w:shd w:val="clear" w:color="auto" w:fill="auto"/>
                  <w:vAlign w:val="center"/>
                </w:tcPr>
                <w:p w14:paraId="01648708">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39</w:t>
                  </w:r>
                </w:p>
              </w:tc>
            </w:tr>
            <w:tr w14:paraId="2070C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56" w:type="dxa"/>
                  <w:tcBorders>
                    <w:tl2br w:val="nil"/>
                    <w:tr2bl w:val="nil"/>
                  </w:tcBorders>
                  <w:vAlign w:val="center"/>
                </w:tcPr>
                <w:p w14:paraId="7FF59328">
                  <w:pPr>
                    <w:keepLines/>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4113" w:type="dxa"/>
                  <w:tcBorders>
                    <w:tl2br w:val="nil"/>
                    <w:tr2bl w:val="nil"/>
                  </w:tcBorders>
                  <w:shd w:val="clear" w:color="auto" w:fill="auto"/>
                  <w:vAlign w:val="center"/>
                </w:tcPr>
                <w:p w14:paraId="756F2DCF">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边导线对地投影点西30m处</w:t>
                  </w:r>
                </w:p>
              </w:tc>
              <w:tc>
                <w:tcPr>
                  <w:tcW w:w="1137" w:type="dxa"/>
                  <w:tcBorders>
                    <w:tl2br w:val="nil"/>
                    <w:tr2bl w:val="nil"/>
                  </w:tcBorders>
                  <w:shd w:val="clear" w:color="auto" w:fill="auto"/>
                  <w:vAlign w:val="center"/>
                </w:tcPr>
                <w:p w14:paraId="6E005E0C">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1.5</w:t>
                  </w:r>
                </w:p>
              </w:tc>
              <w:tc>
                <w:tcPr>
                  <w:tcW w:w="1191" w:type="dxa"/>
                  <w:tcBorders>
                    <w:tl2br w:val="nil"/>
                    <w:tr2bl w:val="nil"/>
                  </w:tcBorders>
                  <w:shd w:val="clear" w:color="auto" w:fill="auto"/>
                  <w:vAlign w:val="center"/>
                </w:tcPr>
                <w:p w14:paraId="7AB729CC">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39</w:t>
                  </w:r>
                </w:p>
              </w:tc>
              <w:tc>
                <w:tcPr>
                  <w:tcW w:w="1113" w:type="dxa"/>
                  <w:tcBorders>
                    <w:tl2br w:val="nil"/>
                    <w:tr2bl w:val="nil"/>
                  </w:tcBorders>
                  <w:shd w:val="clear" w:color="auto" w:fill="auto"/>
                  <w:vAlign w:val="center"/>
                </w:tcPr>
                <w:p w14:paraId="76555F04">
                  <w:pPr>
                    <w:keepNext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sz w:val="21"/>
                      <w:szCs w:val="21"/>
                      <w:highlight w:val="none"/>
                      <w:u w:val="none"/>
                    </w:rPr>
                    <w:t>38</w:t>
                  </w:r>
                </w:p>
              </w:tc>
            </w:tr>
          </w:tbl>
          <w:p w14:paraId="34AE9145">
            <w:pPr>
              <w:adjustRightInd w:val="0"/>
              <w:snapToGrid w:val="0"/>
              <w:spacing w:line="360" w:lineRule="auto"/>
              <w:ind w:firstLine="480" w:firstLineChars="200"/>
              <w:rPr>
                <w:rFonts w:hint="default" w:ascii="Times New Roman" w:hAnsi="Times New Roman" w:cs="Times New Roman"/>
                <w:color w:val="auto"/>
                <w:kern w:val="1"/>
                <w:sz w:val="24"/>
                <w:highlight w:val="none"/>
                <w:lang w:val="en-US" w:eastAsia="zh-CN"/>
              </w:rPr>
            </w:pPr>
            <w:r>
              <w:rPr>
                <w:rFonts w:hint="eastAsia"/>
                <w:color w:val="auto"/>
                <w:sz w:val="24"/>
                <w:highlight w:val="none"/>
              </w:rPr>
              <w:t>由</w:t>
            </w:r>
            <w:r>
              <w:rPr>
                <w:rFonts w:hint="eastAsia"/>
                <w:color w:val="auto"/>
                <w:sz w:val="24"/>
                <w:highlight w:val="none"/>
                <w:lang w:val="en-US" w:eastAsia="zh-CN"/>
              </w:rPr>
              <w:t>上</w:t>
            </w:r>
            <w:r>
              <w:rPr>
                <w:rFonts w:hint="eastAsia"/>
                <w:color w:val="auto"/>
                <w:sz w:val="24"/>
                <w:highlight w:val="none"/>
              </w:rPr>
              <w:t>表可以看出，110千伏汉白甲乙线6#-7#杆塔间</w:t>
            </w:r>
            <w:r>
              <w:rPr>
                <w:rFonts w:hint="eastAsia"/>
                <w:color w:val="auto"/>
                <w:sz w:val="24"/>
                <w:highlight w:val="none"/>
                <w:lang w:val="en-US" w:eastAsia="zh-CN"/>
              </w:rPr>
              <w:t>同塔</w:t>
            </w:r>
            <w:r>
              <w:rPr>
                <w:rFonts w:hint="eastAsia"/>
                <w:color w:val="auto"/>
                <w:sz w:val="24"/>
                <w:highlight w:val="none"/>
              </w:rPr>
              <w:t>双回</w:t>
            </w:r>
            <w:r>
              <w:rPr>
                <w:rFonts w:hint="eastAsia"/>
                <w:color w:val="auto"/>
                <w:sz w:val="24"/>
                <w:highlight w:val="none"/>
                <w:lang w:val="en-US" w:eastAsia="zh-CN"/>
              </w:rPr>
              <w:t>线路</w:t>
            </w:r>
            <w:r>
              <w:rPr>
                <w:rFonts w:hint="eastAsia"/>
                <w:color w:val="auto"/>
                <w:sz w:val="24"/>
                <w:highlight w:val="none"/>
              </w:rPr>
              <w:t>监测断面上</w:t>
            </w:r>
            <w:r>
              <w:rPr>
                <w:rFonts w:hint="eastAsia"/>
                <w:color w:val="auto"/>
                <w:sz w:val="24"/>
                <w:highlight w:val="none"/>
                <w:lang w:val="en-US" w:eastAsia="zh-CN"/>
              </w:rPr>
              <w:t>环境</w:t>
            </w:r>
            <w:r>
              <w:rPr>
                <w:rFonts w:hint="eastAsia"/>
                <w:color w:val="auto"/>
                <w:sz w:val="24"/>
                <w:highlight w:val="none"/>
              </w:rPr>
              <w:t>噪声昼间为</w:t>
            </w:r>
            <w:r>
              <w:rPr>
                <w:rFonts w:hint="eastAsia"/>
                <w:color w:val="auto"/>
                <w:sz w:val="24"/>
                <w:highlight w:val="none"/>
                <w:lang w:eastAsia="zh-CN"/>
              </w:rPr>
              <w:t>（</w:t>
            </w:r>
            <w:r>
              <w:rPr>
                <w:rFonts w:hint="eastAsia"/>
                <w:color w:val="auto"/>
                <w:sz w:val="24"/>
                <w:highlight w:val="none"/>
              </w:rPr>
              <w:t>39~4</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dB(A)</w:t>
            </w:r>
            <w:r>
              <w:rPr>
                <w:rFonts w:hint="eastAsia"/>
                <w:color w:val="auto"/>
                <w:sz w:val="24"/>
                <w:highlight w:val="none"/>
                <w:lang w:eastAsia="zh-CN"/>
              </w:rPr>
              <w:t>、</w:t>
            </w:r>
            <w:r>
              <w:rPr>
                <w:rFonts w:hint="eastAsia"/>
                <w:color w:val="auto"/>
                <w:sz w:val="24"/>
                <w:highlight w:val="none"/>
              </w:rPr>
              <w:t>夜间为</w:t>
            </w:r>
            <w:r>
              <w:rPr>
                <w:rFonts w:hint="eastAsia"/>
                <w:color w:val="auto"/>
                <w:sz w:val="24"/>
                <w:highlight w:val="none"/>
                <w:lang w:eastAsia="zh-CN"/>
              </w:rPr>
              <w:t>（</w:t>
            </w:r>
            <w:r>
              <w:rPr>
                <w:rFonts w:hint="eastAsia"/>
                <w:color w:val="auto"/>
                <w:sz w:val="24"/>
                <w:highlight w:val="none"/>
              </w:rPr>
              <w:t>38~4</w:t>
            </w:r>
            <w:r>
              <w:rPr>
                <w:rFonts w:hint="eastAsia"/>
                <w:color w:val="auto"/>
                <w:sz w:val="24"/>
                <w:highlight w:val="none"/>
                <w:lang w:val="en-US" w:eastAsia="zh-CN"/>
              </w:rPr>
              <w:t>1</w:t>
            </w:r>
            <w:r>
              <w:rPr>
                <w:rFonts w:hint="eastAsia"/>
                <w:color w:val="auto"/>
                <w:sz w:val="24"/>
                <w:highlight w:val="none"/>
                <w:lang w:eastAsia="zh-CN"/>
              </w:rPr>
              <w:t>）</w:t>
            </w:r>
            <w:r>
              <w:rPr>
                <w:rFonts w:hint="eastAsia"/>
                <w:color w:val="auto"/>
                <w:sz w:val="24"/>
                <w:highlight w:val="none"/>
              </w:rPr>
              <w:t>dB(A)</w:t>
            </w:r>
            <w:r>
              <w:rPr>
                <w:rFonts w:hint="default" w:ascii="Times New Roman" w:hAnsi="Times New Roman" w:cs="Times New Roman"/>
                <w:color w:val="auto"/>
                <w:kern w:val="1"/>
                <w:sz w:val="24"/>
                <w:highlight w:val="none"/>
                <w:lang w:val="en-US" w:eastAsia="zh-CN"/>
              </w:rPr>
              <w:t>。</w:t>
            </w:r>
          </w:p>
          <w:p w14:paraId="63952E26">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⑩噪声预测分析</w:t>
            </w:r>
          </w:p>
          <w:p w14:paraId="5495BB22">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无限长线声源的几何发散衰减</w:t>
            </w:r>
            <w:r>
              <w:rPr>
                <w:rFonts w:hint="default" w:ascii="Times New Roman" w:hAnsi="Times New Roman" w:cs="Times New Roman"/>
                <w:color w:val="auto"/>
                <w:sz w:val="24"/>
                <w:highlight w:val="none"/>
                <w:lang w:val="en-US" w:eastAsia="zh-CN"/>
              </w:rPr>
              <w:t>计算</w:t>
            </w:r>
            <w:r>
              <w:rPr>
                <w:rFonts w:hint="default" w:ascii="Times New Roman" w:hAnsi="Times New Roman" w:cs="Times New Roman"/>
                <w:color w:val="auto"/>
                <w:sz w:val="24"/>
                <w:highlight w:val="none"/>
              </w:rPr>
              <w:t>公式</w:t>
            </w:r>
            <w:r>
              <w:rPr>
                <w:rFonts w:hint="eastAsia" w:cs="Times New Roman"/>
                <w:color w:val="auto"/>
                <w:sz w:val="24"/>
                <w:highlight w:val="none"/>
                <w:lang w:val="en-US" w:eastAsia="zh-CN"/>
              </w:rPr>
              <w:t>如下：</w:t>
            </w:r>
          </w:p>
          <w:p w14:paraId="07ECAECF">
            <w:pPr>
              <w:adjustRightInd w:val="0"/>
              <w:snapToGrid w:val="0"/>
              <w:spacing w:line="240" w:lineRule="auto"/>
              <w:jc w:val="center"/>
              <w:rPr>
                <w:rFonts w:hint="default" w:ascii="Times New Roman" w:hAnsi="Times New Roman" w:cs="Times New Roman"/>
                <w:color w:val="auto"/>
                <w:position w:val="-30"/>
                <w:sz w:val="24"/>
                <w:highlight w:val="none"/>
                <w:lang w:eastAsia="zh-CN"/>
              </w:rPr>
            </w:pPr>
            <w:r>
              <w:rPr>
                <w:rFonts w:hint="default" w:ascii="Times New Roman" w:hAnsi="Times New Roman" w:cs="Times New Roman"/>
                <w:color w:val="auto"/>
                <w:position w:val="-30"/>
                <w:sz w:val="24"/>
                <w:highlight w:val="none"/>
              </w:rPr>
              <w:object>
                <v:shape id="_x0000_i1027" o:spt="75" type="#_x0000_t75" style="height:34.05pt;width:127pt;" o:ole="t" filled="f" o:preferrelative="t" stroked="f" coordsize="21600,21600">
                  <v:path/>
                  <v:fill on="f" focussize="0,0"/>
                  <v:stroke on="f"/>
                  <v:imagedata r:id="rId13" o:title=""/>
                  <o:lock v:ext="edit" aspectratio="t"/>
                  <w10:wrap type="none"/>
                  <w10:anchorlock/>
                </v:shape>
                <o:OLEObject Type="Embed" ProgID="Equation.3" ShapeID="_x0000_i1027" DrawAspect="Content" ObjectID="_1468075727" r:id="rId15">
                  <o:LockedField>false</o:LockedField>
                </o:OLEObject>
              </w:object>
            </w:r>
          </w:p>
          <w:p w14:paraId="4704B27A">
            <w:pPr>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w:t>
            </w:r>
            <w:r>
              <w:rPr>
                <w:rFonts w:hint="default" w:ascii="Times New Roman" w:hAnsi="Times New Roman" w:cs="Times New Roman"/>
                <w:color w:val="auto"/>
                <w:sz w:val="24"/>
                <w:szCs w:val="24"/>
                <w:highlight w:val="none"/>
                <w:lang w:val="en-US" w:eastAsia="zh-CN"/>
              </w:rPr>
              <w:t>以环境影响最不利原则，选取类比线路现状监测最大值（未扣除区域背景值）作为</w:t>
            </w:r>
            <w:r>
              <w:rPr>
                <w:rFonts w:hint="default" w:ascii="Times New Roman" w:hAnsi="Times New Roman" w:cs="Times New Roman"/>
                <w:color w:val="auto"/>
                <w:sz w:val="24"/>
                <w:szCs w:val="24"/>
                <w:highlight w:val="none"/>
              </w:rPr>
              <w:t>贡献值</w:t>
            </w:r>
            <w:r>
              <w:rPr>
                <w:rFonts w:hint="default" w:ascii="Times New Roman" w:hAnsi="Times New Roman" w:cs="Times New Roman"/>
                <w:color w:val="auto"/>
                <w:sz w:val="24"/>
                <w:szCs w:val="24"/>
                <w:highlight w:val="none"/>
                <w:lang w:val="en-US" w:eastAsia="zh-CN"/>
              </w:rPr>
              <w:t>进行</w:t>
            </w:r>
            <w:r>
              <w:rPr>
                <w:rFonts w:hint="default" w:ascii="Times New Roman" w:hAnsi="Times New Roman" w:cs="Times New Roman"/>
                <w:color w:val="auto"/>
                <w:sz w:val="24"/>
                <w:szCs w:val="24"/>
                <w:highlight w:val="none"/>
              </w:rPr>
              <w:t>评价，即Lp(r)为</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dB(A)，参数r为</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m，r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9.5</w:t>
            </w:r>
            <w:r>
              <w:rPr>
                <w:rFonts w:hint="default" w:ascii="Times New Roman" w:hAnsi="Times New Roman" w:cs="Times New Roman"/>
                <w:color w:val="auto"/>
                <w:sz w:val="24"/>
                <w:szCs w:val="24"/>
                <w:highlight w:val="none"/>
              </w:rPr>
              <w:t>m，可得出</w:t>
            </w:r>
            <w:r>
              <w:rPr>
                <w:rFonts w:hint="default" w:ascii="Times New Roman" w:hAnsi="Times New Roman" w:cs="Times New Roman"/>
                <w:color w:val="auto"/>
                <w:sz w:val="24"/>
                <w:szCs w:val="24"/>
                <w:highlight w:val="none"/>
                <w:lang w:val="en-US" w:eastAsia="zh-CN"/>
              </w:rPr>
              <w:t>类比</w:t>
            </w:r>
            <w:r>
              <w:rPr>
                <w:rFonts w:hint="eastAsia" w:ascii="Times New Roman" w:hAnsi="Times New Roman" w:cs="Times New Roman"/>
                <w:color w:val="auto"/>
                <w:sz w:val="24"/>
                <w:szCs w:val="24"/>
                <w:highlight w:val="none"/>
                <w:lang w:val="en-US" w:eastAsia="zh-CN"/>
              </w:rPr>
              <w:t>同塔双</w:t>
            </w:r>
            <w:r>
              <w:rPr>
                <w:rFonts w:hint="default" w:ascii="Times New Roman" w:hAnsi="Times New Roman" w:cs="Times New Roman"/>
                <w:color w:val="auto"/>
                <w:sz w:val="24"/>
                <w:szCs w:val="24"/>
                <w:highlight w:val="none"/>
              </w:rPr>
              <w:t>回线路导线对地高度为</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m时，</w:t>
            </w:r>
            <w:r>
              <w:rPr>
                <w:rFonts w:hint="default" w:ascii="Times New Roman" w:hAnsi="Times New Roman" w:cs="Times New Roman"/>
                <w:color w:val="auto"/>
                <w:sz w:val="24"/>
                <w:szCs w:val="24"/>
                <w:highlight w:val="none"/>
                <w:lang w:val="en-US" w:eastAsia="zh-CN"/>
              </w:rPr>
              <w:t>线下</w:t>
            </w:r>
            <w:r>
              <w:rPr>
                <w:rFonts w:hint="default" w:ascii="Times New Roman" w:hAnsi="Times New Roman" w:cs="Times New Roman"/>
                <w:color w:val="auto"/>
                <w:sz w:val="24"/>
                <w:szCs w:val="24"/>
                <w:highlight w:val="none"/>
              </w:rPr>
              <w:t>噪声贡献值为</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dB(A)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项目</w:t>
            </w:r>
            <w:r>
              <w:rPr>
                <w:rFonts w:hint="eastAsia"/>
                <w:color w:val="auto"/>
                <w:sz w:val="24"/>
                <w:highlight w:val="none"/>
                <w:lang w:val="en-US" w:eastAsia="zh-CN"/>
              </w:rPr>
              <w:t>双回路塔单侧挂线</w:t>
            </w:r>
            <w:r>
              <w:rPr>
                <w:color w:val="auto"/>
                <w:sz w:val="24"/>
                <w:highlight w:val="none"/>
              </w:rPr>
              <w:t>架空线路段</w:t>
            </w:r>
            <w:r>
              <w:rPr>
                <w:rFonts w:hint="default" w:ascii="Times New Roman" w:hAnsi="Times New Roman" w:eastAsia="宋体" w:cs="Times New Roman"/>
                <w:color w:val="auto"/>
                <w:sz w:val="24"/>
                <w:szCs w:val="24"/>
                <w:highlight w:val="none"/>
              </w:rPr>
              <w:t>与类比</w:t>
            </w:r>
            <w:r>
              <w:rPr>
                <w:rFonts w:hint="eastAsia" w:ascii="Times New Roman" w:hAnsi="Times New Roman" w:cs="Times New Roman"/>
                <w:color w:val="auto"/>
                <w:sz w:val="24"/>
                <w:szCs w:val="24"/>
                <w:highlight w:val="none"/>
                <w:lang w:val="en-US" w:eastAsia="zh-CN"/>
              </w:rPr>
              <w:t>线路</w:t>
            </w:r>
            <w:r>
              <w:rPr>
                <w:rFonts w:hint="default" w:ascii="Times New Roman" w:hAnsi="Times New Roman" w:eastAsia="宋体" w:cs="Times New Roman"/>
                <w:color w:val="auto"/>
                <w:sz w:val="24"/>
                <w:szCs w:val="24"/>
                <w:highlight w:val="none"/>
              </w:rPr>
              <w:t>的电压等级、</w:t>
            </w:r>
            <w:r>
              <w:rPr>
                <w:rFonts w:hint="default" w:ascii="Times New Roman" w:hAnsi="Times New Roman" w:cs="Times New Roman"/>
                <w:color w:val="auto"/>
                <w:sz w:val="24"/>
                <w:szCs w:val="24"/>
                <w:highlight w:val="none"/>
              </w:rPr>
              <w:t>排列方式</w:t>
            </w:r>
            <w:r>
              <w:rPr>
                <w:rFonts w:hint="default" w:ascii="Times New Roman" w:hAnsi="Times New Roman" w:cs="Times New Roman"/>
                <w:color w:val="auto"/>
                <w:sz w:val="24"/>
                <w:szCs w:val="24"/>
                <w:highlight w:val="none"/>
                <w:lang w:val="en-US" w:eastAsia="zh-CN"/>
              </w:rPr>
              <w:t>相</w:t>
            </w:r>
            <w:r>
              <w:rPr>
                <w:rFonts w:hint="eastAsia" w:ascii="Times New Roman" w:hAnsi="Times New Roman" w:cs="Times New Roman"/>
                <w:color w:val="auto"/>
                <w:sz w:val="24"/>
                <w:szCs w:val="24"/>
                <w:highlight w:val="none"/>
                <w:lang w:val="en-US" w:eastAsia="zh-CN"/>
              </w:rPr>
              <w:t>同</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highlight w:val="none"/>
              </w:rPr>
              <w:t>架设方式</w:t>
            </w:r>
            <w:r>
              <w:rPr>
                <w:rFonts w:hint="eastAsia" w:cs="Times New Roman"/>
                <w:color w:val="auto"/>
                <w:sz w:val="24"/>
                <w:highlight w:val="none"/>
                <w:lang w:val="en-US" w:eastAsia="zh-CN"/>
              </w:rPr>
              <w:t>相似，</w:t>
            </w:r>
            <w:r>
              <w:rPr>
                <w:rFonts w:hint="default" w:ascii="Times New Roman" w:hAnsi="Times New Roman" w:eastAsia="宋体" w:cs="Times New Roman"/>
                <w:color w:val="auto"/>
                <w:sz w:val="24"/>
                <w:szCs w:val="24"/>
                <w:highlight w:val="none"/>
              </w:rPr>
              <w:t>导线</w:t>
            </w:r>
            <w:r>
              <w:rPr>
                <w:rFonts w:hint="default" w:ascii="Times New Roman" w:hAnsi="Times New Roman" w:eastAsia="宋体" w:cs="Times New Roman"/>
                <w:color w:val="auto"/>
                <w:sz w:val="24"/>
                <w:szCs w:val="24"/>
                <w:highlight w:val="none"/>
                <w:lang w:val="en-US" w:eastAsia="zh-CN"/>
              </w:rPr>
              <w:t>型号类似，分裂数一致</w:t>
            </w:r>
            <w:r>
              <w:rPr>
                <w:rFonts w:hint="default" w:ascii="Times New Roman" w:hAnsi="Times New Roman" w:eastAsia="宋体" w:cs="Times New Roman"/>
                <w:color w:val="auto"/>
                <w:sz w:val="24"/>
                <w:szCs w:val="24"/>
                <w:highlight w:val="none"/>
              </w:rPr>
              <w:t>，且工程所在地环境条件相似，由</w:t>
            </w:r>
            <w:r>
              <w:rPr>
                <w:rFonts w:hint="default" w:ascii="Times New Roman" w:hAnsi="Times New Roman" w:eastAsia="宋体" w:cs="Times New Roman"/>
                <w:color w:val="auto"/>
                <w:sz w:val="24"/>
                <w:szCs w:val="24"/>
                <w:highlight w:val="none"/>
                <w:lang w:val="en-US" w:eastAsia="zh-CN"/>
              </w:rPr>
              <w:t>此类比可</w:t>
            </w:r>
            <w:r>
              <w:rPr>
                <w:rFonts w:hint="default" w:ascii="Times New Roman" w:hAnsi="Times New Roman" w:eastAsia="宋体" w:cs="Times New Roman"/>
                <w:color w:val="auto"/>
                <w:sz w:val="24"/>
                <w:szCs w:val="24"/>
                <w:highlight w:val="none"/>
              </w:rPr>
              <w:t>知</w:t>
            </w:r>
            <w:r>
              <w:rPr>
                <w:rFonts w:hint="default" w:ascii="Times New Roman" w:hAnsi="Times New Roman" w:cs="Times New Roman"/>
                <w:color w:val="auto"/>
                <w:sz w:val="24"/>
                <w:szCs w:val="24"/>
                <w:highlight w:val="none"/>
              </w:rPr>
              <w:t>，本项目</w:t>
            </w:r>
            <w:r>
              <w:rPr>
                <w:rFonts w:hint="eastAsia"/>
                <w:color w:val="auto"/>
                <w:sz w:val="24"/>
                <w:highlight w:val="none"/>
                <w:lang w:val="en-US" w:eastAsia="zh-CN"/>
              </w:rPr>
              <w:t>双回路塔单侧挂线</w:t>
            </w:r>
            <w:r>
              <w:rPr>
                <w:color w:val="auto"/>
                <w:sz w:val="24"/>
                <w:highlight w:val="none"/>
              </w:rPr>
              <w:t>架空线路</w:t>
            </w:r>
            <w:r>
              <w:rPr>
                <w:rFonts w:hint="default" w:ascii="Times New Roman" w:hAnsi="Times New Roman" w:cs="Times New Roman"/>
                <w:color w:val="auto"/>
                <w:sz w:val="24"/>
                <w:szCs w:val="24"/>
                <w:highlight w:val="none"/>
                <w:lang w:val="en-US" w:eastAsia="zh-CN"/>
              </w:rPr>
              <w:t>在导线对地高度不低于10m，距离地面1.5m处的</w:t>
            </w:r>
            <w:r>
              <w:rPr>
                <w:rFonts w:hint="default" w:ascii="Times New Roman" w:hAnsi="Times New Roman" w:cs="Times New Roman"/>
                <w:color w:val="auto"/>
                <w:sz w:val="24"/>
                <w:szCs w:val="24"/>
                <w:highlight w:val="none"/>
              </w:rPr>
              <w:t>噪声贡献值也满足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声</w:t>
            </w:r>
            <w:r>
              <w:rPr>
                <w:rFonts w:hint="default" w:ascii="Times New Roman" w:hAnsi="Times New Roman" w:eastAsia="宋体" w:cs="Times New Roman"/>
                <w:color w:val="auto"/>
                <w:sz w:val="24"/>
                <w:szCs w:val="24"/>
                <w:highlight w:val="none"/>
              </w:rPr>
              <w:t>环境</w:t>
            </w:r>
            <w:r>
              <w:rPr>
                <w:rFonts w:hint="default" w:ascii="Times New Roman" w:hAnsi="Times New Roman" w:cs="Times New Roman"/>
                <w:color w:val="auto"/>
                <w:sz w:val="24"/>
                <w:szCs w:val="24"/>
                <w:highlight w:val="none"/>
                <w:lang w:val="en-US" w:eastAsia="zh-CN"/>
              </w:rPr>
              <w:t>质量</w:t>
            </w:r>
            <w:r>
              <w:rPr>
                <w:rFonts w:hint="default" w:ascii="Times New Roman" w:hAnsi="Times New Roman" w:cs="Times New Roman"/>
                <w:color w:val="auto"/>
                <w:sz w:val="24"/>
                <w:szCs w:val="24"/>
                <w:highlight w:val="none"/>
              </w:rPr>
              <w:t>标准》（GB</w:t>
            </w:r>
            <w:r>
              <w:rPr>
                <w:rFonts w:hint="default" w:ascii="Times New Roman" w:hAnsi="Times New Roman" w:cs="Times New Roman"/>
                <w:color w:val="auto"/>
                <w:sz w:val="24"/>
                <w:szCs w:val="24"/>
                <w:highlight w:val="none"/>
                <w:lang w:val="en-US" w:eastAsia="zh-CN"/>
              </w:rPr>
              <w:t>3096</w:t>
            </w:r>
            <w:r>
              <w:rPr>
                <w:rFonts w:hint="default" w:ascii="Times New Roman" w:hAnsi="Times New Roman" w:cs="Times New Roman"/>
                <w:color w:val="auto"/>
                <w:sz w:val="24"/>
                <w:szCs w:val="24"/>
                <w:highlight w:val="none"/>
              </w:rPr>
              <w:t>-2008）</w:t>
            </w:r>
            <w:r>
              <w:rPr>
                <w:rFonts w:hint="default" w:ascii="Times New Roman" w:hAnsi="Times New Roman" w:cs="Times New Roman"/>
                <w:color w:val="auto"/>
                <w:sz w:val="24"/>
                <w:szCs w:val="24"/>
                <w:highlight w:val="none"/>
                <w:lang w:val="en-US" w:eastAsia="zh-CN"/>
              </w:rPr>
              <w:t>中</w:t>
            </w:r>
            <w:r>
              <w:rPr>
                <w:rFonts w:hint="eastAsia" w:ascii="Times New Roman" w:hAnsi="Times New Roman" w:cs="Times New Roman"/>
                <w:color w:val="auto"/>
                <w:sz w:val="24"/>
                <w:szCs w:val="24"/>
                <w:highlight w:val="none"/>
                <w:lang w:val="en-US" w:eastAsia="zh-CN"/>
              </w:rPr>
              <w:t>2类</w:t>
            </w:r>
            <w:r>
              <w:rPr>
                <w:rFonts w:hint="default" w:ascii="Times New Roman" w:hAnsi="Times New Roman" w:cs="Times New Roman"/>
                <w:color w:val="auto"/>
                <w:sz w:val="24"/>
                <w:szCs w:val="24"/>
                <w:highlight w:val="none"/>
              </w:rPr>
              <w:t>标准要求。</w:t>
            </w:r>
          </w:p>
          <w:p w14:paraId="4162A5AB">
            <w:pPr>
              <w:spacing w:line="360" w:lineRule="auto"/>
              <w:ind w:firstLine="480" w:firstLineChars="200"/>
              <w:jc w:val="left"/>
              <w:rPr>
                <w:rFonts w:hint="default" w:ascii="Times New Roman" w:hAnsi="Times New Roman" w:cs="Times New Roman"/>
                <w:color w:val="auto"/>
                <w:kern w:val="1"/>
                <w:sz w:val="24"/>
                <w:highlight w:val="none"/>
                <w:lang w:val="en-US" w:eastAsia="zh-CN"/>
              </w:rPr>
            </w:pPr>
            <w:r>
              <w:rPr>
                <w:rFonts w:hint="default" w:ascii="Times New Roman" w:hAnsi="Times New Roman" w:cs="Times New Roman"/>
                <w:color w:val="auto"/>
                <w:sz w:val="24"/>
                <w:highlight w:val="none"/>
              </w:rPr>
              <w:t>本次预测仅考虑了噪声距离衰减，因此本次评价的噪声预测值要大于线路实际产生的噪声值，声环境影响预测与评价是正确的并且是合理的。</w:t>
            </w:r>
          </w:p>
          <w:p w14:paraId="7ABD3EDA">
            <w:pPr>
              <w:spacing w:line="360" w:lineRule="auto"/>
              <w:ind w:firstLine="472" w:firstLineChars="196"/>
              <w:jc w:val="left"/>
              <w:rPr>
                <w:b/>
                <w:bCs/>
                <w:color w:val="auto"/>
                <w:sz w:val="24"/>
                <w:highlight w:val="none"/>
              </w:rPr>
            </w:pPr>
            <w:r>
              <w:rPr>
                <w:rFonts w:hint="eastAsia"/>
                <w:b/>
                <w:bCs/>
                <w:color w:val="auto"/>
                <w:sz w:val="24"/>
                <w:highlight w:val="none"/>
                <w:lang w:val="en-US" w:eastAsia="zh-CN"/>
              </w:rPr>
              <w:t>4</w:t>
            </w:r>
            <w:r>
              <w:rPr>
                <w:b/>
                <w:bCs/>
                <w:color w:val="auto"/>
                <w:sz w:val="24"/>
                <w:highlight w:val="none"/>
              </w:rPr>
              <w:t>、地表水环境影响分析</w:t>
            </w:r>
          </w:p>
          <w:p w14:paraId="17FE1890">
            <w:pPr>
              <w:spacing w:line="360" w:lineRule="auto"/>
              <w:ind w:firstLine="480" w:firstLineChars="200"/>
              <w:jc w:val="left"/>
              <w:rPr>
                <w:color w:val="auto"/>
                <w:sz w:val="24"/>
                <w:highlight w:val="none"/>
              </w:rPr>
            </w:pPr>
            <w:r>
              <w:rPr>
                <w:color w:val="auto"/>
                <w:sz w:val="24"/>
                <w:highlight w:val="none"/>
              </w:rPr>
              <w:t>本项目</w:t>
            </w:r>
            <w:r>
              <w:rPr>
                <w:rFonts w:hint="default" w:ascii="Times New Roman" w:hAnsi="Times New Roman" w:cs="Times New Roman"/>
                <w:color w:val="auto"/>
                <w:sz w:val="24"/>
                <w:szCs w:val="24"/>
                <w:highlight w:val="none"/>
                <w:lang w:val="en-US" w:eastAsia="zh-CN"/>
              </w:rPr>
              <w:t>变电站正常运行时产生的废水主要为生活污水，变电站内有</w:t>
            </w:r>
            <w:r>
              <w:rPr>
                <w:rFonts w:hint="eastAsia" w:cs="Times New Roman"/>
                <w:color w:val="auto"/>
                <w:sz w:val="24"/>
                <w:highlight w:val="none"/>
                <w:lang w:val="en-US" w:eastAsia="zh-CN"/>
              </w:rPr>
              <w:t>门卫</w:t>
            </w:r>
            <w:r>
              <w:rPr>
                <w:rFonts w:hint="default" w:ascii="Times New Roman" w:hAnsi="Times New Roman" w:cs="Times New Roman"/>
                <w:color w:val="auto"/>
                <w:sz w:val="24"/>
                <w:szCs w:val="24"/>
                <w:highlight w:val="none"/>
                <w:lang w:val="en-US" w:eastAsia="zh-CN"/>
              </w:rPr>
              <w:t>约1-2人，</w:t>
            </w:r>
            <w:r>
              <w:rPr>
                <w:rFonts w:hint="default" w:ascii="Times New Roman" w:hAnsi="Times New Roman" w:cs="Times New Roman"/>
                <w:color w:val="auto"/>
                <w:sz w:val="24"/>
                <w:highlight w:val="none"/>
              </w:rPr>
              <w:t>生活用水定额按</w:t>
            </w:r>
            <w:r>
              <w:rPr>
                <w:rFonts w:hint="eastAsia" w:cs="Times New Roman"/>
                <w:color w:val="auto"/>
                <w:sz w:val="24"/>
                <w:highlight w:val="none"/>
                <w:lang w:val="en-US" w:eastAsia="zh-CN"/>
              </w:rPr>
              <w:t>&lt;</w:t>
            </w:r>
            <w:r>
              <w:rPr>
                <w:rFonts w:hint="default" w:ascii="Times New Roman" w:hAnsi="Times New Roman" w:cs="Times New Roman"/>
                <w:color w:val="auto"/>
                <w:sz w:val="24"/>
                <w:highlight w:val="none"/>
              </w:rPr>
              <w:t>宁夏回族自治区水利厅</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宁夏回族自治区市场监督管理厅关于印发</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宁夏回族自治区有关行业用水定额</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修订</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的通知</w:t>
            </w:r>
            <w:r>
              <w:rPr>
                <w:rFonts w:hint="eastAsia" w:cs="Times New Roman"/>
                <w:color w:val="auto"/>
                <w:sz w:val="24"/>
                <w:highlight w:val="none"/>
                <w:lang w:val="en-US" w:eastAsia="zh-CN"/>
              </w:rPr>
              <w:t>&gt;</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宁水节供发</w:t>
            </w:r>
            <w:r>
              <w:rPr>
                <w:rFonts w:hint="eastAsia" w:ascii="Times New Roman" w:hAnsi="Times New Roman" w:cs="Times New Roman"/>
                <w:color w:val="auto"/>
                <w:kern w:val="0"/>
                <w:sz w:val="24"/>
                <w:highlight w:val="none"/>
                <w:lang w:val="en-US" w:eastAsia="zh-CN"/>
              </w:rPr>
              <w:t>〔202</w:t>
            </w:r>
            <w:r>
              <w:rPr>
                <w:rFonts w:hint="eastAsia" w:cs="Times New Roman"/>
                <w:color w:val="auto"/>
                <w:kern w:val="0"/>
                <w:sz w:val="24"/>
                <w:highlight w:val="none"/>
                <w:lang w:val="en-US" w:eastAsia="zh-CN"/>
              </w:rPr>
              <w:t>5</w:t>
            </w:r>
            <w:r>
              <w:rPr>
                <w:rFonts w:hint="eastAsia" w:ascii="Times New Roman" w:hAnsi="Times New Roman" w:cs="Times New Roman"/>
                <w:color w:val="auto"/>
                <w:kern w:val="0"/>
                <w:sz w:val="24"/>
                <w:highlight w:val="none"/>
                <w:lang w:val="en-US" w:eastAsia="zh-CN"/>
              </w:rPr>
              <w:t>〕</w:t>
            </w:r>
            <w:r>
              <w:rPr>
                <w:rFonts w:hint="eastAsia" w:cs="Times New Roman"/>
                <w:color w:val="auto"/>
                <w:sz w:val="24"/>
                <w:highlight w:val="none"/>
                <w:lang w:val="en-US" w:eastAsia="zh-CN"/>
              </w:rPr>
              <w:t>11</w:t>
            </w:r>
            <w:r>
              <w:rPr>
                <w:rFonts w:hint="default" w:ascii="Times New Roman" w:hAnsi="Times New Roman" w:cs="Times New Roman"/>
                <w:color w:val="auto"/>
                <w:sz w:val="24"/>
                <w:highlight w:val="none"/>
                <w:lang w:val="en-US" w:eastAsia="zh-CN"/>
              </w:rPr>
              <w:t>号）中</w:t>
            </w:r>
            <w:r>
              <w:rPr>
                <w:rFonts w:hint="default" w:ascii="Times New Roman" w:hAnsi="Times New Roman" w:cs="Times New Roman"/>
                <w:color w:val="auto"/>
                <w:sz w:val="24"/>
                <w:highlight w:val="none"/>
              </w:rPr>
              <w:t>平房及简易楼房取</w:t>
            </w:r>
            <w:r>
              <w:rPr>
                <w:rFonts w:hint="eastAsia" w:cs="Times New Roman"/>
                <w:color w:val="auto"/>
                <w:sz w:val="24"/>
                <w:highlight w:val="none"/>
                <w:lang w:val="en-US" w:eastAsia="zh-CN"/>
              </w:rPr>
              <w:t>90</w:t>
            </w:r>
            <w:r>
              <w:rPr>
                <w:rFonts w:hint="default" w:ascii="Times New Roman" w:hAnsi="Times New Roman" w:cs="Times New Roman"/>
                <w:color w:val="auto"/>
                <w:sz w:val="24"/>
                <w:highlight w:val="none"/>
              </w:rPr>
              <w:t>L/人·d计，则项目生活用水量</w:t>
            </w:r>
            <w:r>
              <w:rPr>
                <w:rFonts w:hint="default" w:ascii="Times New Roman" w:hAnsi="Times New Roman" w:cs="Times New Roman"/>
                <w:color w:val="auto"/>
                <w:sz w:val="24"/>
                <w:highlight w:val="none"/>
                <w:lang w:val="en-US" w:eastAsia="zh-CN"/>
              </w:rPr>
              <w:t>最大</w:t>
            </w:r>
            <w:r>
              <w:rPr>
                <w:rFonts w:hint="default" w:ascii="Times New Roman" w:hAnsi="Times New Roman" w:cs="Times New Roman"/>
                <w:color w:val="auto"/>
                <w:sz w:val="24"/>
                <w:highlight w:val="none"/>
              </w:rPr>
              <w:t>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18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65.7</w:t>
            </w:r>
            <w:r>
              <w:rPr>
                <w:rFonts w:hint="default" w:ascii="Times New Roman" w:hAnsi="Times New Roman" w:cs="Times New Roman"/>
                <w:color w:val="auto"/>
                <w:sz w:val="24"/>
                <w:szCs w:val="24"/>
                <w:highlight w:val="none"/>
                <w:lang w:val="en-US" w:eastAsia="zh-CN"/>
              </w:rPr>
              <w:t>t/a）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lang w:val="en-US" w:eastAsia="zh-CN"/>
              </w:rPr>
              <w:t>生活污水最大产生量约0.1</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51.1</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生活污水经</w:t>
            </w:r>
            <w:r>
              <w:rPr>
                <w:rFonts w:hint="default" w:ascii="Times New Roman" w:hAnsi="Times New Roman"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化粪池定期清掏，</w:t>
            </w:r>
            <w:r>
              <w:rPr>
                <w:rFonts w:hint="default" w:ascii="Times New Roman" w:hAnsi="Times New Roman" w:eastAsia="宋体" w:cs="Times New Roman"/>
                <w:color w:val="auto"/>
                <w:kern w:val="0"/>
                <w:sz w:val="24"/>
                <w:szCs w:val="24"/>
                <w:highlight w:val="none"/>
                <w:lang w:val="en-US" w:eastAsia="zh-CN" w:bidi="ar"/>
              </w:rPr>
              <w:t>不外排。</w:t>
            </w:r>
          </w:p>
          <w:p w14:paraId="0A0107CF">
            <w:pPr>
              <w:spacing w:line="360" w:lineRule="auto"/>
              <w:ind w:firstLine="482" w:firstLineChars="200"/>
              <w:jc w:val="left"/>
              <w:rPr>
                <w:b/>
                <w:bCs/>
                <w:color w:val="auto"/>
                <w:sz w:val="24"/>
                <w:highlight w:val="none"/>
              </w:rPr>
            </w:pPr>
            <w:r>
              <w:rPr>
                <w:rFonts w:hint="eastAsia"/>
                <w:b/>
                <w:bCs/>
                <w:color w:val="auto"/>
                <w:sz w:val="24"/>
                <w:highlight w:val="none"/>
                <w:lang w:val="en-US" w:eastAsia="zh-CN"/>
              </w:rPr>
              <w:t>5</w:t>
            </w:r>
            <w:r>
              <w:rPr>
                <w:b/>
                <w:bCs/>
                <w:color w:val="auto"/>
                <w:sz w:val="24"/>
                <w:highlight w:val="none"/>
              </w:rPr>
              <w:t>、固体废物影响分析</w:t>
            </w:r>
          </w:p>
          <w:p w14:paraId="647E7096">
            <w:pPr>
              <w:pStyle w:val="8"/>
              <w:spacing w:after="0" w:line="360" w:lineRule="auto"/>
              <w:ind w:left="0" w:leftChars="0" w:firstLine="480" w:firstLineChars="200"/>
              <w:jc w:val="left"/>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变电站运行期产生的固体废物主要为</w:t>
            </w:r>
            <w:r>
              <w:rPr>
                <w:rFonts w:hint="eastAsia" w:cs="Times New Roman"/>
                <w:color w:val="auto"/>
                <w:sz w:val="24"/>
                <w:highlight w:val="none"/>
                <w:lang w:val="en-US" w:eastAsia="zh-CN"/>
              </w:rPr>
              <w:t>门卫</w:t>
            </w:r>
            <w:r>
              <w:rPr>
                <w:rFonts w:hint="default" w:ascii="Times New Roman" w:hAnsi="Times New Roman" w:cs="Times New Roman"/>
                <w:color w:val="auto"/>
                <w:sz w:val="24"/>
                <w:highlight w:val="none"/>
                <w:lang w:val="en-US" w:eastAsia="zh-CN"/>
              </w:rPr>
              <w:t>产生的生活垃圾、事故废油、废旧蓄电池。</w:t>
            </w:r>
          </w:p>
          <w:p w14:paraId="53C31606">
            <w:pPr>
              <w:pStyle w:val="8"/>
              <w:spacing w:after="0" w:line="360" w:lineRule="auto"/>
              <w:ind w:left="0" w:leftChars="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变电站运行期产生的</w:t>
            </w:r>
            <w:r>
              <w:rPr>
                <w:rFonts w:hint="default" w:ascii="Times New Roman" w:hAnsi="Times New Roman" w:cs="Times New Roman"/>
                <w:color w:val="auto"/>
                <w:sz w:val="24"/>
                <w:highlight w:val="none"/>
                <w:lang w:val="en-US" w:eastAsia="zh-CN"/>
              </w:rPr>
              <w:t>少量生活垃圾经站内垃圾桶分类集中收集，定期清运至附近垃圾收集点，由环卫部门统一清运</w:t>
            </w:r>
            <w:r>
              <w:rPr>
                <w:rFonts w:hint="eastAsia" w:cs="Times New Roman"/>
                <w:color w:val="auto"/>
                <w:sz w:val="24"/>
                <w:highlight w:val="none"/>
                <w:lang w:val="en-US" w:eastAsia="zh-CN"/>
              </w:rPr>
              <w:t>处置。</w:t>
            </w:r>
          </w:p>
          <w:p w14:paraId="2ADCBE2E">
            <w:pPr>
              <w:pStyle w:val="8"/>
              <w:spacing w:after="0" w:line="360" w:lineRule="auto"/>
              <w:ind w:left="0" w:leftChars="0"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当主变压器发生故障时，事故油通过设备下方的事故油坑进入设备旁的事故油池，事故油由有资质的单位回收处置，不外排。根据《国家危险废物名录》（202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年版），变压器油危险废物类别为HW08，危废代码为900-220-08。</w:t>
            </w:r>
          </w:p>
          <w:p w14:paraId="6DECD650">
            <w:pPr>
              <w:pStyle w:val="8"/>
              <w:spacing w:after="0" w:line="360" w:lineRule="auto"/>
              <w:ind w:left="0" w:leftChars="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变电站产生的废旧蓄电池（一般8~10年更换一次），经专业人员判定需进行更换时，由具有相应处置资质的单位置换后直接回收，不在站内储存。对照《国家危险废物名录》（202</w:t>
            </w:r>
            <w:r>
              <w:rPr>
                <w:rFonts w:hint="eastAsia"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年版）废弃的铅蓄电池属于危险废物，废物类别为HW31，废物代码为900-052-31。</w:t>
            </w:r>
          </w:p>
          <w:p w14:paraId="05A6A923">
            <w:pPr>
              <w:pStyle w:val="8"/>
              <w:spacing w:after="0" w:line="360" w:lineRule="auto"/>
              <w:ind w:left="0" w:leftChars="0"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输电线路在运行期间只定期进行巡视和检修。巡检人员所产生的垃圾很少，且严格要求其随身带走，不在当地遗留，因此不会产生固体废物影响。</w:t>
            </w:r>
          </w:p>
          <w:p w14:paraId="4364333E">
            <w:pPr>
              <w:pStyle w:val="8"/>
              <w:spacing w:after="0" w:line="360" w:lineRule="auto"/>
              <w:ind w:left="0" w:leftChars="0" w:firstLine="480" w:firstLineChars="200"/>
              <w:jc w:val="left"/>
              <w:rPr>
                <w:color w:val="auto"/>
                <w:sz w:val="24"/>
                <w:highlight w:val="none"/>
              </w:rPr>
            </w:pPr>
            <w:r>
              <w:rPr>
                <w:color w:val="auto"/>
                <w:sz w:val="24"/>
                <w:highlight w:val="none"/>
              </w:rPr>
              <w:t>综上所述，本项目运行后产生的固体废物妥善处理处置后不会污染环境。</w:t>
            </w:r>
          </w:p>
          <w:p w14:paraId="760E9987">
            <w:pPr>
              <w:pStyle w:val="23"/>
              <w:spacing w:line="360" w:lineRule="auto"/>
              <w:ind w:firstLine="482"/>
              <w:jc w:val="left"/>
              <w:rPr>
                <w:rFonts w:ascii="Times New Roman" w:eastAsia="宋体"/>
                <w:b/>
                <w:color w:val="auto"/>
                <w:sz w:val="24"/>
                <w:highlight w:val="none"/>
              </w:rPr>
            </w:pPr>
            <w:r>
              <w:rPr>
                <w:rFonts w:hint="eastAsia" w:ascii="Times New Roman" w:eastAsia="宋体"/>
                <w:b/>
                <w:color w:val="auto"/>
                <w:sz w:val="24"/>
                <w:highlight w:val="none"/>
                <w:lang w:val="en-US" w:eastAsia="zh-CN"/>
              </w:rPr>
              <w:t>6</w:t>
            </w:r>
            <w:r>
              <w:rPr>
                <w:rFonts w:ascii="Times New Roman" w:eastAsia="宋体"/>
                <w:b/>
                <w:color w:val="auto"/>
                <w:sz w:val="24"/>
                <w:highlight w:val="none"/>
              </w:rPr>
              <w:t>、环境风险分析</w:t>
            </w:r>
          </w:p>
          <w:p w14:paraId="2924BF3D">
            <w:pPr>
              <w:spacing w:line="360" w:lineRule="auto"/>
              <w:ind w:firstLine="482"/>
              <w:jc w:val="left"/>
              <w:rPr>
                <w:color w:val="auto"/>
                <w:sz w:val="24"/>
                <w:highlight w:val="none"/>
              </w:rPr>
            </w:pPr>
            <w:r>
              <w:rPr>
                <w:color w:val="auto"/>
                <w:sz w:val="24"/>
                <w:highlight w:val="none"/>
              </w:rPr>
              <w:t>变电站的主变压器为了绝缘和冷却的需要，其外壳内装有大量的变压器油，在正常运行状态下无变压器油外排；一般只有发生事故状态下产生变压器油泄露。</w:t>
            </w:r>
          </w:p>
          <w:p w14:paraId="01C94FEB">
            <w:pPr>
              <w:spacing w:line="360" w:lineRule="auto"/>
              <w:ind w:firstLine="482"/>
              <w:jc w:val="left"/>
              <w:rPr>
                <w:color w:val="auto"/>
                <w:sz w:val="24"/>
                <w:highlight w:val="none"/>
              </w:rPr>
            </w:pPr>
            <w:r>
              <w:rPr>
                <w:color w:val="auto"/>
                <w:sz w:val="24"/>
                <w:highlight w:val="none"/>
              </w:rPr>
              <w:t>变电站的主变压器为油浸变压器，主变压器下设事故油坑，铺设鹅卵层，四周设有排油</w:t>
            </w:r>
            <w:r>
              <w:rPr>
                <w:rFonts w:hint="eastAsia"/>
                <w:color w:val="auto"/>
                <w:sz w:val="24"/>
                <w:highlight w:val="none"/>
              </w:rPr>
              <w:t>管</w:t>
            </w:r>
            <w:r>
              <w:rPr>
                <w:color w:val="auto"/>
                <w:sz w:val="24"/>
                <w:highlight w:val="none"/>
              </w:rPr>
              <w:t>与事故油池相连。变压器发生事故时，所有的漏油将渗过卵石层到达事故油坑并通过排油</w:t>
            </w:r>
            <w:r>
              <w:rPr>
                <w:rFonts w:hint="eastAsia"/>
                <w:color w:val="auto"/>
                <w:sz w:val="24"/>
                <w:highlight w:val="none"/>
              </w:rPr>
              <w:t>管</w:t>
            </w:r>
            <w:r>
              <w:rPr>
                <w:color w:val="auto"/>
                <w:sz w:val="24"/>
                <w:highlight w:val="none"/>
              </w:rPr>
              <w:t>最终进入事故油池，在此过程卵石层起到冷却油的作用，不易发生火灾。废变压器油经事故油池收集后，交有危险废物处理资质的单位回收处置。</w:t>
            </w:r>
          </w:p>
          <w:p w14:paraId="230BAC29">
            <w:pPr>
              <w:spacing w:line="360" w:lineRule="auto"/>
              <w:ind w:firstLine="482" w:firstLineChars="200"/>
              <w:rPr>
                <w:color w:val="auto"/>
                <w:sz w:val="24"/>
                <w:highlight w:val="none"/>
              </w:rPr>
            </w:pPr>
            <w:r>
              <w:rPr>
                <w:b/>
                <w:bCs/>
                <w:color w:val="auto"/>
                <w:sz w:val="24"/>
                <w:highlight w:val="none"/>
              </w:rPr>
              <w:t>事故油坑及事故油池设置的合理性分析：</w:t>
            </w:r>
          </w:p>
          <w:p w14:paraId="11D866CF">
            <w:pPr>
              <w:spacing w:line="360" w:lineRule="auto"/>
              <w:ind w:firstLine="482"/>
              <w:jc w:val="left"/>
              <w:rPr>
                <w:rFonts w:ascii="Times New Roman" w:hAnsi="Times New Roman" w:eastAsia="宋体" w:cs="Times New Roman"/>
                <w:color w:val="auto"/>
                <w:sz w:val="24"/>
                <w:highlight w:val="none"/>
              </w:rPr>
            </w:pPr>
            <w:r>
              <w:rPr>
                <w:color w:val="auto"/>
                <w:sz w:val="24"/>
                <w:highlight w:val="none"/>
              </w:rPr>
              <w:t>事故油坑、排油</w:t>
            </w:r>
            <w:r>
              <w:rPr>
                <w:rFonts w:hint="eastAsia"/>
                <w:color w:val="auto"/>
                <w:sz w:val="24"/>
                <w:highlight w:val="none"/>
              </w:rPr>
              <w:t>管</w:t>
            </w:r>
            <w:r>
              <w:rPr>
                <w:color w:val="auto"/>
                <w:sz w:val="24"/>
                <w:highlight w:val="none"/>
              </w:rPr>
              <w:t>及事故油池四壁及底面均采取防渗措施</w:t>
            </w:r>
            <w:r>
              <w:rPr>
                <w:rFonts w:hint="default" w:ascii="Times New Roman" w:hAnsi="Times New Roman" w:cs="Times New Roman"/>
                <w:color w:val="auto"/>
                <w:sz w:val="24"/>
                <w:highlight w:val="none"/>
              </w:rPr>
              <w:t>（防渗层为至少1m厚黏土层（渗透系数≤10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cm/s）或至少2mm厚高密度聚乙烯，或至少2mm厚的其他人工材料）</w:t>
            </w:r>
            <w:r>
              <w:rPr>
                <w:color w:val="auto"/>
                <w:sz w:val="24"/>
                <w:highlight w:val="none"/>
              </w:rPr>
              <w:t>，</w:t>
            </w:r>
            <w:r>
              <w:rPr>
                <w:color w:val="auto"/>
                <w:sz w:val="24"/>
                <w:szCs w:val="24"/>
                <w:highlight w:val="none"/>
              </w:rPr>
              <w:t>防止废油渗漏产生环境污染事故。本项目</w:t>
            </w:r>
            <w:r>
              <w:rPr>
                <w:rFonts w:hint="eastAsia"/>
                <w:color w:val="auto"/>
                <w:sz w:val="24"/>
                <w:szCs w:val="24"/>
                <w:highlight w:val="none"/>
                <w:lang w:val="en-US" w:eastAsia="zh-CN"/>
              </w:rPr>
              <w:t>变电站</w:t>
            </w:r>
            <w:r>
              <w:rPr>
                <w:color w:val="auto"/>
                <w:sz w:val="24"/>
                <w:szCs w:val="24"/>
                <w:highlight w:val="none"/>
              </w:rPr>
              <w:t>每台</w:t>
            </w:r>
            <w:r>
              <w:rPr>
                <w:rFonts w:hint="eastAsia"/>
                <w:color w:val="auto"/>
                <w:sz w:val="24"/>
                <w:szCs w:val="24"/>
                <w:highlight w:val="none"/>
                <w:lang w:val="en-US" w:eastAsia="zh-CN"/>
              </w:rPr>
              <w:t>主变压器下设置事故油坑（</w:t>
            </w:r>
            <w:r>
              <w:rPr>
                <w:rFonts w:hint="eastAsia" w:cs="Times New Roman"/>
                <w:b w:val="0"/>
                <w:bCs w:val="0"/>
                <w:color w:val="auto"/>
                <w:sz w:val="24"/>
                <w:szCs w:val="24"/>
                <w:highlight w:val="none"/>
                <w:lang w:val="en-US" w:eastAsia="zh-CN"/>
              </w:rPr>
              <w:t>18</w:t>
            </w:r>
            <w:r>
              <w:rPr>
                <w:rFonts w:hint="eastAsia" w:ascii="Times New Roman" w:hAnsi="Times New Roman" w:cs="Times New Roman"/>
                <w:b w:val="0"/>
                <w:bCs w:val="0"/>
                <w:color w:val="auto"/>
                <w:sz w:val="24"/>
                <w:szCs w:val="24"/>
                <w:highlight w:val="none"/>
                <w:lang w:val="en-US" w:eastAsia="zh-CN"/>
              </w:rPr>
              <w:t>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），站内设置事故油池（</w:t>
            </w:r>
            <w:r>
              <w:rPr>
                <w:rFonts w:hint="eastAsia" w:ascii="Times New Roman" w:hAnsi="Times New Roman" w:cs="Times New Roman"/>
                <w:b w:val="0"/>
                <w:bCs w:val="0"/>
                <w:color w:val="auto"/>
                <w:sz w:val="24"/>
                <w:szCs w:val="24"/>
                <w:highlight w:val="none"/>
                <w:lang w:val="en-US" w:eastAsia="zh-CN"/>
              </w:rPr>
              <w:t>25m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w:t>
            </w:r>
            <w:r>
              <w:rPr>
                <w:color w:val="auto"/>
                <w:sz w:val="24"/>
                <w:szCs w:val="24"/>
                <w:highlight w:val="none"/>
              </w:rPr>
              <w:t>，</w:t>
            </w:r>
            <w:r>
              <w:rPr>
                <w:rFonts w:hint="eastAsia" w:ascii="Times New Roman" w:hAnsi="Times New Roman" w:cs="Times New Roman"/>
                <w:color w:val="auto"/>
                <w:sz w:val="24"/>
                <w:szCs w:val="24"/>
                <w:highlight w:val="none"/>
                <w:lang w:val="en-US" w:eastAsia="zh-CN"/>
              </w:rPr>
              <w:t>单台主</w:t>
            </w:r>
            <w:r>
              <w:rPr>
                <w:rFonts w:hint="default" w:ascii="Times New Roman" w:hAnsi="Times New Roman" w:cs="Times New Roman"/>
                <w:color w:val="auto"/>
                <w:sz w:val="24"/>
                <w:szCs w:val="24"/>
                <w:highlight w:val="none"/>
                <w:lang w:val="en-US" w:eastAsia="zh-CN"/>
              </w:rPr>
              <w:t>变压器设备最大绝缘油质量</w:t>
            </w:r>
            <w:r>
              <w:rPr>
                <w:rFonts w:hint="eastAsia" w:ascii="Times New Roman" w:hAnsi="Times New Roman" w:cs="Times New Roman"/>
                <w:color w:val="auto"/>
                <w:sz w:val="24"/>
                <w:szCs w:val="24"/>
                <w:highlight w:val="none"/>
                <w:lang w:val="en-US" w:eastAsia="zh-CN"/>
              </w:rPr>
              <w:t>约</w:t>
            </w:r>
            <w:r>
              <w:rPr>
                <w:rFonts w:hint="default" w:ascii="Times New Roman" w:hAnsi="Times New Roman"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t（密度约为0.8</w:t>
            </w:r>
            <w:r>
              <w:rPr>
                <w:rFonts w:hint="eastAsia" w:ascii="Times New Roman" w:hAnsi="Times New Roman" w:cs="Times New Roman"/>
                <w:color w:val="auto"/>
                <w:sz w:val="24"/>
                <w:szCs w:val="24"/>
                <w:highlight w:val="none"/>
                <w:lang w:val="en-US" w:eastAsia="zh-CN"/>
              </w:rPr>
              <w:t>95</w:t>
            </w:r>
            <w:r>
              <w:rPr>
                <w:rFonts w:hint="default" w:ascii="Times New Roman" w:hAnsi="Times New Roman" w:cs="Times New Roman"/>
                <w:color w:val="auto"/>
                <w:sz w:val="24"/>
                <w:szCs w:val="24"/>
                <w:highlight w:val="none"/>
                <w:lang w:val="en-US" w:eastAsia="zh-CN"/>
              </w:rPr>
              <w:t>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），折算体积约为</w:t>
            </w:r>
            <w:r>
              <w:rPr>
                <w:rFonts w:hint="eastAsia" w:ascii="Times New Roman" w:hAnsi="Times New Roman" w:cs="Times New Roman"/>
                <w:color w:val="auto"/>
                <w:sz w:val="24"/>
                <w:szCs w:val="24"/>
                <w:highlight w:val="none"/>
                <w:lang w:val="en-US" w:eastAsia="zh-CN"/>
              </w:rPr>
              <w:t>23.5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，事故油池</w:t>
            </w:r>
            <w:r>
              <w:rPr>
                <w:rFonts w:hint="eastAsia" w:cs="Times New Roman"/>
                <w:color w:val="auto"/>
                <w:sz w:val="24"/>
                <w:szCs w:val="24"/>
                <w:highlight w:val="none"/>
                <w:lang w:val="en-US" w:eastAsia="zh-CN"/>
              </w:rPr>
              <w:t>有效</w:t>
            </w:r>
            <w:r>
              <w:rPr>
                <w:rFonts w:hint="eastAsia" w:ascii="Times New Roman" w:hAnsi="Times New Roman" w:cs="Times New Roman"/>
                <w:color w:val="auto"/>
                <w:sz w:val="24"/>
                <w:szCs w:val="24"/>
                <w:highlight w:val="none"/>
                <w:lang w:val="en-US" w:eastAsia="zh-CN"/>
              </w:rPr>
              <w:t>容积</w:t>
            </w:r>
            <w:r>
              <w:rPr>
                <w:rFonts w:hint="eastAsia"/>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25m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满足最大</w:t>
            </w:r>
            <w:r>
              <w:rPr>
                <w:rFonts w:hint="eastAsia" w:cs="Times New Roman"/>
                <w:color w:val="auto"/>
                <w:sz w:val="24"/>
                <w:szCs w:val="24"/>
                <w:highlight w:val="none"/>
                <w:lang w:val="en-US" w:eastAsia="zh-CN"/>
              </w:rPr>
              <w:t>单台</w:t>
            </w:r>
            <w:r>
              <w:rPr>
                <w:rFonts w:hint="eastAsia" w:ascii="Times New Roman" w:hAnsi="Times New Roman" w:cs="Times New Roman"/>
                <w:color w:val="auto"/>
                <w:sz w:val="24"/>
                <w:szCs w:val="24"/>
                <w:highlight w:val="none"/>
                <w:lang w:val="en-US" w:eastAsia="zh-CN"/>
              </w:rPr>
              <w:t>主变压器100%油量要求</w:t>
            </w:r>
            <w:r>
              <w:rPr>
                <w:rFonts w:hint="eastAsia" w:cs="Times New Roman"/>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主变压器下事故油坑有效容积</w:t>
            </w:r>
            <w:r>
              <w:rPr>
                <w:rFonts w:hint="eastAsia"/>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18m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满足单台含油设备20%含油量体积要求。</w:t>
            </w:r>
            <w:r>
              <w:rPr>
                <w:rFonts w:hint="default" w:ascii="Times New Roman" w:hAnsi="Times New Roman" w:cs="Times New Roman"/>
                <w:color w:val="auto"/>
                <w:sz w:val="24"/>
                <w:highlight w:val="none"/>
                <w:lang w:val="en-US" w:eastAsia="zh-CN"/>
              </w:rPr>
              <w:t>事</w:t>
            </w:r>
            <w:r>
              <w:rPr>
                <w:rFonts w:hint="default" w:ascii="Times New Roman" w:hAnsi="Times New Roman" w:eastAsia="宋体" w:cs="Times New Roman"/>
                <w:color w:val="auto"/>
                <w:sz w:val="24"/>
                <w:highlight w:val="none"/>
                <w:lang w:val="en-US" w:eastAsia="zh-CN"/>
              </w:rPr>
              <w:t>故油池、事故油坑均采取了防渗设施，</w:t>
            </w:r>
            <w:r>
              <w:rPr>
                <w:rFonts w:ascii="Times New Roman" w:hAnsi="Times New Roman" w:eastAsia="宋体" w:cs="Times New Roman"/>
                <w:color w:val="auto"/>
                <w:sz w:val="24"/>
                <w:highlight w:val="none"/>
              </w:rPr>
              <w:t>可以确保废变压器油的收集和不外泄。</w:t>
            </w:r>
          </w:p>
          <w:p w14:paraId="35ECC960">
            <w:pPr>
              <w:spacing w:line="360" w:lineRule="auto"/>
              <w:ind w:firstLine="482"/>
              <w:jc w:val="lef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建设单位应定期对电气设备检修、维护，确保变电站内电气设备安全运行，杜绝事故的发生。针对变电站站内可能发生的突发环境事件，建设单位按照国家有关规定制定突发环境事件应急预案，并定期进行演练。</w:t>
            </w:r>
          </w:p>
          <w:p w14:paraId="57F627DD">
            <w:pPr>
              <w:spacing w:line="360" w:lineRule="auto"/>
              <w:ind w:firstLine="482"/>
              <w:jc w:val="left"/>
              <w:rPr>
                <w:rFonts w:ascii="Times New Roman" w:hAnsi="Times New Roman"/>
                <w:color w:val="auto"/>
                <w:highlight w:val="none"/>
              </w:rPr>
            </w:pPr>
            <w:r>
              <w:rPr>
                <w:rFonts w:ascii="Times New Roman" w:hAnsi="Times New Roman" w:eastAsia="宋体" w:cs="Times New Roman"/>
                <w:color w:val="auto"/>
                <w:sz w:val="24"/>
                <w:highlight w:val="none"/>
              </w:rPr>
              <w:t>综上所述，本项目变电站运行后采取有效的污染防治措施并配备必要的安全解救设备和工具，潜在的环境风险较小。</w:t>
            </w:r>
          </w:p>
        </w:tc>
      </w:tr>
      <w:tr w14:paraId="69C52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756" w:type="dxa"/>
            <w:vAlign w:val="center"/>
          </w:tcPr>
          <w:p w14:paraId="32568C48">
            <w:pPr>
              <w:pStyle w:val="26"/>
              <w:adjustRightInd w:val="0"/>
              <w:snapToGrid w:val="0"/>
              <w:spacing w:before="0" w:beforeAutospacing="0" w:after="0" w:afterAutospacing="0"/>
              <w:jc w:val="center"/>
              <w:rPr>
                <w:rFonts w:ascii="Times New Roman" w:hAnsi="Times New Roman"/>
                <w:bCs/>
                <w:color w:val="auto"/>
                <w:kern w:val="2"/>
                <w:sz w:val="21"/>
                <w:szCs w:val="21"/>
                <w:highlight w:val="none"/>
              </w:rPr>
            </w:pPr>
            <w:r>
              <w:rPr>
                <w:rFonts w:ascii="Times New Roman" w:hAnsi="Times New Roman"/>
                <w:bCs/>
                <w:color w:val="auto"/>
                <w:kern w:val="2"/>
                <w:highlight w:val="none"/>
              </w:rPr>
              <w:t>选址选线环境合理性分析</w:t>
            </w:r>
          </w:p>
        </w:tc>
        <w:tc>
          <w:tcPr>
            <w:tcW w:w="8728" w:type="dxa"/>
            <w:tcBorders>
              <w:bottom w:val="single" w:color="auto" w:sz="4" w:space="0"/>
              <w:right w:val="single" w:color="auto" w:sz="4" w:space="0"/>
            </w:tcBorders>
          </w:tcPr>
          <w:p w14:paraId="3D506638">
            <w:pPr>
              <w:autoSpaceDE w:val="0"/>
              <w:autoSpaceDN w:val="0"/>
              <w:spacing w:line="360" w:lineRule="auto"/>
              <w:ind w:firstLine="482" w:firstLineChars="200"/>
              <w:jc w:val="left"/>
              <w:rPr>
                <w:b/>
                <w:bCs/>
                <w:color w:val="auto"/>
                <w:sz w:val="24"/>
                <w:highlight w:val="none"/>
              </w:rPr>
            </w:pPr>
            <w:r>
              <w:rPr>
                <w:rFonts w:hint="eastAsia"/>
                <w:b/>
                <w:bCs/>
                <w:color w:val="auto"/>
                <w:sz w:val="24"/>
                <w:highlight w:val="none"/>
              </w:rPr>
              <w:t>1、</w:t>
            </w:r>
            <w:r>
              <w:rPr>
                <w:b/>
                <w:bCs/>
                <w:color w:val="auto"/>
                <w:sz w:val="24"/>
                <w:highlight w:val="none"/>
              </w:rPr>
              <w:t>与《输变电建设项目环境保护技术要求》选线选址的相符性分析</w:t>
            </w:r>
          </w:p>
          <w:p w14:paraId="506E57CC">
            <w:pPr>
              <w:spacing w:line="360" w:lineRule="auto"/>
              <w:ind w:firstLine="470" w:firstLineChars="196"/>
              <w:jc w:val="left"/>
              <w:rPr>
                <w:color w:val="auto"/>
                <w:kern w:val="0"/>
                <w:sz w:val="24"/>
                <w:highlight w:val="none"/>
              </w:rPr>
            </w:pPr>
            <w:r>
              <w:rPr>
                <w:color w:val="auto"/>
                <w:kern w:val="0"/>
                <w:sz w:val="24"/>
                <w:highlight w:val="none"/>
                <w:lang w:val="zh-CN"/>
              </w:rPr>
              <w:t>根据《输变电建设项目环境保护技术要求》（HJ1113-2020），</w:t>
            </w:r>
            <w:r>
              <w:rPr>
                <w:color w:val="auto"/>
                <w:kern w:val="0"/>
                <w:sz w:val="24"/>
                <w:highlight w:val="none"/>
              </w:rPr>
              <w:t>本项目与HJ1113-2020选址选线要求相符性分析详见表4-</w:t>
            </w:r>
            <w:r>
              <w:rPr>
                <w:rFonts w:hint="eastAsia"/>
                <w:color w:val="auto"/>
                <w:kern w:val="0"/>
                <w:sz w:val="24"/>
                <w:highlight w:val="none"/>
              </w:rPr>
              <w:t>1</w:t>
            </w:r>
            <w:r>
              <w:rPr>
                <w:rFonts w:hint="eastAsia"/>
                <w:color w:val="auto"/>
                <w:kern w:val="0"/>
                <w:sz w:val="24"/>
                <w:highlight w:val="none"/>
                <w:lang w:val="en-US" w:eastAsia="zh-CN"/>
              </w:rPr>
              <w:t>5</w:t>
            </w:r>
            <w:r>
              <w:rPr>
                <w:color w:val="auto"/>
                <w:kern w:val="0"/>
                <w:sz w:val="24"/>
                <w:highlight w:val="none"/>
              </w:rPr>
              <w:t>。</w:t>
            </w:r>
          </w:p>
          <w:p w14:paraId="5DD972AC">
            <w:pPr>
              <w:autoSpaceDE w:val="0"/>
              <w:autoSpaceDN w:val="0"/>
              <w:spacing w:line="360" w:lineRule="auto"/>
              <w:jc w:val="center"/>
              <w:rPr>
                <w:rFonts w:hint="default" w:ascii="Times New Roman" w:hAnsi="Times New Roman" w:eastAsia="黑体" w:cs="Times New Roman"/>
                <w:b/>
                <w:bCs/>
                <w:color w:val="auto"/>
                <w:kern w:val="2"/>
                <w:sz w:val="24"/>
                <w:szCs w:val="18"/>
                <w:highlight w:val="none"/>
                <w:lang w:val="en-US" w:eastAsia="zh-CN" w:bidi="ar-SA"/>
              </w:rPr>
            </w:pPr>
            <w:r>
              <w:rPr>
                <w:rFonts w:hint="default" w:ascii="Times New Roman" w:hAnsi="Times New Roman" w:eastAsia="黑体" w:cs="Times New Roman"/>
                <w:b/>
                <w:bCs/>
                <w:color w:val="auto"/>
                <w:kern w:val="2"/>
                <w:sz w:val="24"/>
                <w:szCs w:val="18"/>
                <w:highlight w:val="none"/>
                <w:lang w:val="en-US" w:eastAsia="zh-CN" w:bidi="ar-SA"/>
              </w:rPr>
              <w:t>表4-1</w:t>
            </w:r>
            <w:r>
              <w:rPr>
                <w:rFonts w:hint="eastAsia" w:eastAsia="黑体" w:cs="Times New Roman"/>
                <w:b/>
                <w:bCs/>
                <w:color w:val="auto"/>
                <w:kern w:val="2"/>
                <w:sz w:val="24"/>
                <w:szCs w:val="18"/>
                <w:highlight w:val="none"/>
                <w:lang w:val="en-US" w:eastAsia="zh-CN" w:bidi="ar-SA"/>
              </w:rPr>
              <w:t>5</w:t>
            </w:r>
            <w:r>
              <w:rPr>
                <w:rFonts w:hint="default" w:ascii="Times New Roman" w:hAnsi="Times New Roman" w:eastAsia="黑体" w:cs="Times New Roman"/>
                <w:b/>
                <w:bCs/>
                <w:color w:val="auto"/>
                <w:kern w:val="2"/>
                <w:sz w:val="24"/>
                <w:szCs w:val="18"/>
                <w:highlight w:val="none"/>
                <w:lang w:val="en-US" w:eastAsia="zh-CN" w:bidi="ar-SA"/>
              </w:rPr>
              <w:t xml:space="preserve">  本项目与（HJ1113-2020）输变电项目选址选线要求相符性分析</w:t>
            </w:r>
          </w:p>
          <w:tbl>
            <w:tblPr>
              <w:tblStyle w:val="28"/>
              <w:tblW w:w="8318" w:type="dxa"/>
              <w:tblInd w:w="9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3680"/>
              <w:gridCol w:w="3180"/>
              <w:gridCol w:w="925"/>
            </w:tblGrid>
            <w:tr w14:paraId="5BE96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213" w:type="dxa"/>
                  <w:gridSpan w:val="2"/>
                  <w:vAlign w:val="center"/>
                </w:tcPr>
                <w:p w14:paraId="45709E52">
                  <w:pPr>
                    <w:autoSpaceDE w:val="0"/>
                    <w:autoSpaceDN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（HJ1113-2020）输变电项目选址选线要求</w:t>
                  </w:r>
                </w:p>
              </w:tc>
              <w:tc>
                <w:tcPr>
                  <w:tcW w:w="3180" w:type="dxa"/>
                  <w:vAlign w:val="center"/>
                </w:tcPr>
                <w:p w14:paraId="3F87A192">
                  <w:pPr>
                    <w:autoSpaceDE w:val="0"/>
                    <w:autoSpaceDN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本项目对应情况</w:t>
                  </w:r>
                </w:p>
              </w:tc>
              <w:tc>
                <w:tcPr>
                  <w:tcW w:w="925" w:type="dxa"/>
                  <w:vAlign w:val="center"/>
                </w:tcPr>
                <w:p w14:paraId="477993AB">
                  <w:pPr>
                    <w:autoSpaceDE w:val="0"/>
                    <w:autoSpaceDN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相符性</w:t>
                  </w:r>
                </w:p>
              </w:tc>
            </w:tr>
            <w:tr w14:paraId="3CBA9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05E74763">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680" w:type="dxa"/>
                  <w:vAlign w:val="center"/>
                </w:tcPr>
                <w:p w14:paraId="65075602">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工程选址选线应符合规划环境影响评价文件的要求。</w:t>
                  </w:r>
                </w:p>
              </w:tc>
              <w:tc>
                <w:tcPr>
                  <w:tcW w:w="3180" w:type="dxa"/>
                  <w:vAlign w:val="center"/>
                </w:tcPr>
                <w:p w14:paraId="79EF317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eastAsia" w:cs="Times New Roman"/>
                      <w:color w:val="auto"/>
                      <w:szCs w:val="21"/>
                      <w:highlight w:val="none"/>
                      <w:lang w:val="en-US" w:eastAsia="zh-CN"/>
                    </w:rPr>
                    <w:t>不涉及规划</w:t>
                  </w:r>
                  <w:r>
                    <w:rPr>
                      <w:rFonts w:hint="default" w:ascii="Times New Roman" w:hAnsi="Times New Roman" w:cs="Times New Roman"/>
                      <w:color w:val="auto"/>
                      <w:szCs w:val="21"/>
                      <w:highlight w:val="none"/>
                    </w:rPr>
                    <w:t>。</w:t>
                  </w:r>
                </w:p>
              </w:tc>
              <w:tc>
                <w:tcPr>
                  <w:tcW w:w="925" w:type="dxa"/>
                  <w:vAlign w:val="center"/>
                </w:tcPr>
                <w:p w14:paraId="0564E6CD">
                  <w:pPr>
                    <w:autoSpaceDE w:val="0"/>
                    <w:autoSpaceDN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w:t>
                  </w:r>
                </w:p>
              </w:tc>
            </w:tr>
            <w:tr w14:paraId="418F8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165DBB55">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3680" w:type="dxa"/>
                  <w:vAlign w:val="center"/>
                </w:tcPr>
                <w:p w14:paraId="5D30955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3180" w:type="dxa"/>
                  <w:vAlign w:val="center"/>
                </w:tcPr>
                <w:p w14:paraId="0CEF32E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本项目选址选线符合生态保护红线管控要求</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项目</w:t>
                  </w:r>
                  <w:r>
                    <w:rPr>
                      <w:rFonts w:hint="default" w:ascii="Times New Roman" w:hAnsi="Times New Roman" w:cs="Times New Roman"/>
                      <w:color w:val="auto"/>
                      <w:szCs w:val="21"/>
                      <w:highlight w:val="none"/>
                    </w:rPr>
                    <w:t>不涉及自然保护区、饮用水水源保护区等环境敏感区。</w:t>
                  </w:r>
                </w:p>
              </w:tc>
              <w:tc>
                <w:tcPr>
                  <w:tcW w:w="925" w:type="dxa"/>
                  <w:vAlign w:val="center"/>
                </w:tcPr>
                <w:p w14:paraId="26604129">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73E7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0217FB12">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3680" w:type="dxa"/>
                  <w:vAlign w:val="center"/>
                </w:tcPr>
                <w:p w14:paraId="4EB3C31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变电工程在选址时应按终期规模综合考虑进出线走廊规划，避免进出线进入自然保护区、饮用水水源保护区等环境敏感区。</w:t>
                  </w:r>
                </w:p>
              </w:tc>
              <w:tc>
                <w:tcPr>
                  <w:tcW w:w="3180" w:type="dxa"/>
                  <w:vAlign w:val="center"/>
                </w:tcPr>
                <w:p w14:paraId="6AA20BC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变电站没有进入自然保护区、饮用水水源保护区等环境敏感区。</w:t>
                  </w:r>
                </w:p>
              </w:tc>
              <w:tc>
                <w:tcPr>
                  <w:tcW w:w="925" w:type="dxa"/>
                  <w:vAlign w:val="center"/>
                </w:tcPr>
                <w:p w14:paraId="1BB41870">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42A65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6D29E3E1">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3680" w:type="dxa"/>
                  <w:vAlign w:val="center"/>
                </w:tcPr>
                <w:p w14:paraId="3C47EBA1">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户外变电工程及规划架空进出线选址选线时，应关注以居住、医疗卫生、文化教育、科研、行政办公等为主要功能的区域，采取综合措施，减少电磁和声环境影响。</w:t>
                  </w:r>
                </w:p>
              </w:tc>
              <w:tc>
                <w:tcPr>
                  <w:tcW w:w="3180" w:type="dxa"/>
                  <w:vAlign w:val="center"/>
                </w:tcPr>
                <w:p w14:paraId="7391894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本项目不涉及医疗卫生、文化教育、科研、行政办公等为主要功能的区域</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已尽量远离居住区</w:t>
                  </w:r>
                  <w:r>
                    <w:rPr>
                      <w:rFonts w:hint="default" w:ascii="Times New Roman" w:hAnsi="Times New Roman" w:cs="Times New Roman"/>
                      <w:color w:val="auto"/>
                      <w:szCs w:val="21"/>
                      <w:highlight w:val="none"/>
                    </w:rPr>
                    <w:t>。</w:t>
                  </w:r>
                </w:p>
              </w:tc>
              <w:tc>
                <w:tcPr>
                  <w:tcW w:w="925" w:type="dxa"/>
                  <w:vAlign w:val="center"/>
                </w:tcPr>
                <w:p w14:paraId="28868B7B">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32D6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331B7095">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3680" w:type="dxa"/>
                  <w:vAlign w:val="center"/>
                </w:tcPr>
                <w:p w14:paraId="3113CE8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同一走廊内的多回输电线路，宜采取同塔多回架设、并行架设等形式，减少新开辟走廊，优化线路走廊间距，降低环境影响。</w:t>
                  </w:r>
                </w:p>
              </w:tc>
              <w:tc>
                <w:tcPr>
                  <w:tcW w:w="3180" w:type="dxa"/>
                  <w:vAlign w:val="center"/>
                </w:tcPr>
                <w:p w14:paraId="2ED7C40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本项目线路</w:t>
                  </w:r>
                  <w:r>
                    <w:rPr>
                      <w:rFonts w:hint="default" w:ascii="Times New Roman" w:hAnsi="Times New Roman" w:cs="Times New Roman"/>
                      <w:color w:val="auto"/>
                      <w:szCs w:val="21"/>
                      <w:highlight w:val="none"/>
                      <w:lang w:val="en-US" w:eastAsia="zh-CN"/>
                    </w:rPr>
                    <w:t>已优化设计，优化线路走廊间距，降低对周围生态环境影响。</w:t>
                  </w:r>
                </w:p>
              </w:tc>
              <w:tc>
                <w:tcPr>
                  <w:tcW w:w="925" w:type="dxa"/>
                  <w:vAlign w:val="center"/>
                </w:tcPr>
                <w:p w14:paraId="423BCFA1">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5598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53A7FE6E">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3680" w:type="dxa"/>
                  <w:vAlign w:val="center"/>
                </w:tcPr>
                <w:p w14:paraId="0DC40D6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原则上避免在0类声环境功能区建设变电工程。</w:t>
                  </w:r>
                </w:p>
              </w:tc>
              <w:tc>
                <w:tcPr>
                  <w:tcW w:w="3180" w:type="dxa"/>
                  <w:vAlign w:val="center"/>
                </w:tcPr>
                <w:p w14:paraId="00C20FCD">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本项目新建变电站声环境功能区为</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类，不涉及0类声环境功能区。</w:t>
                  </w:r>
                </w:p>
              </w:tc>
              <w:tc>
                <w:tcPr>
                  <w:tcW w:w="925" w:type="dxa"/>
                  <w:vAlign w:val="center"/>
                </w:tcPr>
                <w:p w14:paraId="16A497C0">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2B9F1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65DFCA77">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3680" w:type="dxa"/>
                  <w:vAlign w:val="center"/>
                </w:tcPr>
                <w:p w14:paraId="6E45E46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变电工程选址时，应综合考虑减少土地占用、植被砍伐和弃土弃渣等，以减少对生态环境的不利影响。</w:t>
                  </w:r>
                </w:p>
              </w:tc>
              <w:tc>
                <w:tcPr>
                  <w:tcW w:w="3180" w:type="dxa"/>
                  <w:vAlign w:val="center"/>
                </w:tcPr>
                <w:p w14:paraId="5012CB0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default" w:ascii="Times New Roman" w:hAnsi="Times New Roman" w:cs="Times New Roman"/>
                      <w:color w:val="auto"/>
                      <w:szCs w:val="21"/>
                      <w:highlight w:val="none"/>
                      <w:lang w:eastAsia="zh-CN"/>
                    </w:rPr>
                    <w:t>新建变电站</w:t>
                  </w:r>
                  <w:r>
                    <w:rPr>
                      <w:rFonts w:hint="default" w:ascii="Times New Roman" w:hAnsi="Times New Roman" w:cs="Times New Roman"/>
                      <w:color w:val="auto"/>
                      <w:szCs w:val="21"/>
                      <w:highlight w:val="none"/>
                    </w:rPr>
                    <w:t>占地类型为</w:t>
                  </w:r>
                  <w:r>
                    <w:rPr>
                      <w:rFonts w:hint="eastAsia" w:cs="Times New Roman"/>
                      <w:color w:val="auto"/>
                      <w:szCs w:val="21"/>
                      <w:highlight w:val="none"/>
                      <w:lang w:val="en-US" w:eastAsia="zh-CN"/>
                    </w:rPr>
                    <w:t>旱地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变电站采用HGIS</w:t>
                  </w:r>
                  <w:r>
                    <w:rPr>
                      <w:rFonts w:hint="eastAsia" w:ascii="Times New Roman" w:hAnsi="Times New Roman" w:cs="Times New Roman"/>
                      <w:color w:val="auto"/>
                      <w:szCs w:val="21"/>
                      <w:highlight w:val="none"/>
                      <w:lang w:val="en-US" w:eastAsia="zh-CN"/>
                    </w:rPr>
                    <w:t>布置型式</w:t>
                  </w:r>
                  <w:r>
                    <w:rPr>
                      <w:rFonts w:hint="default" w:ascii="Times New Roman" w:hAnsi="Times New Roman" w:cs="Times New Roman"/>
                      <w:color w:val="auto"/>
                      <w:szCs w:val="21"/>
                      <w:highlight w:val="none"/>
                    </w:rPr>
                    <w:t>，减少了占地面积，占地范围内植被覆盖度低，减少了对生态环境的影响。</w:t>
                  </w:r>
                </w:p>
              </w:tc>
              <w:tc>
                <w:tcPr>
                  <w:tcW w:w="925" w:type="dxa"/>
                  <w:vAlign w:val="center"/>
                </w:tcPr>
                <w:p w14:paraId="2076D51D">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ED33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3A375D36">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3680" w:type="dxa"/>
                  <w:vAlign w:val="center"/>
                </w:tcPr>
                <w:p w14:paraId="402CE2BC">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输电线路宜避让集中林区，以减少林木砍伐，保护生态环境。</w:t>
                  </w:r>
                </w:p>
              </w:tc>
              <w:tc>
                <w:tcPr>
                  <w:tcW w:w="3180" w:type="dxa"/>
                  <w:vAlign w:val="center"/>
                </w:tcPr>
                <w:p w14:paraId="45DBB2C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本项目输电线路经过林地时，</w:t>
                  </w:r>
                  <w:r>
                    <w:rPr>
                      <w:rFonts w:hint="eastAsia" w:ascii="Times New Roman" w:hAnsi="Times New Roman" w:cs="Times New Roman"/>
                      <w:color w:val="auto"/>
                      <w:szCs w:val="21"/>
                      <w:highlight w:val="none"/>
                      <w:lang w:val="en-US" w:eastAsia="zh-CN"/>
                    </w:rPr>
                    <w:t>尽可能</w:t>
                  </w:r>
                  <w:r>
                    <w:rPr>
                      <w:rFonts w:hint="default" w:ascii="Times New Roman" w:hAnsi="Times New Roman" w:cs="Times New Roman"/>
                      <w:color w:val="auto"/>
                      <w:szCs w:val="21"/>
                      <w:highlight w:val="none"/>
                    </w:rPr>
                    <w:t>以高跨方式通过，减少了林木的砍伐，对不可避免要砍伐的林木，依法给予应有的赔偿。</w:t>
                  </w:r>
                </w:p>
              </w:tc>
              <w:tc>
                <w:tcPr>
                  <w:tcW w:w="925" w:type="dxa"/>
                  <w:vAlign w:val="center"/>
                </w:tcPr>
                <w:p w14:paraId="059B74E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519D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14:paraId="1F4454E8">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3680" w:type="dxa"/>
                  <w:vAlign w:val="center"/>
                </w:tcPr>
                <w:p w14:paraId="4459199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进入自然保护区的输电线路，应按照HJ19的要求开展生态现状调查，避让保护对象的集中分布区。</w:t>
                  </w:r>
                </w:p>
              </w:tc>
              <w:tc>
                <w:tcPr>
                  <w:tcW w:w="3180" w:type="dxa"/>
                  <w:vAlign w:val="center"/>
                </w:tcPr>
                <w:p w14:paraId="270DFD75">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本项目所在位置不涉及自然保护区</w:t>
                  </w:r>
                  <w:r>
                    <w:rPr>
                      <w:rFonts w:hint="eastAsia" w:ascii="Times New Roman" w:hAnsi="Times New Roman" w:cs="Times New Roman"/>
                      <w:color w:val="auto"/>
                      <w:szCs w:val="21"/>
                      <w:highlight w:val="none"/>
                      <w:lang w:eastAsia="zh-CN"/>
                    </w:rPr>
                    <w:t>。</w:t>
                  </w:r>
                </w:p>
              </w:tc>
              <w:tc>
                <w:tcPr>
                  <w:tcW w:w="925" w:type="dxa"/>
                  <w:vAlign w:val="center"/>
                </w:tcPr>
                <w:p w14:paraId="79B832D5">
                  <w:pPr>
                    <w:autoSpaceDE w:val="0"/>
                    <w:autoSpaceDN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1FC7401F">
            <w:pPr>
              <w:tabs>
                <w:tab w:val="left" w:pos="1470"/>
              </w:tabs>
              <w:spacing w:line="360" w:lineRule="auto"/>
              <w:ind w:firstLine="480" w:firstLineChars="200"/>
              <w:jc w:val="left"/>
              <w:rPr>
                <w:color w:val="auto"/>
                <w:sz w:val="24"/>
                <w:highlight w:val="none"/>
              </w:rPr>
            </w:pPr>
            <w:r>
              <w:rPr>
                <w:rFonts w:hint="default" w:ascii="Times New Roman" w:hAnsi="Times New Roman" w:cs="Times New Roman"/>
                <w:color w:val="auto"/>
                <w:sz w:val="24"/>
                <w:szCs w:val="24"/>
                <w:highlight w:val="none"/>
              </w:rPr>
              <w:t>综上，本</w:t>
            </w:r>
            <w:r>
              <w:rPr>
                <w:rFonts w:hint="default"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选址</w:t>
            </w:r>
            <w:r>
              <w:rPr>
                <w:rFonts w:hint="default" w:ascii="Times New Roman" w:hAnsi="Times New Roman" w:cs="Times New Roman"/>
                <w:color w:val="auto"/>
                <w:sz w:val="24"/>
                <w:szCs w:val="24"/>
                <w:highlight w:val="none"/>
              </w:rPr>
              <w:t>选线已避开了以医疗卫生、文化教育、科研、行政办公等为主要功能的区域，</w:t>
            </w:r>
            <w:r>
              <w:rPr>
                <w:rFonts w:hint="eastAsia" w:ascii="Times New Roman" w:hAnsi="Times New Roman" w:cs="Times New Roman"/>
                <w:color w:val="auto"/>
                <w:sz w:val="24"/>
                <w:szCs w:val="24"/>
                <w:highlight w:val="none"/>
                <w:lang w:val="en-US" w:eastAsia="zh-CN"/>
              </w:rPr>
              <w:t>已</w:t>
            </w:r>
            <w:r>
              <w:rPr>
                <w:rFonts w:hint="default" w:ascii="Times New Roman" w:hAnsi="Times New Roman" w:cs="Times New Roman"/>
                <w:color w:val="auto"/>
                <w:sz w:val="24"/>
                <w:szCs w:val="24"/>
                <w:highlight w:val="none"/>
                <w:lang w:val="en-US" w:eastAsia="zh-CN"/>
              </w:rPr>
              <w:t>尽量远离居住区</w:t>
            </w:r>
            <w:r>
              <w:rPr>
                <w:rFonts w:hint="eastAsia" w:ascii="Times New Roman" w:hAnsi="Times New Roman" w:cs="Times New Roman"/>
                <w:color w:val="auto"/>
                <w:sz w:val="24"/>
                <w:szCs w:val="24"/>
                <w:highlight w:val="none"/>
                <w:lang w:val="en-US" w:eastAsia="zh-CN"/>
              </w:rPr>
              <w:t>；项目不涉及</w:t>
            </w:r>
            <w:r>
              <w:rPr>
                <w:rFonts w:hint="default" w:ascii="Times New Roman" w:hAnsi="Times New Roman" w:cs="Times New Roman"/>
                <w:color w:val="auto"/>
                <w:sz w:val="24"/>
                <w:szCs w:val="24"/>
                <w:highlight w:val="none"/>
                <w:lang w:val="en-US" w:eastAsia="zh-CN"/>
              </w:rPr>
              <w:t>自然保护区、饮用水水源保护区等环境敏感区</w:t>
            </w:r>
            <w:r>
              <w:rPr>
                <w:rFonts w:hint="eastAsia" w:ascii="Times New Roman" w:hAnsi="Times New Roman" w:cs="Times New Roman"/>
                <w:color w:val="auto"/>
                <w:sz w:val="24"/>
                <w:szCs w:val="24"/>
                <w:highlight w:val="none"/>
                <w:lang w:val="en-US" w:eastAsia="zh-CN"/>
              </w:rPr>
              <w:t>。线路</w:t>
            </w:r>
            <w:r>
              <w:rPr>
                <w:rFonts w:hint="default" w:ascii="Times New Roman" w:hAnsi="Times New Roman" w:cs="Times New Roman"/>
                <w:color w:val="auto"/>
                <w:sz w:val="24"/>
                <w:szCs w:val="24"/>
                <w:highlight w:val="none"/>
              </w:rPr>
              <w:t>优化设计，</w:t>
            </w:r>
            <w:r>
              <w:rPr>
                <w:color w:val="auto"/>
                <w:sz w:val="24"/>
                <w:highlight w:val="none"/>
              </w:rPr>
              <w:t>减少了线路走廊的开辟、土地占用、植被破坏、土石方产生量及土壤扰动量</w:t>
            </w:r>
            <w:r>
              <w:rPr>
                <w:rFonts w:hint="eastAsia"/>
                <w:color w:val="auto"/>
                <w:sz w:val="24"/>
                <w:highlight w:val="none"/>
                <w:lang w:eastAsia="zh-CN"/>
              </w:rPr>
              <w:t>；</w:t>
            </w:r>
            <w:r>
              <w:rPr>
                <w:rFonts w:hint="default"/>
                <w:color w:val="auto"/>
                <w:sz w:val="24"/>
                <w:highlight w:val="none"/>
                <w:lang w:val="en-US" w:eastAsia="zh-CN"/>
              </w:rPr>
              <w:t>优化线路路径，</w:t>
            </w:r>
            <w:r>
              <w:rPr>
                <w:rFonts w:hint="eastAsia"/>
                <w:color w:val="auto"/>
                <w:sz w:val="24"/>
                <w:highlight w:val="none"/>
                <w:lang w:val="en-US" w:eastAsia="zh-CN"/>
              </w:rPr>
              <w:t>尽可能避让</w:t>
            </w:r>
            <w:r>
              <w:rPr>
                <w:rFonts w:hint="default" w:ascii="Times New Roman" w:hAnsi="Times New Roman" w:cs="Times New Roman"/>
                <w:bCs/>
                <w:color w:val="auto"/>
                <w:sz w:val="24"/>
                <w:highlight w:val="none"/>
                <w:lang w:val="en-US" w:eastAsia="zh-CN"/>
              </w:rPr>
              <w:t>盘山水源涵养、生物多样性维护生态保护红线</w:t>
            </w:r>
            <w:r>
              <w:rPr>
                <w:rFonts w:hint="eastAsia" w:cs="Times New Roman"/>
                <w:bCs/>
                <w:color w:val="auto"/>
                <w:sz w:val="24"/>
                <w:highlight w:val="none"/>
                <w:lang w:val="en-US" w:eastAsia="zh-CN"/>
              </w:rPr>
              <w:t>，在生态保护红线范围内无永久、临时占地</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lang w:val="en-US" w:eastAsia="zh-CN"/>
              </w:rPr>
              <w:t>在采取本次评价提出的各项环境保护措施后，对周围生态环境尤其是******的影响可接受。</w:t>
            </w:r>
            <w:r>
              <w:rPr>
                <w:rFonts w:hint="default" w:ascii="Times New Roman" w:hAnsi="Times New Roman" w:cs="Times New Roman"/>
                <w:color w:val="auto"/>
                <w:sz w:val="24"/>
                <w:highlight w:val="none"/>
              </w:rPr>
              <w:t>因此，从环境保护角度，本项目选址选线是可行的。</w:t>
            </w:r>
          </w:p>
          <w:p w14:paraId="09B50715">
            <w:pPr>
              <w:autoSpaceDE w:val="0"/>
              <w:autoSpaceDN w:val="0"/>
              <w:spacing w:line="360" w:lineRule="auto"/>
              <w:ind w:firstLine="482" w:firstLineChars="200"/>
              <w:jc w:val="left"/>
              <w:rPr>
                <w:b/>
                <w:bCs/>
                <w:color w:val="auto"/>
                <w:sz w:val="24"/>
                <w:highlight w:val="none"/>
              </w:rPr>
            </w:pPr>
            <w:r>
              <w:rPr>
                <w:b/>
                <w:bCs/>
                <w:color w:val="auto"/>
                <w:sz w:val="24"/>
                <w:highlight w:val="none"/>
              </w:rPr>
              <w:t>2、线路路径协议情况</w:t>
            </w:r>
          </w:p>
          <w:p w14:paraId="45D80E31">
            <w:pPr>
              <w:pStyle w:val="11"/>
              <w:keepNext w:val="0"/>
              <w:keepLines w:val="0"/>
              <w:pageBreakBefore w:val="0"/>
              <w:widowControl w:val="0"/>
              <w:kinsoku/>
              <w:wordWrap/>
              <w:overflowPunct/>
              <w:topLinePunct w:val="0"/>
              <w:autoSpaceDE/>
              <w:autoSpaceDN/>
              <w:bidi w:val="0"/>
              <w:adjustRightInd/>
              <w:snapToGrid/>
              <w:spacing w:before="0" w:after="0" w:line="360" w:lineRule="auto"/>
              <w:ind w:right="113" w:firstLine="480" w:firstLineChars="200"/>
              <w:jc w:val="left"/>
              <w:textAlignment w:val="auto"/>
              <w:rPr>
                <w:b/>
                <w:bCs/>
                <w:color w:val="auto"/>
                <w:sz w:val="24"/>
                <w:highlight w:val="none"/>
              </w:rPr>
            </w:pPr>
            <w:r>
              <w:rPr>
                <w:rFonts w:ascii="Times New Roman" w:hAnsi="Times New Roman"/>
                <w:color w:val="auto"/>
                <w:sz w:val="24"/>
                <w:highlight w:val="none"/>
              </w:rPr>
              <w:t>本项目已取得线路沿线相关部门的选线意见，</w:t>
            </w:r>
            <w:r>
              <w:rPr>
                <w:rFonts w:hint="eastAsia" w:ascii="Times New Roman" w:hAnsi="Times New Roman"/>
                <w:color w:val="auto"/>
                <w:sz w:val="24"/>
                <w:highlight w:val="none"/>
                <w:lang w:val="en-US" w:eastAsia="zh-CN"/>
              </w:rPr>
              <w:t>具体</w:t>
            </w:r>
            <w:r>
              <w:rPr>
                <w:rFonts w:ascii="Times New Roman" w:hAnsi="Times New Roman"/>
                <w:color w:val="auto"/>
                <w:sz w:val="24"/>
                <w:highlight w:val="none"/>
              </w:rPr>
              <w:t>见表4-</w:t>
            </w:r>
            <w:r>
              <w:rPr>
                <w:rFonts w:hint="eastAsia" w:ascii="Times New Roman" w:hAnsi="Times New Roman"/>
                <w:color w:val="auto"/>
                <w:sz w:val="24"/>
                <w:highlight w:val="none"/>
              </w:rPr>
              <w:t>1</w:t>
            </w:r>
            <w:r>
              <w:rPr>
                <w:rFonts w:hint="eastAsia" w:ascii="Times New Roman" w:hAnsi="Times New Roman"/>
                <w:color w:val="auto"/>
                <w:sz w:val="24"/>
                <w:highlight w:val="none"/>
                <w:lang w:val="en-US" w:eastAsia="zh-CN"/>
              </w:rPr>
              <w:t>6</w:t>
            </w:r>
            <w:r>
              <w:rPr>
                <w:rFonts w:ascii="Times New Roman" w:hAnsi="Times New Roman"/>
                <w:color w:val="auto"/>
                <w:sz w:val="24"/>
                <w:highlight w:val="none"/>
              </w:rPr>
              <w:t>。</w:t>
            </w:r>
          </w:p>
          <w:p w14:paraId="0CA541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highlight w:val="none"/>
              </w:rPr>
            </w:pPr>
            <w:r>
              <w:rPr>
                <w:rFonts w:hint="default" w:ascii="Times New Roman" w:hAnsi="Times New Roman" w:eastAsia="黑体" w:cs="Times New Roman"/>
                <w:b/>
                <w:bCs/>
                <w:color w:val="auto"/>
                <w:sz w:val="24"/>
                <w:highlight w:val="none"/>
              </w:rPr>
              <w:t>表4-1</w:t>
            </w:r>
            <w:r>
              <w:rPr>
                <w:rFonts w:hint="eastAsia" w:eastAsia="黑体" w:cs="Times New Roman"/>
                <w:b/>
                <w:bCs/>
                <w:color w:val="auto"/>
                <w:sz w:val="24"/>
                <w:highlight w:val="none"/>
                <w:lang w:val="en-US" w:eastAsia="zh-CN"/>
              </w:rPr>
              <w:t>6</w:t>
            </w:r>
            <w:r>
              <w:rPr>
                <w:rFonts w:hint="default" w:ascii="Times New Roman" w:hAnsi="Times New Roman" w:eastAsia="黑体" w:cs="Times New Roman"/>
                <w:b/>
                <w:bCs/>
                <w:color w:val="auto"/>
                <w:sz w:val="24"/>
                <w:highlight w:val="none"/>
              </w:rPr>
              <w:t xml:space="preserve">  </w:t>
            </w:r>
            <w:r>
              <w:rPr>
                <w:rFonts w:hint="eastAsia" w:eastAsia="黑体" w:cs="Times New Roman"/>
                <w:b/>
                <w:bCs/>
                <w:color w:val="auto"/>
                <w:sz w:val="24"/>
                <w:highlight w:val="none"/>
                <w:lang w:val="en-US" w:eastAsia="zh-CN"/>
              </w:rPr>
              <w:t>本</w:t>
            </w:r>
            <w:r>
              <w:rPr>
                <w:rFonts w:hint="eastAsia" w:ascii="Times New Roman" w:hAnsi="Times New Roman" w:eastAsia="黑体" w:cs="Times New Roman"/>
                <w:b/>
                <w:bCs/>
                <w:color w:val="auto"/>
                <w:sz w:val="24"/>
                <w:highlight w:val="none"/>
                <w:lang w:val="en-US" w:eastAsia="zh-CN"/>
              </w:rPr>
              <w:t>项目</w:t>
            </w:r>
            <w:r>
              <w:rPr>
                <w:rFonts w:hint="default" w:ascii="Times New Roman" w:hAnsi="Times New Roman" w:eastAsia="黑体" w:cs="Times New Roman"/>
                <w:b/>
                <w:bCs/>
                <w:color w:val="auto"/>
                <w:sz w:val="24"/>
                <w:highlight w:val="none"/>
              </w:rPr>
              <w:t>选线意见一览表</w:t>
            </w:r>
          </w:p>
          <w:tbl>
            <w:tblPr>
              <w:tblStyle w:val="29"/>
              <w:tblW w:w="8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965"/>
              <w:gridCol w:w="4185"/>
              <w:gridCol w:w="1561"/>
            </w:tblGrid>
            <w:tr w14:paraId="656C0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vAlign w:val="center"/>
                </w:tcPr>
                <w:p w14:paraId="3AC8C694">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1965" w:type="dxa"/>
                  <w:tcBorders>
                    <w:tl2br w:val="nil"/>
                    <w:tr2bl w:val="nil"/>
                  </w:tcBorders>
                  <w:vAlign w:val="center"/>
                </w:tcPr>
                <w:p w14:paraId="61BF06E6">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部门</w:t>
                  </w:r>
                </w:p>
              </w:tc>
              <w:tc>
                <w:tcPr>
                  <w:tcW w:w="4185" w:type="dxa"/>
                  <w:tcBorders>
                    <w:tl2br w:val="nil"/>
                    <w:tr2bl w:val="nil"/>
                  </w:tcBorders>
                  <w:vAlign w:val="center"/>
                </w:tcPr>
                <w:p w14:paraId="4376EE09">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意见</w:t>
                  </w:r>
                </w:p>
              </w:tc>
              <w:tc>
                <w:tcPr>
                  <w:tcW w:w="1561" w:type="dxa"/>
                  <w:tcBorders>
                    <w:tl2br w:val="nil"/>
                    <w:tr2bl w:val="nil"/>
                  </w:tcBorders>
                  <w:vAlign w:val="center"/>
                </w:tcPr>
                <w:p w14:paraId="4496BA0B">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落实情况</w:t>
                  </w:r>
                </w:p>
              </w:tc>
            </w:tr>
            <w:tr w14:paraId="785BE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dxa"/>
                  <w:tcBorders>
                    <w:tl2br w:val="nil"/>
                    <w:tr2bl w:val="nil"/>
                  </w:tcBorders>
                  <w:shd w:val="clear" w:color="auto" w:fill="auto"/>
                  <w:vAlign w:val="center"/>
                </w:tcPr>
                <w:p w14:paraId="7D067B25">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1</w:t>
                  </w:r>
                </w:p>
              </w:tc>
              <w:tc>
                <w:tcPr>
                  <w:tcW w:w="1965" w:type="dxa"/>
                  <w:tcBorders>
                    <w:tl2br w:val="nil"/>
                    <w:tr2bl w:val="nil"/>
                  </w:tcBorders>
                  <w:shd w:val="clear" w:color="auto" w:fill="auto"/>
                  <w:vAlign w:val="center"/>
                </w:tcPr>
                <w:p w14:paraId="2119B790">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隆德县自然资源局</w:t>
                  </w:r>
                </w:p>
              </w:tc>
              <w:tc>
                <w:tcPr>
                  <w:tcW w:w="4185" w:type="dxa"/>
                  <w:tcBorders>
                    <w:tl2br w:val="nil"/>
                    <w:tr2bl w:val="nil"/>
                  </w:tcBorders>
                  <w:shd w:val="clear" w:color="auto" w:fill="auto"/>
                  <w:vAlign w:val="center"/>
                </w:tcPr>
                <w:p w14:paraId="7CAF36F8">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原则同意该工程可研阶段设计，后续施工期间按相关要求办理手续</w:t>
                  </w:r>
                  <w:r>
                    <w:rPr>
                      <w:rFonts w:hint="eastAsia" w:ascii="Times New Roman" w:hAnsi="Times New Roman" w:cs="Times New Roman"/>
                      <w:b w:val="0"/>
                      <w:color w:val="auto"/>
                      <w:kern w:val="0"/>
                      <w:sz w:val="21"/>
                      <w:szCs w:val="21"/>
                      <w:highlight w:val="none"/>
                      <w:lang w:val="en-US" w:eastAsia="zh-CN"/>
                    </w:rPr>
                    <w:t>。</w:t>
                  </w:r>
                </w:p>
              </w:tc>
              <w:tc>
                <w:tcPr>
                  <w:tcW w:w="1561" w:type="dxa"/>
                  <w:tcBorders>
                    <w:tl2br w:val="nil"/>
                    <w:tr2bl w:val="nil"/>
                  </w:tcBorders>
                  <w:vAlign w:val="center"/>
                </w:tcPr>
                <w:p w14:paraId="68DCC41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后续按照协议要求进行落实</w:t>
                  </w:r>
                </w:p>
              </w:tc>
            </w:tr>
            <w:tr w14:paraId="11531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785DA289">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2</w:t>
                  </w:r>
                </w:p>
              </w:tc>
              <w:tc>
                <w:tcPr>
                  <w:tcW w:w="1965" w:type="dxa"/>
                  <w:tcBorders>
                    <w:tl2br w:val="nil"/>
                    <w:tr2bl w:val="nil"/>
                  </w:tcBorders>
                  <w:shd w:val="clear" w:color="auto" w:fill="auto"/>
                  <w:vAlign w:val="center"/>
                </w:tcPr>
                <w:p w14:paraId="093A527B">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隆德县发展改革和科学技术局</w:t>
                  </w:r>
                </w:p>
              </w:tc>
              <w:tc>
                <w:tcPr>
                  <w:tcW w:w="4185" w:type="dxa"/>
                  <w:tcBorders>
                    <w:tl2br w:val="nil"/>
                    <w:tr2bl w:val="nil"/>
                  </w:tcBorders>
                  <w:shd w:val="clear" w:color="auto" w:fill="auto"/>
                  <w:vAlign w:val="center"/>
                </w:tcPr>
                <w:p w14:paraId="3B3163C5">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原则同意建设</w:t>
                  </w:r>
                  <w:r>
                    <w:rPr>
                      <w:rFonts w:hint="eastAsia" w:ascii="Times New Roman" w:hAnsi="Times New Roman" w:cs="Times New Roman"/>
                      <w:b w:val="0"/>
                      <w:color w:val="auto"/>
                      <w:kern w:val="0"/>
                      <w:sz w:val="21"/>
                      <w:szCs w:val="21"/>
                      <w:highlight w:val="none"/>
                      <w:lang w:val="en-US" w:eastAsia="zh-CN"/>
                    </w:rPr>
                    <w:t>。</w:t>
                  </w:r>
                </w:p>
              </w:tc>
              <w:tc>
                <w:tcPr>
                  <w:tcW w:w="1561" w:type="dxa"/>
                  <w:tcBorders>
                    <w:tl2br w:val="nil"/>
                    <w:tr2bl w:val="nil"/>
                  </w:tcBorders>
                  <w:vAlign w:val="center"/>
                </w:tcPr>
                <w:p w14:paraId="70CD5C1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E8DD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3C579C5F">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3</w:t>
                  </w:r>
                </w:p>
              </w:tc>
              <w:tc>
                <w:tcPr>
                  <w:tcW w:w="1965" w:type="dxa"/>
                  <w:tcBorders>
                    <w:tl2br w:val="nil"/>
                    <w:tr2bl w:val="nil"/>
                  </w:tcBorders>
                  <w:shd w:val="clear" w:color="auto" w:fill="auto"/>
                  <w:vAlign w:val="center"/>
                </w:tcPr>
                <w:p w14:paraId="132D76FA">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隆德</w:t>
                  </w:r>
                  <w:r>
                    <w:rPr>
                      <w:rFonts w:hint="default" w:ascii="Times New Roman" w:hAnsi="Times New Roman" w:cs="Times New Roman"/>
                      <w:b w:val="0"/>
                      <w:color w:val="auto"/>
                      <w:kern w:val="0"/>
                      <w:sz w:val="21"/>
                      <w:szCs w:val="21"/>
                      <w:highlight w:val="none"/>
                    </w:rPr>
                    <w:t>县</w:t>
                  </w:r>
                  <w:r>
                    <w:rPr>
                      <w:rFonts w:hint="default" w:ascii="Times New Roman" w:hAnsi="Times New Roman" w:cs="Times New Roman"/>
                      <w:b w:val="0"/>
                      <w:color w:val="auto"/>
                      <w:kern w:val="0"/>
                      <w:sz w:val="21"/>
                      <w:szCs w:val="21"/>
                      <w:highlight w:val="none"/>
                      <w:lang w:val="en-US" w:eastAsia="zh-CN"/>
                    </w:rPr>
                    <w:t>城乡建设和</w:t>
                  </w:r>
                  <w:r>
                    <w:rPr>
                      <w:rFonts w:hint="default" w:ascii="Times New Roman" w:hAnsi="Times New Roman" w:cs="Times New Roman"/>
                      <w:b w:val="0"/>
                      <w:color w:val="auto"/>
                      <w:kern w:val="0"/>
                      <w:sz w:val="21"/>
                      <w:szCs w:val="21"/>
                      <w:highlight w:val="none"/>
                    </w:rPr>
                    <w:t>交通运输局</w:t>
                  </w:r>
                </w:p>
              </w:tc>
              <w:tc>
                <w:tcPr>
                  <w:tcW w:w="4185" w:type="dxa"/>
                  <w:tcBorders>
                    <w:tl2br w:val="nil"/>
                    <w:tr2bl w:val="nil"/>
                  </w:tcBorders>
                  <w:shd w:val="clear" w:color="auto" w:fill="auto"/>
                  <w:vAlign w:val="center"/>
                </w:tcPr>
                <w:p w14:paraId="0816BAC9">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建议对跨越的乡村公路，严格按两侧15米红线控制。</w:t>
                  </w:r>
                </w:p>
              </w:tc>
              <w:tc>
                <w:tcPr>
                  <w:tcW w:w="1561" w:type="dxa"/>
                  <w:tcBorders>
                    <w:tl2br w:val="nil"/>
                    <w:tr2bl w:val="nil"/>
                  </w:tcBorders>
                  <w:vAlign w:val="center"/>
                </w:tcPr>
                <w:p w14:paraId="6B08756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后续按照协议要求进行落实</w:t>
                  </w:r>
                </w:p>
              </w:tc>
            </w:tr>
            <w:tr w14:paraId="15875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6187B2E0">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4</w:t>
                  </w:r>
                </w:p>
              </w:tc>
              <w:tc>
                <w:tcPr>
                  <w:tcW w:w="1965" w:type="dxa"/>
                  <w:tcBorders>
                    <w:tl2br w:val="nil"/>
                    <w:tr2bl w:val="nil"/>
                  </w:tcBorders>
                  <w:shd w:val="clear" w:color="auto" w:fill="auto"/>
                  <w:vAlign w:val="center"/>
                </w:tcPr>
                <w:p w14:paraId="25051D8F">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隆德县水务局</w:t>
                  </w:r>
                </w:p>
              </w:tc>
              <w:tc>
                <w:tcPr>
                  <w:tcW w:w="4185" w:type="dxa"/>
                  <w:tcBorders>
                    <w:tl2br w:val="nil"/>
                    <w:tr2bl w:val="nil"/>
                  </w:tcBorders>
                  <w:shd w:val="clear" w:color="auto" w:fill="auto"/>
                  <w:vAlign w:val="center"/>
                </w:tcPr>
                <w:p w14:paraId="2DE637E8">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经核查，宁夏固原将渝线改接张程变110kV线路工程路径塔基均未在河道、水库管理范围内埋设。若塔基埋设位置有变，坚决不能在河道、水库管理范围内埋设，并及时与隆德水务局对接。</w:t>
                  </w:r>
                </w:p>
              </w:tc>
              <w:tc>
                <w:tcPr>
                  <w:tcW w:w="1561" w:type="dxa"/>
                  <w:tcBorders>
                    <w:tl2br w:val="nil"/>
                    <w:tr2bl w:val="nil"/>
                  </w:tcBorders>
                  <w:vAlign w:val="center"/>
                </w:tcPr>
                <w:p w14:paraId="73FB94C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后续按照协议要求进行落实</w:t>
                  </w:r>
                </w:p>
              </w:tc>
            </w:tr>
            <w:tr w14:paraId="0CA25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0398AB8F">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5</w:t>
                  </w:r>
                </w:p>
              </w:tc>
              <w:tc>
                <w:tcPr>
                  <w:tcW w:w="1965" w:type="dxa"/>
                  <w:tcBorders>
                    <w:tl2br w:val="nil"/>
                    <w:tr2bl w:val="nil"/>
                  </w:tcBorders>
                  <w:shd w:val="clear" w:color="auto" w:fill="auto"/>
                  <w:vAlign w:val="center"/>
                </w:tcPr>
                <w:p w14:paraId="7B5B5D5F">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隆德县文化旅游广电局</w:t>
                  </w:r>
                </w:p>
              </w:tc>
              <w:tc>
                <w:tcPr>
                  <w:tcW w:w="4185" w:type="dxa"/>
                  <w:tcBorders>
                    <w:tl2br w:val="nil"/>
                    <w:tr2bl w:val="nil"/>
                  </w:tcBorders>
                  <w:shd w:val="clear" w:color="auto" w:fill="auto"/>
                  <w:vAlign w:val="center"/>
                </w:tcPr>
                <w:p w14:paraId="12FA4573">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经我局审核，该工程拟建线路方案一规划建设范围内暂不涉及文物保护单位和尚未核定为文物保护单位的不可移动文物，原则同意该项目当前设计方案。</w:t>
                  </w:r>
                </w:p>
              </w:tc>
              <w:tc>
                <w:tcPr>
                  <w:tcW w:w="1561" w:type="dxa"/>
                  <w:tcBorders>
                    <w:tl2br w:val="nil"/>
                    <w:tr2bl w:val="nil"/>
                  </w:tcBorders>
                  <w:vAlign w:val="center"/>
                </w:tcPr>
                <w:p w14:paraId="2646FE9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后续按照协议要求进行落实</w:t>
                  </w:r>
                </w:p>
              </w:tc>
            </w:tr>
            <w:tr w14:paraId="65AB2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4A35A350">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6</w:t>
                  </w:r>
                </w:p>
              </w:tc>
              <w:tc>
                <w:tcPr>
                  <w:tcW w:w="1965" w:type="dxa"/>
                  <w:tcBorders>
                    <w:tl2br w:val="nil"/>
                    <w:tr2bl w:val="nil"/>
                  </w:tcBorders>
                  <w:shd w:val="clear" w:color="auto" w:fill="auto"/>
                  <w:vAlign w:val="center"/>
                </w:tcPr>
                <w:p w14:paraId="12F4022E">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固原市生态环境局隆德分局</w:t>
                  </w:r>
                </w:p>
              </w:tc>
              <w:tc>
                <w:tcPr>
                  <w:tcW w:w="4185" w:type="dxa"/>
                  <w:tcBorders>
                    <w:tl2br w:val="nil"/>
                    <w:tr2bl w:val="nil"/>
                  </w:tcBorders>
                  <w:shd w:val="clear" w:color="auto" w:fill="auto"/>
                  <w:vAlign w:val="center"/>
                </w:tcPr>
                <w:p w14:paraId="06C7206A">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rPr>
                    <w:t>按规定履行环评手续</w:t>
                  </w:r>
                  <w:r>
                    <w:rPr>
                      <w:rFonts w:hint="eastAsia" w:ascii="Times New Roman" w:hAnsi="Times New Roman" w:cs="Times New Roman"/>
                      <w:b w:val="0"/>
                      <w:color w:val="auto"/>
                      <w:kern w:val="0"/>
                      <w:sz w:val="21"/>
                      <w:szCs w:val="21"/>
                      <w:highlight w:val="none"/>
                      <w:lang w:val="en-US" w:eastAsia="zh-CN"/>
                    </w:rPr>
                    <w:t>。</w:t>
                  </w:r>
                </w:p>
              </w:tc>
              <w:tc>
                <w:tcPr>
                  <w:tcW w:w="1561" w:type="dxa"/>
                  <w:tcBorders>
                    <w:tl2br w:val="nil"/>
                    <w:tr2bl w:val="nil"/>
                  </w:tcBorders>
                  <w:vAlign w:val="center"/>
                </w:tcPr>
                <w:p w14:paraId="203328A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环评手续正在履行中</w:t>
                  </w:r>
                </w:p>
              </w:tc>
            </w:tr>
            <w:tr w14:paraId="1E9D3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3" w:type="dxa"/>
                  <w:tcBorders>
                    <w:tl2br w:val="nil"/>
                    <w:tr2bl w:val="nil"/>
                  </w:tcBorders>
                  <w:shd w:val="clear" w:color="auto" w:fill="auto"/>
                  <w:vAlign w:val="center"/>
                </w:tcPr>
                <w:p w14:paraId="72F35B31">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7</w:t>
                  </w:r>
                </w:p>
              </w:tc>
              <w:tc>
                <w:tcPr>
                  <w:tcW w:w="1965" w:type="dxa"/>
                  <w:tcBorders>
                    <w:tl2br w:val="nil"/>
                    <w:tr2bl w:val="nil"/>
                  </w:tcBorders>
                  <w:shd w:val="clear" w:color="auto" w:fill="auto"/>
                  <w:vAlign w:val="center"/>
                </w:tcPr>
                <w:p w14:paraId="76C71581">
                  <w:pPr>
                    <w:adjustRightInd w:val="0"/>
                    <w:snapToGrid w:val="0"/>
                    <w:jc w:val="center"/>
                    <w:textAlignment w:val="baseline"/>
                    <w:rPr>
                      <w:rFonts w:hint="default" w:ascii="Times New Roman" w:hAnsi="Times New Roman" w:cs="Times New Roman"/>
                      <w:b w:val="0"/>
                      <w:color w:val="auto"/>
                      <w:kern w:val="0"/>
                      <w:sz w:val="21"/>
                      <w:szCs w:val="21"/>
                      <w:highlight w:val="none"/>
                      <w:lang w:val="en-US" w:eastAsia="zh-CN"/>
                    </w:rPr>
                  </w:pPr>
                  <w:r>
                    <w:rPr>
                      <w:rFonts w:hint="default" w:ascii="Times New Roman" w:hAnsi="Times New Roman" w:cs="Times New Roman"/>
                      <w:b w:val="0"/>
                      <w:color w:val="auto"/>
                      <w:kern w:val="0"/>
                      <w:sz w:val="21"/>
                      <w:szCs w:val="21"/>
                      <w:highlight w:val="none"/>
                      <w:lang w:val="en-US" w:eastAsia="zh-CN"/>
                    </w:rPr>
                    <w:t>******人民政府</w:t>
                  </w:r>
                </w:p>
              </w:tc>
              <w:tc>
                <w:tcPr>
                  <w:tcW w:w="4185" w:type="dxa"/>
                  <w:tcBorders>
                    <w:tl2br w:val="nil"/>
                    <w:tr2bl w:val="nil"/>
                  </w:tcBorders>
                  <w:shd w:val="clear" w:color="auto" w:fill="auto"/>
                  <w:vAlign w:val="center"/>
                </w:tcPr>
                <w:p w14:paraId="7CFE656D">
                  <w:pPr>
                    <w:adjustRightInd w:val="0"/>
                    <w:snapToGrid w:val="0"/>
                    <w:jc w:val="center"/>
                    <w:textAlignment w:val="baseline"/>
                    <w:rPr>
                      <w:rFonts w:hint="default" w:ascii="Times New Roman" w:hAnsi="Times New Roman" w:eastAsia="宋体" w:cs="Times New Roman"/>
                      <w:b w:val="0"/>
                      <w:color w:val="auto"/>
                      <w:kern w:val="0"/>
                      <w:sz w:val="21"/>
                      <w:szCs w:val="21"/>
                      <w:highlight w:val="none"/>
                      <w:lang w:val="en-US" w:eastAsia="zh-CN" w:bidi="ar-SA"/>
                    </w:rPr>
                  </w:pPr>
                  <w:r>
                    <w:rPr>
                      <w:rFonts w:hint="eastAsia" w:ascii="Times New Roman" w:hAnsi="Times New Roman" w:cs="Times New Roman"/>
                      <w:b w:val="0"/>
                      <w:color w:val="auto"/>
                      <w:kern w:val="0"/>
                      <w:sz w:val="21"/>
                      <w:szCs w:val="21"/>
                      <w:highlight w:val="none"/>
                      <w:lang w:val="en-US" w:eastAsia="zh-CN"/>
                    </w:rPr>
                    <w:t>建议避开生态红线区、基本农田、居住区等安全因素；变电站建议和所涉及村委会提前沟通选址；所涉及征地、赔偿等工作应按相应标准、相应程序提前做好；安全风险评估要尽量做细、做实。</w:t>
                  </w:r>
                </w:p>
              </w:tc>
              <w:tc>
                <w:tcPr>
                  <w:tcW w:w="1561" w:type="dxa"/>
                  <w:tcBorders>
                    <w:tl2br w:val="nil"/>
                    <w:tr2bl w:val="nil"/>
                  </w:tcBorders>
                  <w:vAlign w:val="center"/>
                </w:tcPr>
                <w:p w14:paraId="468605E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后续按照协议要求进行落实</w:t>
                  </w:r>
                </w:p>
              </w:tc>
            </w:tr>
          </w:tbl>
          <w:p w14:paraId="6DCBFADF">
            <w:pPr>
              <w:pStyle w:val="11"/>
              <w:snapToGrid w:val="0"/>
              <w:spacing w:line="360" w:lineRule="auto"/>
              <w:ind w:left="0" w:leftChars="0" w:firstLine="0" w:firstLineChars="0"/>
              <w:jc w:val="left"/>
              <w:rPr>
                <w:rFonts w:ascii="Times New Roman" w:hAnsi="Times New Roman"/>
                <w:color w:val="auto"/>
                <w:sz w:val="24"/>
                <w:highlight w:val="none"/>
              </w:rPr>
            </w:pPr>
          </w:p>
        </w:tc>
      </w:tr>
    </w:tbl>
    <w:p w14:paraId="4C5E8ED6">
      <w:pPr>
        <w:pStyle w:val="26"/>
        <w:jc w:val="center"/>
        <w:outlineLvl w:val="0"/>
        <w:rPr>
          <w:rFonts w:ascii="Times New Roman" w:hAnsi="Times New Roman" w:eastAsia="黑体"/>
          <w:snapToGrid w:val="0"/>
          <w:color w:val="auto"/>
          <w:sz w:val="30"/>
          <w:szCs w:val="30"/>
          <w:highlight w:val="none"/>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629A8148">
      <w:pPr>
        <w:pStyle w:val="26"/>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41" w:name="_Toc22133"/>
      <w:r>
        <w:rPr>
          <w:rFonts w:ascii="Times New Roman" w:hAnsi="Times New Roman" w:eastAsia="黑体"/>
          <w:b/>
          <w:bCs/>
          <w:snapToGrid w:val="0"/>
          <w:color w:val="auto"/>
          <w:sz w:val="30"/>
          <w:szCs w:val="30"/>
          <w:highlight w:val="none"/>
        </w:rPr>
        <w:t>五、主要生态环境保护措施</w:t>
      </w:r>
      <w:bookmarkEnd w:id="41"/>
    </w:p>
    <w:tbl>
      <w:tblPr>
        <w:tblStyle w:val="28"/>
        <w:tblW w:w="94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692"/>
      </w:tblGrid>
      <w:tr w14:paraId="13907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780" w:type="dxa"/>
            <w:tcMar>
              <w:left w:w="28" w:type="dxa"/>
              <w:right w:w="28" w:type="dxa"/>
            </w:tcMar>
            <w:vAlign w:val="center"/>
          </w:tcPr>
          <w:p w14:paraId="5C5E8351">
            <w:pPr>
              <w:adjustRightInd w:val="0"/>
              <w:snapToGrid w:val="0"/>
              <w:jc w:val="center"/>
              <w:rPr>
                <w:bCs/>
                <w:color w:val="auto"/>
                <w:szCs w:val="21"/>
                <w:highlight w:val="none"/>
              </w:rPr>
            </w:pPr>
            <w:r>
              <w:rPr>
                <w:bCs/>
                <w:color w:val="auto"/>
                <w:spacing w:val="10"/>
                <w:sz w:val="24"/>
                <w:highlight w:val="none"/>
              </w:rPr>
              <w:t>施工期生态环境保护措施</w:t>
            </w:r>
          </w:p>
        </w:tc>
        <w:tc>
          <w:tcPr>
            <w:tcW w:w="8692" w:type="dxa"/>
          </w:tcPr>
          <w:p w14:paraId="30E0A44D">
            <w:pPr>
              <w:keepNext w:val="0"/>
              <w:keepLines w:val="0"/>
              <w:pageBreakBefore w:val="0"/>
              <w:kinsoku/>
              <w:wordWrap/>
              <w:overflowPunct/>
              <w:topLinePunct w:val="0"/>
              <w:bidi w:val="0"/>
              <w:spacing w:line="360" w:lineRule="auto"/>
              <w:ind w:firstLine="482" w:firstLineChars="200"/>
              <w:textAlignment w:val="auto"/>
              <w:rPr>
                <w:color w:val="auto"/>
                <w:sz w:val="24"/>
                <w:highlight w:val="none"/>
              </w:rPr>
            </w:pPr>
            <w:r>
              <w:rPr>
                <w:b/>
                <w:bCs/>
                <w:color w:val="auto"/>
                <w:sz w:val="24"/>
                <w:highlight w:val="none"/>
              </w:rPr>
              <w:t>1、生态保护措施</w:t>
            </w:r>
          </w:p>
          <w:p w14:paraId="350BEAB3">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（1）避让措施</w:t>
            </w:r>
          </w:p>
          <w:p w14:paraId="2537AEDE">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color w:val="auto"/>
                <w:kern w:val="0"/>
                <w:sz w:val="24"/>
                <w:highlight w:val="none"/>
                <w:lang w:bidi="ar"/>
              </w:rPr>
            </w:pPr>
            <w:r>
              <w:rPr>
                <w:color w:val="auto"/>
                <w:kern w:val="0"/>
                <w:sz w:val="24"/>
                <w:highlight w:val="none"/>
                <w:lang w:bidi="ar"/>
              </w:rPr>
              <w:t>①合理规划施工临时道路、牵张场等临时场地，合理划定施工范围和人员、车辆路径，</w:t>
            </w:r>
            <w:r>
              <w:rPr>
                <w:color w:val="auto"/>
                <w:sz w:val="24"/>
                <w:highlight w:val="none"/>
              </w:rPr>
              <w:t>尽可能布置在植被稀少的区域，减少对周围生态环境影响</w:t>
            </w:r>
            <w:r>
              <w:rPr>
                <w:color w:val="auto"/>
                <w:kern w:val="0"/>
                <w:sz w:val="24"/>
                <w:highlight w:val="none"/>
                <w:lang w:bidi="ar"/>
              </w:rPr>
              <w:t>。</w:t>
            </w:r>
          </w:p>
          <w:p w14:paraId="5E45E605">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fldChar w:fldCharType="begin"/>
            </w:r>
            <w:r>
              <w:rPr>
                <w:rFonts w:hint="default" w:ascii="Times New Roman" w:hAnsi="Times New Roman" w:cs="Times New Roman"/>
                <w:color w:val="auto"/>
                <w:kern w:val="0"/>
                <w:sz w:val="24"/>
                <w:highlight w:val="none"/>
                <w:lang w:bidi="ar"/>
              </w:rPr>
              <w:instrText xml:space="preserve"> = 2 \* GB3 \* MERGEFORMAT </w:instrText>
            </w:r>
            <w:r>
              <w:rPr>
                <w:rFonts w:hint="default" w:ascii="Times New Roman" w:hAnsi="Times New Roman" w:cs="Times New Roman"/>
                <w:color w:val="auto"/>
                <w:kern w:val="0"/>
                <w:sz w:val="24"/>
                <w:highlight w:val="none"/>
                <w:lang w:bidi="ar"/>
              </w:rPr>
              <w:fldChar w:fldCharType="separate"/>
            </w:r>
            <w:r>
              <w:rPr>
                <w:rFonts w:hint="default" w:ascii="Times New Roman" w:hAnsi="Times New Roman" w:cs="Times New Roman"/>
                <w:color w:val="auto"/>
                <w:sz w:val="24"/>
                <w:highlight w:val="none"/>
              </w:rPr>
              <w:t>②</w:t>
            </w:r>
            <w:r>
              <w:rPr>
                <w:rFonts w:hint="default" w:ascii="Times New Roman" w:hAnsi="Times New Roman" w:cs="Times New Roman"/>
                <w:color w:val="auto"/>
                <w:kern w:val="0"/>
                <w:sz w:val="24"/>
                <w:highlight w:val="none"/>
                <w:lang w:bidi="ar"/>
              </w:rPr>
              <w:fldChar w:fldCharType="end"/>
            </w:r>
            <w:r>
              <w:rPr>
                <w:rFonts w:hint="default" w:ascii="Times New Roman" w:hAnsi="Times New Roman" w:cs="Times New Roman"/>
                <w:color w:val="auto"/>
                <w:kern w:val="0"/>
                <w:sz w:val="24"/>
                <w:highlight w:val="none"/>
                <w:lang w:val="en-US" w:eastAsia="zh-CN" w:bidi="ar"/>
              </w:rPr>
              <w:t>优化项目选址、选线，减少输电线路长度，</w:t>
            </w:r>
            <w:r>
              <w:rPr>
                <w:rFonts w:hint="default" w:ascii="Times New Roman" w:hAnsi="Times New Roman" w:cs="Times New Roman"/>
                <w:color w:val="auto"/>
                <w:sz w:val="24"/>
                <w:highlight w:val="none"/>
              </w:rPr>
              <w:t>减少线路走廊的开辟，减少占地，减少对生态环境影响。</w:t>
            </w:r>
          </w:p>
          <w:p w14:paraId="276DF614">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3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lang w:val="en-US" w:eastAsia="zh-CN"/>
              </w:rPr>
              <w:t>优化线路</w:t>
            </w:r>
            <w:r>
              <w:rPr>
                <w:rFonts w:hint="eastAsia" w:ascii="Times New Roman" w:hAnsi="Times New Roman" w:cs="Times New Roman"/>
                <w:color w:val="auto"/>
                <w:sz w:val="24"/>
                <w:szCs w:val="24"/>
                <w:highlight w:val="none"/>
                <w:lang w:val="en-US" w:eastAsia="zh-CN"/>
              </w:rPr>
              <w:t>路径</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尽可能</w:t>
            </w:r>
            <w:r>
              <w:rPr>
                <w:rFonts w:hint="default" w:ascii="Times New Roman" w:hAnsi="Times New Roman" w:cs="Times New Roman"/>
                <w:color w:val="auto"/>
                <w:sz w:val="24"/>
                <w:szCs w:val="24"/>
                <w:highlight w:val="none"/>
                <w:lang w:val="en-US" w:eastAsia="zh-CN"/>
              </w:rPr>
              <w:t>避让******。</w:t>
            </w:r>
          </w:p>
          <w:p w14:paraId="7848BF2D">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（2）减缓措施</w:t>
            </w:r>
          </w:p>
          <w:p w14:paraId="19DB15F0">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①变电站</w:t>
            </w:r>
            <w:r>
              <w:rPr>
                <w:rFonts w:hint="eastAsia"/>
                <w:color w:val="auto"/>
                <w:sz w:val="24"/>
                <w:highlight w:val="none"/>
                <w:lang w:eastAsia="zh-CN"/>
              </w:rPr>
              <w:t>、</w:t>
            </w:r>
            <w:r>
              <w:rPr>
                <w:rFonts w:hint="eastAsia"/>
                <w:color w:val="auto"/>
                <w:sz w:val="24"/>
                <w:highlight w:val="none"/>
                <w:lang w:val="en-US" w:eastAsia="zh-CN"/>
              </w:rPr>
              <w:t>施工营地、</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color w:val="auto"/>
                <w:sz w:val="24"/>
                <w:highlight w:val="none"/>
              </w:rPr>
              <w:t>等施工前先</w:t>
            </w:r>
            <w:r>
              <w:rPr>
                <w:rFonts w:hint="eastAsia"/>
                <w:color w:val="auto"/>
                <w:sz w:val="24"/>
                <w:highlight w:val="none"/>
                <w:lang w:val="en-US" w:eastAsia="zh-CN"/>
              </w:rPr>
              <w:t>设置施工围挡</w:t>
            </w:r>
            <w:r>
              <w:rPr>
                <w:color w:val="auto"/>
                <w:sz w:val="24"/>
                <w:highlight w:val="none"/>
              </w:rPr>
              <w:t>，严格控制施工人员及施工车辆活动范围，减少对周围生态环境的影响。</w:t>
            </w:r>
          </w:p>
          <w:p w14:paraId="04E563F2">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②在变电站场地、进站道路</w:t>
            </w:r>
            <w:r>
              <w:rPr>
                <w:rFonts w:hint="eastAsia"/>
                <w:color w:val="auto"/>
                <w:sz w:val="24"/>
                <w:highlight w:val="none"/>
                <w:lang w:eastAsia="zh-CN"/>
              </w:rPr>
              <w:t>、</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default" w:ascii="Times New Roman" w:hAnsi="Times New Roman" w:cs="Times New Roman"/>
                <w:color w:val="auto"/>
                <w:sz w:val="24"/>
              </w:rPr>
              <w:t>、</w:t>
            </w:r>
            <w:r>
              <w:rPr>
                <w:rFonts w:hint="eastAsia" w:cs="Times New Roman"/>
                <w:color w:val="auto"/>
                <w:sz w:val="24"/>
                <w:lang w:val="en-US" w:eastAsia="zh-CN"/>
              </w:rPr>
              <w:t>10千伏临时</w:t>
            </w:r>
            <w:r>
              <w:rPr>
                <w:rFonts w:hint="default" w:ascii="Times New Roman" w:hAnsi="Times New Roman" w:cs="Times New Roman"/>
                <w:color w:val="auto"/>
                <w:sz w:val="24"/>
              </w:rPr>
              <w:t>施工电源</w:t>
            </w:r>
            <w:r>
              <w:rPr>
                <w:rFonts w:hint="eastAsia" w:cs="Times New Roman"/>
                <w:color w:val="auto"/>
                <w:sz w:val="24"/>
                <w:lang w:val="en-US" w:eastAsia="zh-CN"/>
              </w:rPr>
              <w:t>线路</w:t>
            </w:r>
            <w:r>
              <w:rPr>
                <w:color w:val="auto"/>
                <w:sz w:val="24"/>
                <w:highlight w:val="none"/>
              </w:rPr>
              <w:t>等各项基础施工中，严格按设计施工，减少基础开挖量，对临时堆放的土石方采取苫盖、拦挡等临时性防护措施，雨天及时排除场地积水，防止雨水冲刷和风力造成站区水土流失。</w:t>
            </w:r>
          </w:p>
          <w:p w14:paraId="6F37E087">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③变电站建成后，站内空闲场地铺设方砖，</w:t>
            </w:r>
            <w:r>
              <w:rPr>
                <w:rFonts w:hint="default" w:ascii="Times New Roman" w:hAnsi="Times New Roman" w:cs="Times New Roman"/>
                <w:color w:val="auto"/>
                <w:sz w:val="24"/>
                <w:highlight w:val="none"/>
              </w:rPr>
              <w:t>即可节约草坪维护资金，</w:t>
            </w:r>
            <w:r>
              <w:rPr>
                <w:color w:val="auto"/>
                <w:sz w:val="24"/>
                <w:highlight w:val="none"/>
              </w:rPr>
              <w:t>又可降低土壤的侵蚀。变电站内所有道路做硬化处理。</w:t>
            </w:r>
          </w:p>
          <w:p w14:paraId="4DAD7BED">
            <w:pPr>
              <w:pStyle w:val="8"/>
              <w:keepNext w:val="0"/>
              <w:keepLines w:val="0"/>
              <w:pageBreakBefore w:val="0"/>
              <w:kinsoku/>
              <w:wordWrap/>
              <w:overflowPunct/>
              <w:topLinePunct w:val="0"/>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④架空线路应设置施工围栏，防止扩大扰动面积，控制施工人员及施工车辆在</w:t>
            </w:r>
            <w:r>
              <w:rPr>
                <w:rFonts w:hint="eastAsia"/>
                <w:color w:val="auto"/>
                <w:sz w:val="24"/>
                <w:highlight w:val="none"/>
                <w:lang w:val="en-US" w:eastAsia="zh-CN"/>
              </w:rPr>
              <w:t>施工</w:t>
            </w:r>
            <w:r>
              <w:rPr>
                <w:rFonts w:hint="eastAsia"/>
                <w:color w:val="auto"/>
                <w:sz w:val="24"/>
                <w:highlight w:val="none"/>
              </w:rPr>
              <w:t>围栏</w:t>
            </w:r>
            <w:r>
              <w:rPr>
                <w:color w:val="auto"/>
                <w:sz w:val="24"/>
                <w:highlight w:val="none"/>
              </w:rPr>
              <w:t>内的活动，避免出现施工人员随意践踏土地的现象，施工车辆随意扩大施工作业范围的现象。</w:t>
            </w:r>
          </w:p>
          <w:p w14:paraId="3894557F">
            <w:pPr>
              <w:keepNext w:val="0"/>
              <w:keepLines w:val="0"/>
              <w:pageBreakBefore w:val="0"/>
              <w:kinsoku/>
              <w:wordWrap/>
              <w:overflowPunct/>
              <w:topLinePunct w:val="0"/>
              <w:bidi w:val="0"/>
              <w:spacing w:line="360" w:lineRule="auto"/>
              <w:ind w:firstLine="480" w:firstLineChars="200"/>
              <w:jc w:val="left"/>
              <w:textAlignment w:val="auto"/>
              <w:rPr>
                <w:color w:val="auto"/>
                <w:sz w:val="24"/>
                <w:highlight w:val="none"/>
              </w:rPr>
            </w:pPr>
            <w:r>
              <w:rPr>
                <w:color w:val="auto"/>
                <w:sz w:val="24"/>
                <w:highlight w:val="none"/>
              </w:rPr>
              <w:fldChar w:fldCharType="begin"/>
            </w:r>
            <w:r>
              <w:rPr>
                <w:color w:val="auto"/>
                <w:sz w:val="24"/>
                <w:highlight w:val="none"/>
              </w:rPr>
              <w:instrText xml:space="preserve"> = 5 \* GB3 \* MERGEFORMAT </w:instrText>
            </w:r>
            <w:r>
              <w:rPr>
                <w:color w:val="auto"/>
                <w:sz w:val="24"/>
                <w:highlight w:val="none"/>
              </w:rPr>
              <w:fldChar w:fldCharType="separate"/>
            </w:r>
            <w:r>
              <w:rPr>
                <w:color w:val="auto"/>
                <w:sz w:val="24"/>
                <w:highlight w:val="none"/>
              </w:rPr>
              <w:t>⑤</w:t>
            </w:r>
            <w:r>
              <w:rPr>
                <w:color w:val="auto"/>
                <w:sz w:val="24"/>
                <w:highlight w:val="none"/>
              </w:rPr>
              <w:fldChar w:fldCharType="end"/>
            </w:r>
            <w:r>
              <w:rPr>
                <w:color w:val="auto"/>
                <w:sz w:val="24"/>
                <w:highlight w:val="none"/>
              </w:rPr>
              <w:t>本项目施工材料运输，应尽可能利用现有道路，修建的少部分到达塔基的临时施工便道宽度严格控制在4m范围内，以减少新开辟施工便道对植被的破坏</w:t>
            </w:r>
            <w:r>
              <w:rPr>
                <w:rFonts w:hint="eastAsia"/>
                <w:color w:val="auto"/>
                <w:sz w:val="24"/>
                <w:highlight w:val="none"/>
              </w:rPr>
              <w:t>。</w:t>
            </w:r>
            <w:r>
              <w:rPr>
                <w:color w:val="auto"/>
                <w:sz w:val="24"/>
                <w:highlight w:val="none"/>
              </w:rPr>
              <w:t>根据设计要求合理布设铁塔</w:t>
            </w:r>
            <w:r>
              <w:rPr>
                <w:rFonts w:hint="eastAsia"/>
                <w:color w:val="auto"/>
                <w:sz w:val="24"/>
                <w:highlight w:val="none"/>
                <w:lang w:eastAsia="zh-CN"/>
              </w:rPr>
              <w:t>、</w:t>
            </w:r>
            <w:r>
              <w:rPr>
                <w:rFonts w:hint="eastAsia"/>
                <w:color w:val="auto"/>
                <w:sz w:val="24"/>
                <w:highlight w:val="none"/>
                <w:lang w:val="en-US" w:eastAsia="zh-CN"/>
              </w:rPr>
              <w:t>牵张场</w:t>
            </w:r>
            <w:r>
              <w:rPr>
                <w:color w:val="auto"/>
                <w:sz w:val="24"/>
                <w:highlight w:val="none"/>
              </w:rPr>
              <w:t>和材料堆放场等临时占地，尽可能布置在植被稀少的区域。</w:t>
            </w:r>
          </w:p>
          <w:p w14:paraId="16EF9B14">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6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⑥</w:t>
            </w:r>
            <w:r>
              <w:rPr>
                <w:rFonts w:hint="default" w:ascii="Times New Roman" w:hAnsi="Times New Roman" w:cs="Times New Roman"/>
                <w:color w:val="auto"/>
                <w:sz w:val="24"/>
                <w:highlight w:val="none"/>
              </w:rPr>
              <w:fldChar w:fldCharType="end"/>
            </w:r>
            <w:r>
              <w:rPr>
                <w:rFonts w:hint="default" w:ascii="Times New Roman" w:hAnsi="Times New Roman" w:eastAsia="宋体" w:cs="Times New Roman"/>
                <w:color w:val="auto"/>
                <w:kern w:val="0"/>
                <w:sz w:val="24"/>
                <w:szCs w:val="24"/>
                <w:highlight w:val="none"/>
                <w:lang w:val="en-US" w:eastAsia="zh-CN" w:bidi="ar"/>
              </w:rPr>
              <w:t>输电线路应因地制宜合理选择塔基基础，在山区应采用全方位长短腿与不等高基础设计，以减少土石方开挖。</w:t>
            </w:r>
          </w:p>
          <w:p w14:paraId="6CF717E7">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sz w:val="24"/>
                <w:highlight w:val="cyan"/>
              </w:rPr>
            </w:pPr>
            <w:r>
              <w:rPr>
                <w:color w:val="auto"/>
                <w:sz w:val="24"/>
                <w:highlight w:val="none"/>
              </w:rPr>
              <w:fldChar w:fldCharType="begin"/>
            </w:r>
            <w:r>
              <w:rPr>
                <w:color w:val="auto"/>
                <w:sz w:val="24"/>
                <w:highlight w:val="none"/>
              </w:rPr>
              <w:instrText xml:space="preserve"> = 7 \* GB3 \* MERGEFORMAT </w:instrText>
            </w:r>
            <w:r>
              <w:rPr>
                <w:color w:val="auto"/>
                <w:sz w:val="24"/>
                <w:highlight w:val="none"/>
              </w:rPr>
              <w:fldChar w:fldCharType="separate"/>
            </w:r>
            <w:r>
              <w:rPr>
                <w:color w:val="auto"/>
                <w:sz w:val="24"/>
                <w:highlight w:val="none"/>
              </w:rPr>
              <w:t>⑦</w:t>
            </w:r>
            <w:r>
              <w:rPr>
                <w:color w:val="auto"/>
                <w:sz w:val="24"/>
                <w:highlight w:val="none"/>
              </w:rPr>
              <w:fldChar w:fldCharType="end"/>
            </w:r>
            <w:r>
              <w:rPr>
                <w:rFonts w:hint="default" w:ascii="Times New Roman" w:hAnsi="Times New Roman" w:eastAsia="宋体" w:cs="Times New Roman"/>
                <w:color w:val="auto"/>
                <w:spacing w:val="0"/>
                <w:w w:val="100"/>
                <w:position w:val="0"/>
                <w:sz w:val="24"/>
                <w:highlight w:val="none"/>
              </w:rPr>
              <w:t>本项目输电线路</w:t>
            </w:r>
            <w:r>
              <w:rPr>
                <w:rFonts w:hint="default" w:ascii="Times New Roman" w:hAnsi="Times New Roman" w:cs="Times New Roman"/>
                <w:color w:val="auto"/>
                <w:sz w:val="24"/>
                <w:highlight w:val="none"/>
              </w:rPr>
              <w:t>经过旱地区域，线路选线尽量利用荒地、劣地，少占用耕地特别是基本农田；线路塔基确实无法避让永久基本农田的，应当在不妨碍机械化耕作的前提下，尽可能沿田间道路、沟渠、田坎铺设。应做好耕地耕作层剥离、分类存放和回填利用，塔基基础开挖完工后，尽快浇注混凝土，按照原有土层顺序进行回填，缩短裸露时间；施工临时占地宜采取隔离保护措施，</w:t>
            </w:r>
            <w:r>
              <w:rPr>
                <w:rFonts w:hint="default" w:ascii="Times New Roman" w:hAnsi="Times New Roman" w:cs="Times New Roman"/>
                <w:color w:val="auto"/>
                <w:sz w:val="24"/>
                <w:highlight w:val="none"/>
                <w:lang w:val="en-US" w:eastAsia="zh-CN"/>
              </w:rPr>
              <w:t>施工道路采取铺设钢板措施，</w:t>
            </w:r>
            <w:r>
              <w:rPr>
                <w:rFonts w:hint="default" w:ascii="Times New Roman" w:hAnsi="Times New Roman" w:cs="Times New Roman"/>
                <w:color w:val="auto"/>
                <w:sz w:val="24"/>
                <w:highlight w:val="none"/>
              </w:rPr>
              <w:t>施工结束后应将混凝土余料和残渣及时清除，以免影响后期土地功能的恢复；对临时占用耕地区域及时进行土地平整、复耕。</w:t>
            </w:r>
          </w:p>
          <w:p w14:paraId="46F68AB5">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 8 \* GB3 \* MERGEFORMAT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t>⑧</w:t>
            </w:r>
            <w:r>
              <w:rPr>
                <w:rFonts w:hint="default" w:ascii="Times New Roman" w:hAnsi="Times New Roman" w:cs="Times New Roman"/>
                <w:color w:val="auto"/>
                <w:sz w:val="24"/>
                <w:highlight w:val="none"/>
              </w:rPr>
              <w:fldChar w:fldCharType="end"/>
            </w:r>
            <w:r>
              <w:rPr>
                <w:rFonts w:hint="default" w:ascii="Times New Roman" w:hAnsi="Times New Roman" w:cs="Times New Roman"/>
                <w:color w:val="auto"/>
                <w:sz w:val="24"/>
                <w:highlight w:val="none"/>
                <w:lang w:eastAsia="zh-CN"/>
              </w:rPr>
              <w:t>本项目</w:t>
            </w:r>
            <w:r>
              <w:rPr>
                <w:rFonts w:hint="eastAsia" w:ascii="Times New Roman" w:hAnsi="Times New Roman" w:cs="Times New Roman"/>
                <w:color w:val="auto"/>
                <w:sz w:val="24"/>
                <w:highlight w:val="none"/>
                <w:lang w:val="en-US" w:eastAsia="zh-CN"/>
              </w:rPr>
              <w:t>输电线路</w:t>
            </w:r>
            <w:r>
              <w:rPr>
                <w:rFonts w:hint="default" w:ascii="Times New Roman" w:hAnsi="Times New Roman" w:cs="Times New Roman"/>
                <w:color w:val="auto"/>
                <w:sz w:val="24"/>
                <w:highlight w:val="none"/>
                <w:lang w:eastAsia="zh-CN"/>
              </w:rPr>
              <w:t>经过</w:t>
            </w:r>
            <w:r>
              <w:rPr>
                <w:rFonts w:hint="eastAsia" w:ascii="Times New Roman" w:hAnsi="Times New Roman" w:cs="Times New Roman"/>
                <w:color w:val="auto"/>
                <w:sz w:val="24"/>
                <w:highlight w:val="none"/>
                <w:lang w:val="en-US" w:eastAsia="zh-CN"/>
              </w:rPr>
              <w:t>乔木林地、灌木林地、</w:t>
            </w:r>
            <w:r>
              <w:rPr>
                <w:rFonts w:hint="default" w:ascii="Times New Roman" w:hAnsi="Times New Roman" w:cs="Times New Roman"/>
                <w:color w:val="auto"/>
                <w:sz w:val="24"/>
                <w:highlight w:val="none"/>
                <w:lang w:val="en-US" w:eastAsia="zh-CN"/>
              </w:rPr>
              <w:t>其他林地区域时</w:t>
            </w:r>
            <w:r>
              <w:rPr>
                <w:rFonts w:hint="eastAsia" w:ascii="Times New Roman" w:hAnsi="Times New Roman" w:cs="Times New Roman"/>
                <w:color w:val="auto"/>
                <w:sz w:val="24"/>
                <w:highlight w:val="none"/>
                <w:lang w:val="en-US" w:eastAsia="zh-CN"/>
              </w:rPr>
              <w:t>均</w:t>
            </w:r>
            <w:r>
              <w:rPr>
                <w:rFonts w:hint="default" w:ascii="Times New Roman" w:hAnsi="Times New Roman" w:cs="Times New Roman"/>
                <w:color w:val="auto"/>
                <w:sz w:val="24"/>
                <w:highlight w:val="none"/>
                <w:lang w:eastAsia="zh-CN"/>
              </w:rPr>
              <w:t>采用高跨的方式跨越</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eastAsia="zh-CN"/>
              </w:rPr>
              <w:t>杆塔施工范围内的</w:t>
            </w:r>
            <w:r>
              <w:rPr>
                <w:rFonts w:hint="default" w:ascii="Times New Roman" w:hAnsi="Times New Roman" w:cs="Times New Roman"/>
                <w:color w:val="auto"/>
                <w:sz w:val="24"/>
                <w:highlight w:val="none"/>
                <w:lang w:val="en-US" w:eastAsia="zh-CN"/>
              </w:rPr>
              <w:t>林木</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砍伐后</w:t>
            </w:r>
            <w:r>
              <w:rPr>
                <w:rFonts w:hint="default" w:ascii="Times New Roman" w:hAnsi="Times New Roman" w:cs="Times New Roman"/>
                <w:color w:val="auto"/>
                <w:sz w:val="24"/>
                <w:highlight w:val="none"/>
                <w:lang w:val="en-US" w:eastAsia="zh-CN"/>
              </w:rPr>
              <w:t>进行补植减少</w:t>
            </w:r>
            <w:r>
              <w:rPr>
                <w:rFonts w:hint="default" w:ascii="Times New Roman" w:hAnsi="Times New Roman" w:cs="Times New Roman"/>
                <w:color w:val="auto"/>
                <w:sz w:val="24"/>
                <w:highlight w:val="none"/>
                <w:lang w:eastAsia="zh-CN"/>
              </w:rPr>
              <w:t>对地表植被的影响，线路走廊下均不影响植被正常生长。</w:t>
            </w:r>
            <w:r>
              <w:rPr>
                <w:rFonts w:hint="default" w:ascii="Times New Roman" w:hAnsi="Times New Roman" w:eastAsia="宋体" w:cs="Times New Roman"/>
                <w:color w:val="auto"/>
                <w:spacing w:val="0"/>
                <w:w w:val="100"/>
                <w:position w:val="0"/>
                <w:sz w:val="24"/>
                <w:highlight w:val="none"/>
              </w:rPr>
              <w:t>施工作业应采取表土剥离、单独堆存并进行遮盖保存。</w:t>
            </w:r>
          </w:p>
          <w:p w14:paraId="7072F0F6">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9 \* GB3 \* MERGEFORMAT </w:instrText>
            </w:r>
            <w:r>
              <w:rPr>
                <w:color w:val="auto"/>
                <w:sz w:val="24"/>
                <w:highlight w:val="none"/>
              </w:rPr>
              <w:fldChar w:fldCharType="separate"/>
            </w:r>
            <w:r>
              <w:rPr>
                <w:color w:val="auto"/>
                <w:sz w:val="24"/>
                <w:highlight w:val="none"/>
              </w:rPr>
              <w:t>⑨</w:t>
            </w:r>
            <w:r>
              <w:rPr>
                <w:color w:val="auto"/>
                <w:sz w:val="24"/>
                <w:highlight w:val="none"/>
              </w:rPr>
              <w:fldChar w:fldCharType="end"/>
            </w:r>
            <w:r>
              <w:rPr>
                <w:color w:val="auto"/>
                <w:sz w:val="24"/>
                <w:highlight w:val="none"/>
              </w:rPr>
              <w:t>线路基坑开挖完工后，尽快浇注商品混凝土，缩短土方裸露时间。土方施工避开雨天，遇有大风天气时暂停土石方的施工，对临时堆放的土石方采取遮盖、拦挡等临时性防护措施，以免造成更大面积的植被破坏和土壤表层的破坏。</w:t>
            </w:r>
          </w:p>
          <w:p w14:paraId="6A6B2C0C">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10 \* GB3 \* MERGEFORMAT </w:instrText>
            </w:r>
            <w:r>
              <w:rPr>
                <w:color w:val="auto"/>
                <w:sz w:val="24"/>
                <w:highlight w:val="none"/>
              </w:rPr>
              <w:fldChar w:fldCharType="separate"/>
            </w:r>
            <w:r>
              <w:rPr>
                <w:color w:val="auto"/>
                <w:sz w:val="24"/>
                <w:highlight w:val="none"/>
              </w:rPr>
              <w:t>⑩</w:t>
            </w:r>
            <w:r>
              <w:rPr>
                <w:color w:val="auto"/>
                <w:sz w:val="24"/>
                <w:highlight w:val="none"/>
              </w:rPr>
              <w:fldChar w:fldCharType="end"/>
            </w:r>
            <w:r>
              <w:rPr>
                <w:color w:val="auto"/>
                <w:sz w:val="24"/>
                <w:highlight w:val="none"/>
              </w:rPr>
              <w:t>变电站、输电线路在施工过程中限制施工人员施工作业范围、作业时间，合理安排施工作业时间和施工工序，选择低噪声的施工机械，减少对野生动物的影响。</w:t>
            </w:r>
          </w:p>
          <w:p w14:paraId="2C85ABCA">
            <w:pPr>
              <w:pStyle w:val="11"/>
              <w:keepNext w:val="0"/>
              <w:keepLines w:val="0"/>
              <w:pageBreakBefore w:val="0"/>
              <w:kinsoku/>
              <w:wordWrap/>
              <w:overflowPunct/>
              <w:topLinePunct w:val="0"/>
              <w:autoSpaceDE/>
              <w:autoSpaceDN/>
              <w:bidi w:val="0"/>
              <w:spacing w:before="0" w:after="0" w:line="360" w:lineRule="auto"/>
              <w:ind w:firstLine="480" w:firstLineChars="200"/>
              <w:jc w:val="left"/>
              <w:textAlignment w:val="auto"/>
              <w:rPr>
                <w:rFonts w:ascii="Times New Roman" w:hAnsi="Times New Roman"/>
                <w:color w:val="auto"/>
                <w:sz w:val="24"/>
                <w:highlight w:val="none"/>
              </w:rPr>
            </w:pPr>
            <w:r>
              <w:rPr>
                <w:rFonts w:ascii="Times New Roman" w:hAnsi="Times New Roman"/>
                <w:color w:val="auto"/>
                <w:sz w:val="24"/>
                <w:highlight w:val="none"/>
              </w:rPr>
              <w:t>（3）恢复措施</w:t>
            </w:r>
          </w:p>
          <w:p w14:paraId="1F1C3FA6">
            <w:pPr>
              <w:pStyle w:val="8"/>
              <w:keepNext w:val="0"/>
              <w:keepLines w:val="0"/>
              <w:pageBreakBefore w:val="0"/>
              <w:kinsoku/>
              <w:wordWrap/>
              <w:overflowPunct/>
              <w:topLinePunct w:val="0"/>
              <w:autoSpaceDE/>
              <w:autoSpaceDN/>
              <w:bidi w:val="0"/>
              <w:spacing w:after="0" w:line="360" w:lineRule="auto"/>
              <w:ind w:left="0" w:leftChars="0" w:firstLine="480" w:firstLineChars="200"/>
              <w:textAlignment w:val="auto"/>
              <w:rPr>
                <w:color w:val="auto"/>
                <w:sz w:val="24"/>
                <w:highlight w:val="none"/>
              </w:rPr>
            </w:pPr>
            <w:r>
              <w:rPr>
                <w:color w:val="auto"/>
                <w:sz w:val="24"/>
                <w:highlight w:val="none"/>
              </w:rPr>
              <w:t>①表土回填：施工占地开挖的土方按照土层顺序进行回填，剥离的表土，按表层土在上的顺序堆放至临时占地区域，便于后期植被恢复使用。</w:t>
            </w:r>
          </w:p>
          <w:p w14:paraId="19C27FED">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color w:val="auto"/>
                <w:sz w:val="24"/>
                <w:highlight w:val="none"/>
              </w:rPr>
            </w:pPr>
            <w:r>
              <w:rPr>
                <w:color w:val="auto"/>
                <w:sz w:val="24"/>
                <w:highlight w:val="none"/>
              </w:rPr>
              <w:t>②土地平整：项目建设过程中，所压占的土地，由于施工机械的碾压，及建材堆放等其他因素的影响，必造成原有土地形态发生改变，引起土地表层起伏不平，难以达到预期的土地利用方向。施工结束后，对项目扰动区域实施土地整治措施，整治方式为机械整治，整地深度为0.3m</w:t>
            </w:r>
            <w:r>
              <w:rPr>
                <w:rFonts w:hint="eastAsia"/>
                <w:color w:val="auto"/>
                <w:sz w:val="24"/>
                <w:highlight w:val="none"/>
                <w:lang w:val="en-US" w:eastAsia="zh-CN"/>
              </w:rPr>
              <w:t>~0.5m</w:t>
            </w:r>
            <w:r>
              <w:rPr>
                <w:color w:val="auto"/>
                <w:sz w:val="24"/>
                <w:highlight w:val="none"/>
              </w:rPr>
              <w:t>。</w:t>
            </w:r>
          </w:p>
          <w:p w14:paraId="55B2588D">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highlight w:val="none"/>
              </w:rPr>
            </w:pPr>
            <w:r>
              <w:rPr>
                <w:color w:val="auto"/>
                <w:sz w:val="24"/>
                <w:highlight w:val="none"/>
              </w:rPr>
              <w:t>③土地翻耕：在清除材料运输及施工过程中洒落的砂石、水泥等建筑垃圾，对粒径大于5.0cm的碎石块进行捡选去除，然后采用机械翻松土地，翻耕厚度不得小于30cm。</w:t>
            </w:r>
          </w:p>
          <w:p w14:paraId="2D3655CE">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sz w:val="24"/>
                <w:highlight w:val="none"/>
                <w:lang w:val="en-US" w:eastAsia="zh-CN"/>
              </w:rPr>
            </w:pPr>
            <w:r>
              <w:rPr>
                <w:color w:val="auto"/>
                <w:sz w:val="24"/>
                <w:highlight w:val="none"/>
              </w:rPr>
              <w:t>④林地区域：</w:t>
            </w:r>
            <w:r>
              <w:rPr>
                <w:rFonts w:hint="default" w:ascii="Times New Roman" w:hAnsi="Times New Roman" w:cs="Times New Roman"/>
                <w:color w:val="auto"/>
                <w:sz w:val="24"/>
                <w:highlight w:val="none"/>
              </w:rPr>
              <w:t>杆塔施工范围内的少量林木，</w:t>
            </w:r>
            <w:r>
              <w:rPr>
                <w:rFonts w:hint="default" w:ascii="Times New Roman" w:hAnsi="Times New Roman" w:cs="Times New Roman"/>
                <w:color w:val="auto"/>
                <w:sz w:val="24"/>
                <w:highlight w:val="none"/>
                <w:lang w:val="en-US" w:eastAsia="zh-CN"/>
              </w:rPr>
              <w:t>建设单位应缴纳森林植被恢复费，对临时占地区域占用的林木进行补植</w:t>
            </w:r>
            <w:r>
              <w:rPr>
                <w:rFonts w:hint="eastAsia" w:ascii="Times New Roman" w:hAnsi="Times New Roman" w:cs="Times New Roman"/>
                <w:color w:val="auto"/>
                <w:sz w:val="24"/>
                <w:highlight w:val="none"/>
                <w:lang w:val="en-US" w:eastAsia="zh-CN"/>
              </w:rPr>
              <w:t>、恢复</w:t>
            </w:r>
            <w:r>
              <w:rPr>
                <w:rFonts w:hint="default" w:ascii="Times New Roman" w:hAnsi="Times New Roman" w:cs="Times New Roman"/>
                <w:color w:val="auto"/>
                <w:sz w:val="24"/>
                <w:highlight w:val="none"/>
                <w:lang w:val="en-US" w:eastAsia="zh-CN"/>
              </w:rPr>
              <w:t>。</w:t>
            </w:r>
          </w:p>
          <w:p w14:paraId="03B25407">
            <w:pPr>
              <w:pStyle w:val="8"/>
              <w:keepNext w:val="0"/>
              <w:keepLines w:val="0"/>
              <w:pageBreakBefore w:val="0"/>
              <w:kinsoku/>
              <w:wordWrap/>
              <w:overflowPunct/>
              <w:topLinePunct w:val="0"/>
              <w:bidi w:val="0"/>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val="en-US" w:eastAsia="zh-CN"/>
              </w:rPr>
              <w:t>⑤</w:t>
            </w:r>
            <w:r>
              <w:rPr>
                <w:rFonts w:hint="eastAsia" w:cs="Times New Roman"/>
                <w:color w:val="auto"/>
                <w:sz w:val="24"/>
                <w:highlight w:val="none"/>
                <w:lang w:val="en-US" w:eastAsia="zh-CN"/>
              </w:rPr>
              <w:t>草地区域</w:t>
            </w:r>
            <w:r>
              <w:rPr>
                <w:rFonts w:hint="default" w:ascii="Times New Roman" w:hAnsi="Times New Roman" w:cs="Times New Roman"/>
                <w:color w:val="auto"/>
                <w:sz w:val="24"/>
                <w:highlight w:val="none"/>
              </w:rPr>
              <w:t>：部分输电线路区域临时占地为</w:t>
            </w:r>
            <w:r>
              <w:rPr>
                <w:rFonts w:hint="eastAsia" w:cs="Times New Roman"/>
                <w:color w:val="auto"/>
                <w:sz w:val="24"/>
                <w:highlight w:val="none"/>
                <w:lang w:val="en-US" w:eastAsia="zh-CN"/>
              </w:rPr>
              <w:t>天然牧草地、其他草地</w:t>
            </w:r>
            <w:r>
              <w:rPr>
                <w:rFonts w:hint="default" w:ascii="Times New Roman" w:hAnsi="Times New Roman" w:cs="Times New Roman"/>
                <w:color w:val="auto"/>
                <w:sz w:val="24"/>
                <w:highlight w:val="none"/>
              </w:rPr>
              <w:t>，占用</w:t>
            </w:r>
            <w:r>
              <w:rPr>
                <w:rFonts w:hint="eastAsia" w:cs="Times New Roman"/>
                <w:color w:val="auto"/>
                <w:sz w:val="24"/>
                <w:highlight w:val="none"/>
                <w:lang w:val="en-US" w:eastAsia="zh-CN"/>
              </w:rPr>
              <w:t>天然牧草地、其他</w:t>
            </w:r>
            <w:r>
              <w:rPr>
                <w:rFonts w:hint="eastAsia" w:cs="Times New Roman"/>
                <w:color w:val="auto"/>
                <w:sz w:val="24"/>
                <w:highlight w:val="none"/>
                <w:lang w:eastAsia="zh-CN"/>
              </w:rPr>
              <w:t>草地</w:t>
            </w:r>
            <w:r>
              <w:rPr>
                <w:rFonts w:hint="default" w:ascii="Times New Roman" w:hAnsi="Times New Roman" w:cs="Times New Roman"/>
                <w:color w:val="auto"/>
                <w:sz w:val="24"/>
                <w:highlight w:val="none"/>
              </w:rPr>
              <w:t>的区域，土地</w:t>
            </w:r>
            <w:r>
              <w:rPr>
                <w:rFonts w:hint="default" w:ascii="Times New Roman" w:hAnsi="Times New Roman" w:eastAsia="宋体" w:cs="Times New Roman"/>
                <w:color w:val="auto"/>
                <w:sz w:val="24"/>
                <w:highlight w:val="none"/>
              </w:rPr>
              <w:t>整治、翻</w:t>
            </w:r>
            <w:r>
              <w:rPr>
                <w:rFonts w:hint="eastAsia" w:ascii="Times New Roman" w:hAnsi="Times New Roman" w:eastAsia="宋体" w:cs="Times New Roman"/>
                <w:color w:val="auto"/>
                <w:sz w:val="24"/>
                <w:highlight w:val="none"/>
                <w:lang w:val="en-US" w:eastAsia="zh-CN"/>
              </w:rPr>
              <w:t>松</w:t>
            </w:r>
            <w:r>
              <w:rPr>
                <w:rFonts w:hint="default" w:ascii="Times New Roman" w:hAnsi="Times New Roman" w:eastAsia="宋体" w:cs="Times New Roman"/>
                <w:color w:val="auto"/>
                <w:sz w:val="24"/>
                <w:highlight w:val="none"/>
              </w:rPr>
              <w:t>后进行撒播草籽。</w:t>
            </w:r>
          </w:p>
          <w:p w14:paraId="1CFC063F">
            <w:pPr>
              <w:pStyle w:val="8"/>
              <w:keepNext w:val="0"/>
              <w:keepLines w:val="0"/>
              <w:pageBreakBefore w:val="0"/>
              <w:kinsoku/>
              <w:wordWrap/>
              <w:overflowPunct/>
              <w:topLinePunct w:val="0"/>
              <w:bidi w:val="0"/>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（4）补偿措施</w:t>
            </w:r>
          </w:p>
          <w:p w14:paraId="0B886300">
            <w:pPr>
              <w:pStyle w:val="8"/>
              <w:keepNext w:val="0"/>
              <w:keepLines w:val="0"/>
              <w:pageBreakBefore w:val="0"/>
              <w:kinsoku/>
              <w:wordWrap/>
              <w:overflowPunct/>
              <w:topLinePunct w:val="0"/>
              <w:bidi w:val="0"/>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本项目输电线路应对占用的</w:t>
            </w:r>
            <w:r>
              <w:rPr>
                <w:rFonts w:hint="eastAsia" w:ascii="Times New Roman" w:hAnsi="Times New Roman" w:eastAsia="宋体" w:cs="Times New Roman"/>
                <w:color w:val="auto"/>
                <w:sz w:val="24"/>
                <w:highlight w:val="none"/>
                <w:lang w:val="en-US" w:eastAsia="zh-CN"/>
              </w:rPr>
              <w:t>旱地、</w:t>
            </w:r>
            <w:r>
              <w:rPr>
                <w:rFonts w:hint="default" w:ascii="Times New Roman" w:hAnsi="Times New Roman" w:eastAsia="宋体" w:cs="Times New Roman"/>
                <w:color w:val="auto"/>
                <w:sz w:val="24"/>
                <w:highlight w:val="none"/>
              </w:rPr>
              <w:t>林地进行生态补偿措施。</w:t>
            </w:r>
          </w:p>
          <w:p w14:paraId="0A4AAEC0">
            <w:pPr>
              <w:pStyle w:val="8"/>
              <w:keepNext w:val="0"/>
              <w:keepLines w:val="0"/>
              <w:pageBreakBefore w:val="0"/>
              <w:kinsoku/>
              <w:wordWrap/>
              <w:overflowPunct/>
              <w:topLinePunct w:val="0"/>
              <w:bidi w:val="0"/>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（5）管理措施</w:t>
            </w:r>
          </w:p>
          <w:p w14:paraId="6E1EB49E">
            <w:pPr>
              <w:pStyle w:val="8"/>
              <w:keepNext w:val="0"/>
              <w:keepLines w:val="0"/>
              <w:pageBreakBefore w:val="0"/>
              <w:kinsoku/>
              <w:wordWrap/>
              <w:overflowPunct/>
              <w:topLinePunct w:val="0"/>
              <w:bidi w:val="0"/>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施工单位应做好环境管理与教育培训，组织专业人员对施工人员进行环保宣传教育。施工期严格施工作业范围，规范施工行为，加强管理监督。</w:t>
            </w:r>
          </w:p>
          <w:p w14:paraId="25F29BA8">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生态保护红线保护措施</w:t>
            </w:r>
          </w:p>
          <w:p w14:paraId="4B881C41">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①施工期前组织专业人员对施工人员进行环保宣传教育。</w:t>
            </w:r>
          </w:p>
          <w:p w14:paraId="48D818F2">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w:t>
            </w:r>
            <w:r>
              <w:rPr>
                <w:rFonts w:hint="eastAsia" w:cs="Times New Roman"/>
                <w:color w:val="auto"/>
                <w:sz w:val="24"/>
                <w:highlight w:val="none"/>
                <w:lang w:val="en-US" w:eastAsia="zh-CN"/>
              </w:rPr>
              <w:t>塔基靠近生态保护红线一侧设置施工围挡，</w:t>
            </w:r>
            <w:r>
              <w:rPr>
                <w:rFonts w:hint="eastAsia" w:ascii="Times New Roman" w:hAnsi="Times New Roman" w:eastAsia="宋体" w:cs="Times New Roman"/>
                <w:color w:val="auto"/>
                <w:sz w:val="24"/>
                <w:highlight w:val="none"/>
                <w:lang w:val="en-US" w:eastAsia="zh-CN"/>
              </w:rPr>
              <w:t>严格控制施工车辆、施工人员的活动范围，禁止施工车辆、人员进入</w:t>
            </w:r>
            <w:r>
              <w:rPr>
                <w:rFonts w:hint="eastAsia" w:eastAsia="宋体" w:cs="Times New Roman"/>
                <w:color w:val="auto"/>
                <w:sz w:val="24"/>
                <w:highlight w:val="none"/>
                <w:lang w:val="en-US" w:eastAsia="zh-CN"/>
              </w:rPr>
              <w:t>生态保护红线</w:t>
            </w:r>
            <w:r>
              <w:rPr>
                <w:rFonts w:hint="eastAsia" w:ascii="Times New Roman" w:hAnsi="Times New Roman" w:eastAsia="宋体" w:cs="Times New Roman"/>
                <w:color w:val="auto"/>
                <w:sz w:val="24"/>
                <w:highlight w:val="none"/>
                <w:lang w:val="en-US" w:eastAsia="zh-CN"/>
              </w:rPr>
              <w:t>，</w:t>
            </w:r>
            <w:r>
              <w:rPr>
                <w:rFonts w:hint="default"/>
                <w:color w:val="auto"/>
                <w:sz w:val="24"/>
                <w:szCs w:val="24"/>
                <w:highlight w:val="none"/>
                <w:lang w:val="en-US" w:eastAsia="zh-CN"/>
              </w:rPr>
              <w:t>所有施工设施均</w:t>
            </w:r>
            <w:r>
              <w:rPr>
                <w:rFonts w:hint="eastAsia"/>
                <w:color w:val="auto"/>
                <w:sz w:val="24"/>
                <w:szCs w:val="24"/>
                <w:highlight w:val="none"/>
                <w:lang w:val="en-US" w:eastAsia="zh-CN"/>
              </w:rPr>
              <w:t>须</w:t>
            </w:r>
            <w:r>
              <w:rPr>
                <w:rFonts w:hint="default"/>
                <w:color w:val="auto"/>
                <w:sz w:val="24"/>
                <w:szCs w:val="24"/>
                <w:highlight w:val="none"/>
                <w:lang w:val="en-US" w:eastAsia="zh-CN"/>
              </w:rPr>
              <w:t>远离</w:t>
            </w:r>
            <w:r>
              <w:rPr>
                <w:rFonts w:hint="eastAsia"/>
                <w:color w:val="auto"/>
                <w:sz w:val="24"/>
                <w:szCs w:val="24"/>
                <w:highlight w:val="none"/>
                <w:lang w:val="en-US" w:eastAsia="zh-CN"/>
              </w:rPr>
              <w:t>生态保护红线布置。</w:t>
            </w:r>
          </w:p>
          <w:p w14:paraId="39A4C935">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w:t>
            </w:r>
            <w:r>
              <w:rPr>
                <w:rFonts w:hint="eastAsia" w:ascii="Times New Roman" w:hAnsi="Times New Roman" w:eastAsia="宋体" w:cs="Times New Roman"/>
                <w:color w:val="auto"/>
                <w:sz w:val="24"/>
                <w:highlight w:val="none"/>
                <w:lang w:val="en-US" w:eastAsia="zh-CN"/>
              </w:rPr>
              <w:t>对施工</w:t>
            </w:r>
            <w:r>
              <w:rPr>
                <w:rFonts w:hint="eastAsia" w:cs="Times New Roman"/>
                <w:color w:val="auto"/>
                <w:sz w:val="24"/>
                <w:highlight w:val="none"/>
                <w:lang w:val="en-US" w:eastAsia="zh-CN"/>
              </w:rPr>
              <w:t>现场</w:t>
            </w:r>
            <w:r>
              <w:rPr>
                <w:rFonts w:hint="eastAsia" w:ascii="Times New Roman" w:hAnsi="Times New Roman" w:eastAsia="宋体" w:cs="Times New Roman"/>
                <w:color w:val="auto"/>
                <w:sz w:val="24"/>
                <w:highlight w:val="none"/>
                <w:lang w:val="en-US" w:eastAsia="zh-CN"/>
              </w:rPr>
              <w:t>采取适时洒水、对塔基开挖的土方及时苫盖等措施，防止扬尘污染</w:t>
            </w:r>
            <w:r>
              <w:rPr>
                <w:rFonts w:hint="eastAsia" w:cs="Times New Roman"/>
                <w:color w:val="auto"/>
                <w:sz w:val="24"/>
                <w:highlight w:val="none"/>
                <w:lang w:val="en-US" w:eastAsia="zh-CN"/>
              </w:rPr>
              <w:t>。</w:t>
            </w:r>
          </w:p>
          <w:p w14:paraId="1B8B7209">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④施工期选用低噪声施工设备，加强施工机械维护和保养，避免噪声源强较大的机械同时进行施工作业</w:t>
            </w:r>
            <w:r>
              <w:rPr>
                <w:rFonts w:hint="eastAsia" w:cs="Times New Roman"/>
                <w:color w:val="auto"/>
                <w:sz w:val="24"/>
                <w:highlight w:val="none"/>
                <w:lang w:val="en-US" w:eastAsia="zh-CN"/>
              </w:rPr>
              <w:t>。</w:t>
            </w:r>
          </w:p>
          <w:p w14:paraId="6AFABD2E">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⑤施工过程产生的建筑垃圾、生活垃圾进行分类集中收集，严禁弃置在</w:t>
            </w:r>
            <w:r>
              <w:rPr>
                <w:rFonts w:hint="eastAsia" w:eastAsia="宋体" w:cs="Times New Roman"/>
                <w:color w:val="auto"/>
                <w:sz w:val="24"/>
                <w:highlight w:val="none"/>
                <w:lang w:val="en-US" w:eastAsia="zh-CN"/>
              </w:rPr>
              <w:t>生态保护红线</w:t>
            </w:r>
            <w:r>
              <w:rPr>
                <w:rFonts w:hint="eastAsia" w:ascii="Times New Roman" w:hAnsi="Times New Roman" w:eastAsia="宋体" w:cs="Times New Roman"/>
                <w:color w:val="auto"/>
                <w:sz w:val="24"/>
                <w:highlight w:val="none"/>
                <w:lang w:val="en-US" w:eastAsia="zh-CN"/>
              </w:rPr>
              <w:t>范围内</w:t>
            </w:r>
            <w:r>
              <w:rPr>
                <w:rFonts w:hint="eastAsia" w:cs="Times New Roman"/>
                <w:color w:val="auto"/>
                <w:sz w:val="24"/>
                <w:highlight w:val="none"/>
                <w:lang w:val="en-US" w:eastAsia="zh-CN"/>
              </w:rPr>
              <w:t>。</w:t>
            </w:r>
          </w:p>
          <w:p w14:paraId="718BD07A">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color w:val="auto"/>
                <w:sz w:val="24"/>
                <w:szCs w:val="24"/>
                <w:highlight w:val="none"/>
                <w:lang w:val="en-US" w:eastAsia="zh-CN"/>
              </w:rPr>
            </w:pPr>
            <w:r>
              <w:rPr>
                <w:rFonts w:hint="eastAsia" w:cs="Times New Roman"/>
                <w:color w:val="auto"/>
                <w:sz w:val="24"/>
                <w:highlight w:val="none"/>
                <w:lang w:val="en-US" w:eastAsia="zh-CN"/>
              </w:rPr>
              <w:t>⑥</w:t>
            </w:r>
            <w:r>
              <w:rPr>
                <w:rFonts w:hint="eastAsia" w:ascii="Times New Roman" w:hAnsi="Times New Roman" w:eastAsia="宋体" w:cs="Times New Roman"/>
                <w:color w:val="auto"/>
                <w:sz w:val="24"/>
                <w:highlight w:val="none"/>
                <w:lang w:val="en-US" w:eastAsia="zh-CN"/>
              </w:rPr>
              <w:t>施工结束后及时清理施工作业现场并及时进行植被恢复</w:t>
            </w:r>
            <w:r>
              <w:rPr>
                <w:rFonts w:hint="default"/>
                <w:color w:val="auto"/>
                <w:sz w:val="24"/>
                <w:szCs w:val="24"/>
                <w:highlight w:val="none"/>
                <w:lang w:val="en-US" w:eastAsia="zh-CN"/>
              </w:rPr>
              <w:t>。</w:t>
            </w:r>
          </w:p>
          <w:p w14:paraId="486FAA2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0"/>
                <w:w w:val="100"/>
                <w:position w:val="0"/>
                <w:sz w:val="24"/>
                <w:szCs w:val="24"/>
                <w:highlight w:val="none"/>
                <w:lang w:val="en-US" w:eastAsia="zh-CN"/>
              </w:rPr>
              <w:t>项目生态</w:t>
            </w:r>
            <w:r>
              <w:rPr>
                <w:rFonts w:hint="eastAsia" w:ascii="Times New Roman" w:hAnsi="Times New Roman" w:eastAsia="宋体" w:cs="Times New Roman"/>
                <w:color w:val="auto"/>
                <w:spacing w:val="0"/>
                <w:w w:val="100"/>
                <w:position w:val="0"/>
                <w:sz w:val="24"/>
                <w:szCs w:val="24"/>
                <w:highlight w:val="none"/>
                <w:lang w:val="en-US" w:eastAsia="zh-CN"/>
              </w:rPr>
              <w:t>保护措施</w:t>
            </w:r>
            <w:r>
              <w:rPr>
                <w:rFonts w:hint="eastAsia"/>
                <w:b w:val="0"/>
                <w:bCs w:val="0"/>
                <w:color w:val="auto"/>
                <w:sz w:val="24"/>
                <w:szCs w:val="24"/>
                <w:highlight w:val="none"/>
                <w:lang w:val="en-US" w:eastAsia="zh-CN"/>
              </w:rPr>
              <w:t>具体内容详见</w:t>
            </w:r>
            <w:r>
              <w:rPr>
                <w:rFonts w:hint="eastAsia"/>
                <w:b/>
                <w:bCs/>
                <w:color w:val="auto"/>
                <w:sz w:val="24"/>
                <w:szCs w:val="24"/>
                <w:highlight w:val="none"/>
                <w:lang w:val="en-US" w:eastAsia="zh-CN"/>
              </w:rPr>
              <w:t>生态专题评价</w:t>
            </w:r>
            <w:r>
              <w:rPr>
                <w:rFonts w:hint="default" w:ascii="Times New Roman" w:hAnsi="Times New Roman" w:eastAsia="宋体" w:cs="Times New Roman"/>
                <w:color w:val="auto"/>
                <w:spacing w:val="0"/>
                <w:w w:val="100"/>
                <w:position w:val="0"/>
                <w:sz w:val="24"/>
                <w:szCs w:val="24"/>
                <w:highlight w:val="none"/>
                <w:lang w:val="en-US" w:eastAsia="zh-CN"/>
              </w:rPr>
              <w:t>。</w:t>
            </w:r>
          </w:p>
          <w:p w14:paraId="2B040C6F">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cs="Times New Roman"/>
                <w:color w:val="auto"/>
                <w:sz w:val="24"/>
                <w:highlight w:val="none"/>
              </w:rPr>
              <w:t>项目</w:t>
            </w:r>
            <w:r>
              <w:rPr>
                <w:rFonts w:hint="eastAsia" w:cs="Times New Roman"/>
                <w:color w:val="auto"/>
                <w:sz w:val="24"/>
                <w:highlight w:val="none"/>
                <w:lang w:val="en-US" w:eastAsia="zh-CN"/>
              </w:rPr>
              <w:t>施工布置及</w:t>
            </w:r>
            <w:r>
              <w:rPr>
                <w:rFonts w:hint="default" w:ascii="Times New Roman" w:hAnsi="Times New Roman" w:cs="Times New Roman"/>
                <w:color w:val="auto"/>
                <w:sz w:val="24"/>
                <w:highlight w:val="none"/>
              </w:rPr>
              <w:t>生态保护措施平面布置图见</w:t>
            </w:r>
            <w:r>
              <w:rPr>
                <w:rFonts w:hint="default" w:ascii="Times New Roman" w:hAnsi="Times New Roman" w:cs="Times New Roman"/>
                <w:b/>
                <w:bCs/>
                <w:color w:val="auto"/>
                <w:sz w:val="24"/>
                <w:highlight w:val="none"/>
              </w:rPr>
              <w:t>附图</w:t>
            </w:r>
            <w:r>
              <w:rPr>
                <w:rFonts w:hint="eastAsia" w:ascii="Times New Roman" w:hAnsi="Times New Roman" w:cs="Times New Roman"/>
                <w:b/>
                <w:bCs/>
                <w:color w:val="auto"/>
                <w:sz w:val="24"/>
                <w:highlight w:val="none"/>
                <w:lang w:val="en-US" w:eastAsia="zh-CN"/>
              </w:rPr>
              <w:t>5-1</w:t>
            </w:r>
            <w:r>
              <w:rPr>
                <w:rFonts w:hint="eastAsia" w:cs="Times New Roman"/>
                <w:b w:val="0"/>
                <w:bCs w:val="0"/>
                <w:color w:val="auto"/>
                <w:sz w:val="24"/>
                <w:highlight w:val="none"/>
                <w:lang w:val="en-US" w:eastAsia="zh-CN"/>
              </w:rPr>
              <w:t>，项目典型生态保护措施设计图见</w:t>
            </w:r>
            <w:r>
              <w:rPr>
                <w:rFonts w:hint="eastAsia" w:cs="Times New Roman"/>
                <w:b/>
                <w:bCs/>
                <w:color w:val="auto"/>
                <w:sz w:val="24"/>
                <w:highlight w:val="none"/>
                <w:lang w:val="en-US" w:eastAsia="zh-CN"/>
              </w:rPr>
              <w:t>附图5-2</w:t>
            </w:r>
            <w:r>
              <w:rPr>
                <w:rFonts w:hint="default" w:ascii="Times New Roman" w:hAnsi="Times New Roman" w:cs="Times New Roman"/>
                <w:color w:val="auto"/>
                <w:sz w:val="24"/>
                <w:highlight w:val="none"/>
              </w:rPr>
              <w:t>。</w:t>
            </w:r>
          </w:p>
          <w:p w14:paraId="555DBBB1">
            <w:pPr>
              <w:pStyle w:val="8"/>
              <w:keepNext w:val="0"/>
              <w:keepLines w:val="0"/>
              <w:pageBreakBefore w:val="0"/>
              <w:kinsoku/>
              <w:wordWrap/>
              <w:overflowPunct/>
              <w:topLinePunct w:val="0"/>
              <w:bidi w:val="0"/>
              <w:spacing w:after="0" w:line="360" w:lineRule="auto"/>
              <w:ind w:left="0" w:leftChars="0" w:firstLine="482" w:firstLineChars="200"/>
              <w:textAlignment w:val="auto"/>
              <w:rPr>
                <w:b/>
                <w:bCs/>
                <w:color w:val="auto"/>
                <w:sz w:val="24"/>
                <w:highlight w:val="none"/>
              </w:rPr>
            </w:pPr>
            <w:r>
              <w:rPr>
                <w:b/>
                <w:bCs/>
                <w:color w:val="auto"/>
                <w:sz w:val="24"/>
                <w:highlight w:val="none"/>
              </w:rPr>
              <w:t>2、声环境保护措施</w:t>
            </w:r>
          </w:p>
          <w:p w14:paraId="07F64614">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为了进一步减少施工噪声对项目周围声环境影响，施工期应采取以下措施对施工噪声进行防治：</w:t>
            </w:r>
          </w:p>
          <w:p w14:paraId="0DEB1967">
            <w:pPr>
              <w:keepNext w:val="0"/>
              <w:keepLines w:val="0"/>
              <w:pageBreakBefore w:val="0"/>
              <w:kinsoku/>
              <w:wordWrap/>
              <w:overflowPunct/>
              <w:topLinePunct w:val="0"/>
              <w:autoSpaceDE w:val="0"/>
              <w:autoSpaceDN w:val="0"/>
              <w:bidi w:val="0"/>
              <w:spacing w:line="360" w:lineRule="auto"/>
              <w:ind w:firstLine="480" w:firstLineChars="200"/>
              <w:textAlignment w:val="auto"/>
              <w:rPr>
                <w:rFonts w:hint="eastAsia" w:eastAsia="宋体"/>
                <w:color w:val="auto"/>
                <w:sz w:val="24"/>
                <w:highlight w:val="none"/>
                <w:lang w:eastAsia="zh-CN"/>
              </w:rPr>
            </w:pPr>
            <w:r>
              <w:rPr>
                <w:color w:val="auto"/>
                <w:sz w:val="24"/>
                <w:highlight w:val="none"/>
              </w:rPr>
              <w:t>（1）变电站</w:t>
            </w:r>
            <w:r>
              <w:rPr>
                <w:rFonts w:hint="eastAsia"/>
                <w:color w:val="auto"/>
                <w:sz w:val="24"/>
                <w:highlight w:val="none"/>
                <w:lang w:eastAsia="zh-CN"/>
              </w:rPr>
              <w:t>、</w:t>
            </w:r>
            <w:r>
              <w:rPr>
                <w:rFonts w:hint="eastAsia"/>
                <w:color w:val="auto"/>
                <w:sz w:val="24"/>
                <w:highlight w:val="none"/>
                <w:lang w:val="en-US" w:eastAsia="zh-CN"/>
              </w:rPr>
              <w:t>施工营地、</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color w:val="auto"/>
                <w:sz w:val="24"/>
                <w:highlight w:val="none"/>
              </w:rPr>
              <w:t>等</w:t>
            </w:r>
            <w:r>
              <w:rPr>
                <w:rFonts w:hint="eastAsia"/>
                <w:color w:val="auto"/>
                <w:sz w:val="24"/>
                <w:highlight w:val="none"/>
                <w:lang w:val="en-US" w:eastAsia="zh-CN"/>
              </w:rPr>
              <w:t>施工时应设置施工围挡</w:t>
            </w:r>
            <w:r>
              <w:rPr>
                <w:color w:val="auto"/>
                <w:sz w:val="24"/>
                <w:highlight w:val="none"/>
              </w:rPr>
              <w:t>；施工时应尽量避免多台高噪声施工机械同时进行施工，合理布置施工机械位置，尽量使施工机械远离变电站围墙</w:t>
            </w:r>
            <w:r>
              <w:rPr>
                <w:rFonts w:hint="eastAsia"/>
                <w:color w:val="auto"/>
                <w:sz w:val="24"/>
                <w:highlight w:val="none"/>
                <w:lang w:eastAsia="zh-CN"/>
              </w:rPr>
              <w:t>。</w:t>
            </w:r>
          </w:p>
          <w:p w14:paraId="0F3A375F">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color w:val="auto"/>
                <w:sz w:val="24"/>
                <w:highlight w:val="none"/>
              </w:rPr>
              <w:t>（2）</w:t>
            </w:r>
            <w:r>
              <w:rPr>
                <w:rFonts w:hint="default" w:ascii="Times New Roman" w:hAnsi="Times New Roman" w:cs="Times New Roman"/>
                <w:color w:val="auto"/>
                <w:sz w:val="24"/>
                <w:highlight w:val="none"/>
              </w:rPr>
              <w:t>做好施工组织设计，选用低噪声施工设备，加强各类施工机械设备维护保养，使其一直保持良好的状态，减轻因设备运行状态不佳而造成的噪声污染</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kern w:val="0"/>
                <w:sz w:val="24"/>
                <w:highlight w:val="none"/>
                <w:lang w:val="en-US" w:eastAsia="zh-CN" w:bidi="ar"/>
              </w:rPr>
              <w:t>变电站围墙采用装配式围墙，</w:t>
            </w:r>
            <w:r>
              <w:rPr>
                <w:rFonts w:hint="eastAsia" w:cs="Times New Roman"/>
                <w:color w:val="auto"/>
                <w:kern w:val="0"/>
                <w:sz w:val="24"/>
                <w:highlight w:val="none"/>
                <w:lang w:val="en-US" w:eastAsia="zh-CN" w:bidi="ar"/>
              </w:rPr>
              <w:t>配电装置室</w:t>
            </w:r>
            <w:r>
              <w:rPr>
                <w:rFonts w:hint="default" w:ascii="Times New Roman" w:hAnsi="Times New Roman" w:cs="Times New Roman"/>
                <w:color w:val="auto"/>
                <w:kern w:val="0"/>
                <w:sz w:val="24"/>
                <w:highlight w:val="none"/>
                <w:lang w:val="en-US" w:eastAsia="zh-CN" w:bidi="ar"/>
              </w:rPr>
              <w:t>采用装配式钢框架结构，减少了施工作业</w:t>
            </w:r>
            <w:r>
              <w:rPr>
                <w:rFonts w:hint="eastAsia" w:ascii="Times New Roman" w:hAnsi="Times New Roman" w:cs="Times New Roman"/>
                <w:color w:val="auto"/>
                <w:kern w:val="0"/>
                <w:sz w:val="24"/>
                <w:highlight w:val="none"/>
                <w:lang w:val="en-US" w:eastAsia="zh-CN" w:bidi="ar"/>
              </w:rPr>
              <w:t>强度</w:t>
            </w:r>
            <w:r>
              <w:rPr>
                <w:rFonts w:hint="default" w:ascii="Times New Roman" w:hAnsi="Times New Roman" w:cs="Times New Roman"/>
                <w:color w:val="auto"/>
                <w:kern w:val="0"/>
                <w:sz w:val="24"/>
                <w:highlight w:val="none"/>
                <w:lang w:val="en-US" w:eastAsia="zh-CN" w:bidi="ar"/>
              </w:rPr>
              <w:t>，可减少了噪声对周围声环境的影响。</w:t>
            </w:r>
          </w:p>
          <w:p w14:paraId="6EBC9B70">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color w:val="auto"/>
                <w:sz w:val="24"/>
                <w:highlight w:val="none"/>
              </w:rPr>
              <w:t>（3）严格控制施工作业时间，因特殊需要必须连续施工作业的，应当取得地方人民政府住房和城乡建设、生态环境主管部门或者地方人民政府指定的部门的证明，并在施工现场显著位置公示。</w:t>
            </w:r>
          </w:p>
          <w:p w14:paraId="54A409A7">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在落实以上措施后，本项目施工期噪声对周围声环境影响较小。</w:t>
            </w:r>
          </w:p>
          <w:p w14:paraId="34133026">
            <w:pPr>
              <w:pStyle w:val="8"/>
              <w:keepNext w:val="0"/>
              <w:keepLines w:val="0"/>
              <w:pageBreakBefore w:val="0"/>
              <w:kinsoku/>
              <w:wordWrap/>
              <w:overflowPunct/>
              <w:topLinePunct w:val="0"/>
              <w:bidi w:val="0"/>
              <w:spacing w:after="0" w:line="360" w:lineRule="auto"/>
              <w:ind w:left="0" w:leftChars="0" w:firstLine="482" w:firstLineChars="200"/>
              <w:textAlignment w:val="auto"/>
              <w:rPr>
                <w:b/>
                <w:bCs/>
                <w:color w:val="auto"/>
                <w:sz w:val="24"/>
                <w:highlight w:val="none"/>
              </w:rPr>
            </w:pPr>
            <w:r>
              <w:rPr>
                <w:b/>
                <w:bCs/>
                <w:color w:val="auto"/>
                <w:sz w:val="24"/>
                <w:highlight w:val="none"/>
              </w:rPr>
              <w:t>3、大气环境保护措施</w:t>
            </w:r>
          </w:p>
          <w:p w14:paraId="5F2AEB88">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为了进一步减少施工扬尘对大气环境的影响，施工期应采取以下扬尘污染防治措施：</w:t>
            </w:r>
          </w:p>
          <w:p w14:paraId="0C9AB66C">
            <w:pPr>
              <w:keepNext w:val="0"/>
              <w:keepLines w:val="0"/>
              <w:pageBreakBefore w:val="0"/>
              <w:kinsoku/>
              <w:wordWrap/>
              <w:overflowPunct/>
              <w:topLinePunct w:val="0"/>
              <w:bidi w:val="0"/>
              <w:spacing w:line="360" w:lineRule="auto"/>
              <w:ind w:firstLine="480" w:firstLineChars="200"/>
              <w:textAlignment w:val="auto"/>
              <w:rPr>
                <w:color w:val="auto"/>
                <w:sz w:val="24"/>
                <w:highlight w:val="none"/>
              </w:rPr>
            </w:pPr>
            <w:r>
              <w:rPr>
                <w:color w:val="auto"/>
                <w:sz w:val="24"/>
                <w:highlight w:val="none"/>
              </w:rPr>
              <w:t>（1</w:t>
            </w:r>
            <w:r>
              <w:rPr>
                <w:rFonts w:hint="eastAsia"/>
                <w:color w:val="auto"/>
                <w:sz w:val="24"/>
                <w:highlight w:val="none"/>
                <w:lang w:eastAsia="zh-CN"/>
              </w:rPr>
              <w:t>）</w:t>
            </w:r>
            <w:r>
              <w:rPr>
                <w:rFonts w:hint="default" w:ascii="Times New Roman" w:hAnsi="Times New Roman" w:cs="Times New Roman"/>
                <w:color w:val="auto"/>
                <w:kern w:val="0"/>
                <w:sz w:val="24"/>
                <w:highlight w:val="none"/>
                <w:lang w:val="en-US" w:eastAsia="zh-CN" w:bidi="ar"/>
              </w:rPr>
              <w:t>变电站围墙采用装配式围墙，</w:t>
            </w:r>
            <w:r>
              <w:rPr>
                <w:rFonts w:hint="eastAsia" w:cs="Times New Roman"/>
                <w:color w:val="auto"/>
                <w:kern w:val="0"/>
                <w:sz w:val="24"/>
                <w:highlight w:val="none"/>
                <w:lang w:val="en-US" w:eastAsia="zh-CN" w:bidi="ar"/>
              </w:rPr>
              <w:t>配电装置室</w:t>
            </w:r>
            <w:r>
              <w:rPr>
                <w:rFonts w:hint="default" w:ascii="Times New Roman" w:hAnsi="Times New Roman" w:cs="Times New Roman"/>
                <w:color w:val="auto"/>
                <w:kern w:val="0"/>
                <w:sz w:val="24"/>
                <w:highlight w:val="none"/>
                <w:lang w:val="en-US" w:eastAsia="zh-CN" w:bidi="ar"/>
              </w:rPr>
              <w:t>采用装配式钢框架结构，减少了施工作业时间，可减少了扬尘对周围大气环境的影响。</w:t>
            </w:r>
            <w:r>
              <w:rPr>
                <w:rFonts w:hint="default" w:ascii="Times New Roman" w:hAnsi="Times New Roman" w:cs="Times New Roman"/>
                <w:color w:val="auto"/>
                <w:sz w:val="24"/>
                <w:highlight w:val="none"/>
              </w:rPr>
              <w:t>施工前变电站应在施工场地四周按照规定先设置施工围挡并建设实体围墙，做到永临结合，施工围挡及实体围墙会对施工扬尘起到一定的阻隔作用。</w:t>
            </w:r>
          </w:p>
          <w:p w14:paraId="150EED4C">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eastAsia" w:ascii="Times New Roman" w:hAnsi="Times New Roman" w:cs="Times New Roman"/>
                <w:color w:val="auto"/>
                <w:sz w:val="24"/>
                <w:highlight w:val="none"/>
                <w:lang w:eastAsia="zh-CN"/>
              </w:rPr>
            </w:pPr>
            <w:r>
              <w:rPr>
                <w:color w:val="auto"/>
                <w:sz w:val="24"/>
                <w:highlight w:val="none"/>
              </w:rPr>
              <w:t>（</w:t>
            </w:r>
            <w:r>
              <w:rPr>
                <w:rFonts w:hint="eastAsia"/>
                <w:color w:val="auto"/>
                <w:sz w:val="24"/>
                <w:highlight w:val="none"/>
              </w:rPr>
              <w:t>2</w:t>
            </w:r>
            <w:r>
              <w:rPr>
                <w:color w:val="auto"/>
                <w:sz w:val="24"/>
                <w:highlight w:val="none"/>
              </w:rPr>
              <w:t>）</w:t>
            </w:r>
            <w:r>
              <w:rPr>
                <w:rFonts w:hint="eastAsia"/>
                <w:color w:val="auto"/>
                <w:sz w:val="24"/>
                <w:highlight w:val="none"/>
                <w:lang w:val="en-US" w:eastAsia="zh-CN"/>
              </w:rPr>
              <w:t>施工营地、</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color w:val="auto"/>
                <w:sz w:val="24"/>
                <w:highlight w:val="none"/>
              </w:rPr>
              <w:t>等</w:t>
            </w:r>
            <w:r>
              <w:rPr>
                <w:rFonts w:hint="eastAsia"/>
                <w:color w:val="auto"/>
                <w:sz w:val="24"/>
                <w:highlight w:val="none"/>
                <w:lang w:val="en-US" w:eastAsia="zh-CN"/>
              </w:rPr>
              <w:t>施工时应设置施工围挡，</w:t>
            </w:r>
            <w:r>
              <w:rPr>
                <w:rFonts w:hint="default" w:ascii="Times New Roman" w:hAnsi="Times New Roman" w:cs="Times New Roman"/>
                <w:color w:val="auto"/>
                <w:sz w:val="24"/>
                <w:highlight w:val="none"/>
              </w:rPr>
              <w:t>以减轻施工扬尘影响</w:t>
            </w:r>
            <w:r>
              <w:rPr>
                <w:rFonts w:hint="eastAsia" w:ascii="Times New Roman" w:hAnsi="Times New Roman" w:cs="Times New Roman"/>
                <w:color w:val="auto"/>
                <w:sz w:val="24"/>
                <w:highlight w:val="none"/>
                <w:lang w:eastAsia="zh-CN"/>
              </w:rPr>
              <w:t>。</w:t>
            </w:r>
          </w:p>
          <w:p w14:paraId="625C1C5E">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（3）项目开挖出的土石方应及时进行回填，变电站开挖出的土石方不能回填的及时外运处置，以减少临时堆土扬尘的产生。</w:t>
            </w:r>
          </w:p>
          <w:p w14:paraId="0F9B98B9">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default" w:ascii="Times New Roman" w:hAnsi="Times New Roman" w:cs="Times New Roman"/>
                <w:color w:val="auto"/>
                <w:kern w:val="0"/>
                <w:sz w:val="24"/>
                <w:highlight w:val="none"/>
              </w:rPr>
              <w:t>开挖采取分段施工、分段回填、及时清运的施工方式，减少土壤裸露时间和裸露面积，防止扬尘污染</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sz w:val="24"/>
                <w:highlight w:val="none"/>
              </w:rPr>
              <w:t>站外供水</w:t>
            </w:r>
            <w:r>
              <w:rPr>
                <w:rFonts w:hint="eastAsia" w:cs="Times New Roman"/>
                <w:color w:val="auto"/>
                <w:sz w:val="24"/>
                <w:highlight w:val="none"/>
                <w:lang w:val="en-US" w:eastAsia="zh-CN"/>
              </w:rPr>
              <w:t>及排</w:t>
            </w:r>
            <w:r>
              <w:rPr>
                <w:rFonts w:hint="default" w:ascii="Times New Roman" w:hAnsi="Times New Roman" w:cs="Times New Roman"/>
                <w:color w:val="auto"/>
                <w:sz w:val="24"/>
                <w:highlight w:val="none"/>
              </w:rPr>
              <w:t>水管线</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kern w:val="0"/>
                <w:sz w:val="24"/>
                <w:highlight w:val="none"/>
                <w:lang w:val="en-US" w:eastAsia="zh-CN" w:bidi="ar"/>
              </w:rPr>
              <w:t>10千伏临时施工电源线路拆除后，应及时进行土方回填，进行植被恢复，减少施工扬尘的产生。</w:t>
            </w:r>
          </w:p>
          <w:p w14:paraId="2AB228A9">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（5）</w:t>
            </w:r>
            <w:r>
              <w:rPr>
                <w:rFonts w:hint="eastAsia" w:cs="Times New Roman"/>
                <w:color w:val="auto"/>
                <w:sz w:val="24"/>
                <w:highlight w:val="none"/>
                <w:lang w:val="en-US" w:eastAsia="zh-CN"/>
              </w:rPr>
              <w:t>施工过程中</w:t>
            </w:r>
            <w:r>
              <w:rPr>
                <w:rFonts w:hint="default" w:ascii="Times New Roman" w:hAnsi="Times New Roman" w:cs="Times New Roman"/>
                <w:color w:val="auto"/>
                <w:kern w:val="0"/>
                <w:sz w:val="24"/>
                <w:highlight w:val="none"/>
              </w:rPr>
              <w:t>土方开挖、回填、易产生扬尘工序等施工时，须进行湿法作业，根据现场实际情况对施工场地等进行洒水等降尘措施</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运输车辆驶出</w:t>
            </w:r>
            <w:r>
              <w:rPr>
                <w:rFonts w:hint="eastAsia" w:ascii="Times New Roman" w:hAnsi="Times New Roman" w:cs="Times New Roman"/>
                <w:color w:val="auto"/>
                <w:kern w:val="0"/>
                <w:sz w:val="24"/>
                <w:highlight w:val="none"/>
                <w:lang w:val="en-US" w:eastAsia="zh-CN"/>
              </w:rPr>
              <w:t>变电站</w:t>
            </w:r>
            <w:r>
              <w:rPr>
                <w:rFonts w:hint="default" w:ascii="Times New Roman" w:hAnsi="Times New Roman" w:cs="Times New Roman"/>
                <w:color w:val="auto"/>
                <w:kern w:val="0"/>
                <w:sz w:val="24"/>
                <w:highlight w:val="none"/>
              </w:rPr>
              <w:t>施工场地前必须做除泥除尘处理，严禁车轮带泥的车辆上路行驶。</w:t>
            </w:r>
          </w:p>
          <w:p w14:paraId="6FCA02F8">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（6）施工现场的临时堆土及其它建筑垃圾，若在施工场地内堆置超过48h的，应密闭存放或及时进行覆盖，防止风蚀起尘及水蚀迁移。</w:t>
            </w:r>
          </w:p>
          <w:p w14:paraId="1B8ED51E">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（7）四级及四级以上大风或重度污染天气时，严禁土方开挖、回填、转运以及其他可能产生扬尘污染的施工，并做好作业面覆盖工作。</w:t>
            </w:r>
          </w:p>
          <w:p w14:paraId="14C1AB96">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（8）</w:t>
            </w:r>
            <w:r>
              <w:rPr>
                <w:rFonts w:hint="default" w:ascii="Times New Roman" w:hAnsi="Times New Roman" w:cs="Times New Roman"/>
                <w:color w:val="auto"/>
                <w:sz w:val="24"/>
                <w:highlight w:val="none"/>
              </w:rPr>
              <w:t>施工过程中，应当对裸露地面进行覆盖；暂时不能开工的建设用地超过三个月的，应当进行绿化、铺装或者遮盖。</w:t>
            </w:r>
          </w:p>
          <w:p w14:paraId="613BE356">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（9）施工现场禁止将包装物、可燃垃圾等固体废弃物就地焚烧。</w:t>
            </w:r>
          </w:p>
          <w:p w14:paraId="2174827A">
            <w:pPr>
              <w:keepNext w:val="0"/>
              <w:keepLines w:val="0"/>
              <w:pageBreakBefore w:val="0"/>
              <w:kinsoku/>
              <w:wordWrap/>
              <w:overflowPunct/>
              <w:topLinePunct w:val="0"/>
              <w:autoSpaceDE w:val="0"/>
              <w:autoSpaceDN w:val="0"/>
              <w:bidi w:val="0"/>
              <w:spacing w:line="360" w:lineRule="auto"/>
              <w:ind w:firstLine="480" w:firstLineChars="200"/>
              <w:jc w:val="left"/>
              <w:textAlignment w:val="auto"/>
              <w:rPr>
                <w:rFonts w:hint="eastAsia" w:eastAsia="宋体"/>
                <w:color w:val="auto"/>
                <w:sz w:val="24"/>
                <w:highlight w:val="none"/>
                <w:lang w:eastAsia="zh-CN"/>
              </w:rPr>
            </w:pPr>
            <w:r>
              <w:rPr>
                <w:rFonts w:hint="default" w:ascii="Times New Roman" w:hAnsi="Times New Roman" w:cs="Times New Roman"/>
                <w:color w:val="auto"/>
                <w:sz w:val="24"/>
                <w:highlight w:val="none"/>
              </w:rPr>
              <w:t>（10）如用汽车运输易起尘的土方时，要加盖</w:t>
            </w:r>
            <w:r>
              <w:rPr>
                <w:rFonts w:hint="default" w:ascii="Times New Roman" w:hAnsi="Times New Roman" w:cs="Times New Roman"/>
                <w:color w:val="auto"/>
                <w:sz w:val="24"/>
                <w:highlight w:val="none"/>
                <w:lang w:eastAsia="zh-CN"/>
              </w:rPr>
              <w:t>篷</w:t>
            </w:r>
            <w:r>
              <w:rPr>
                <w:rFonts w:hint="default" w:ascii="Times New Roman" w:hAnsi="Times New Roman" w:cs="Times New Roman"/>
                <w:color w:val="auto"/>
                <w:sz w:val="24"/>
                <w:highlight w:val="none"/>
              </w:rPr>
              <w:t>布、控制车速，防止物料洒落和产生扬尘；卸车时应尽量减少落差，以减少地面扬尘污染。</w:t>
            </w:r>
          </w:p>
          <w:p w14:paraId="0DBE40AA">
            <w:pPr>
              <w:pStyle w:val="8"/>
              <w:keepNext w:val="0"/>
              <w:keepLines w:val="0"/>
              <w:pageBreakBefore w:val="0"/>
              <w:kinsoku/>
              <w:wordWrap/>
              <w:overflowPunct/>
              <w:topLinePunct w:val="0"/>
              <w:bidi w:val="0"/>
              <w:spacing w:after="0" w:line="360" w:lineRule="auto"/>
              <w:textAlignment w:val="auto"/>
              <w:rPr>
                <w:color w:val="auto"/>
                <w:sz w:val="24"/>
                <w:highlight w:val="none"/>
              </w:rPr>
            </w:pPr>
            <w:r>
              <w:rPr>
                <w:color w:val="auto"/>
                <w:sz w:val="24"/>
                <w:highlight w:val="none"/>
              </w:rPr>
              <w:t>在落实以上措施后，本项目施工期扬尘对周围大气环境影响较小。</w:t>
            </w:r>
          </w:p>
          <w:p w14:paraId="56C37207">
            <w:pPr>
              <w:pStyle w:val="8"/>
              <w:keepNext w:val="0"/>
              <w:keepLines w:val="0"/>
              <w:pageBreakBefore w:val="0"/>
              <w:kinsoku/>
              <w:wordWrap/>
              <w:overflowPunct/>
              <w:topLinePunct w:val="0"/>
              <w:bidi w:val="0"/>
              <w:spacing w:after="0" w:line="360" w:lineRule="auto"/>
              <w:ind w:left="0" w:leftChars="0" w:firstLine="482" w:firstLineChars="200"/>
              <w:textAlignment w:val="auto"/>
              <w:rPr>
                <w:b/>
                <w:bCs/>
                <w:color w:val="auto"/>
                <w:sz w:val="24"/>
                <w:highlight w:val="none"/>
              </w:rPr>
            </w:pPr>
            <w:r>
              <w:rPr>
                <w:b/>
                <w:bCs/>
                <w:color w:val="auto"/>
                <w:sz w:val="24"/>
                <w:highlight w:val="none"/>
              </w:rPr>
              <w:t>4、固体废物处置措施</w:t>
            </w:r>
          </w:p>
          <w:p w14:paraId="559561C4">
            <w:pPr>
              <w:pStyle w:val="8"/>
              <w:keepNext w:val="0"/>
              <w:keepLines w:val="0"/>
              <w:pageBreakBefore w:val="0"/>
              <w:numPr>
                <w:ilvl w:val="0"/>
                <w:numId w:val="0"/>
              </w:numPr>
              <w:kinsoku/>
              <w:wordWrap/>
              <w:overflowPunct/>
              <w:topLinePunct w:val="0"/>
              <w:bidi w:val="0"/>
              <w:spacing w:after="0" w:line="360" w:lineRule="auto"/>
              <w:ind w:firstLine="480" w:firstLineChars="200"/>
              <w:textAlignment w:val="auto"/>
              <w:rPr>
                <w:bCs/>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本项目总体挖填方平衡，无弃土产生。变电站区域剥离的表土用于</w:t>
            </w:r>
            <w:r>
              <w:rPr>
                <w:rFonts w:hint="eastAsia"/>
                <w:color w:val="auto"/>
                <w:sz w:val="24"/>
                <w:highlight w:val="none"/>
              </w:rPr>
              <w:t>施工营地</w:t>
            </w:r>
            <w:r>
              <w:rPr>
                <w:rFonts w:hint="eastAsia"/>
                <w:color w:val="auto"/>
                <w:sz w:val="24"/>
                <w:highlight w:val="none"/>
                <w:lang w:val="en-US" w:eastAsia="zh-CN"/>
              </w:rPr>
              <w:t>等</w:t>
            </w:r>
            <w:r>
              <w:rPr>
                <w:color w:val="auto"/>
                <w:sz w:val="24"/>
                <w:highlight w:val="none"/>
              </w:rPr>
              <w:t>临时占地土地平整恢复使用；</w:t>
            </w:r>
            <w:r>
              <w:rPr>
                <w:bCs/>
                <w:color w:val="auto"/>
                <w:sz w:val="24"/>
                <w:highlight w:val="none"/>
              </w:rPr>
              <w:t>塔基基础开挖出的土石方用于回填及塔基周围培土</w:t>
            </w:r>
            <w:r>
              <w:rPr>
                <w:rFonts w:hint="eastAsia"/>
                <w:bCs/>
                <w:color w:val="auto"/>
                <w:sz w:val="24"/>
                <w:highlight w:val="none"/>
                <w:lang w:eastAsia="zh-CN"/>
              </w:rPr>
              <w:t>。</w:t>
            </w:r>
          </w:p>
          <w:p w14:paraId="73BFF2C5">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color w:val="auto"/>
                <w:highlight w:val="none"/>
              </w:rPr>
            </w:pPr>
            <w:r>
              <w:rPr>
                <w:color w:val="auto"/>
                <w:sz w:val="24"/>
                <w:highlight w:val="none"/>
              </w:rPr>
              <w:t>（2）</w:t>
            </w:r>
            <w:r>
              <w:rPr>
                <w:rFonts w:hint="eastAsia" w:cs="Times New Roman"/>
                <w:color w:val="auto"/>
                <w:sz w:val="24"/>
                <w:highlight w:val="none"/>
                <w:lang w:val="en-US" w:eastAsia="zh-CN"/>
              </w:rPr>
              <w:t>拆除10千伏的水泥杆、导线、地线等可回收建材由建设单位及时回收处置；施工结束后</w:t>
            </w:r>
            <w:r>
              <w:rPr>
                <w:rFonts w:hint="default" w:ascii="Times New Roman" w:hAnsi="Times New Roman" w:eastAsia="宋体" w:cs="Times New Roman"/>
                <w:color w:val="auto"/>
                <w:sz w:val="24"/>
                <w:highlight w:val="none"/>
                <w:lang w:val="en-US" w:eastAsia="zh-CN"/>
              </w:rPr>
              <w:t>10千伏临时电源线路拆除的塔基基础、废包装材料等</w:t>
            </w:r>
            <w:r>
              <w:rPr>
                <w:rFonts w:hint="default" w:ascii="Times New Roman" w:hAnsi="Times New Roman" w:eastAsia="宋体" w:cs="Times New Roman"/>
                <w:color w:val="auto"/>
                <w:sz w:val="24"/>
                <w:highlight w:val="none"/>
                <w:lang w:eastAsia="zh-CN"/>
              </w:rPr>
              <w:t>建筑</w:t>
            </w:r>
            <w:r>
              <w:rPr>
                <w:rFonts w:hint="default" w:ascii="Times New Roman" w:hAnsi="Times New Roman" w:eastAsia="宋体" w:cs="Times New Roman"/>
                <w:color w:val="auto"/>
                <w:sz w:val="24"/>
                <w:highlight w:val="none"/>
              </w:rPr>
              <w:t>垃圾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运往政府部门指定的地点处置。</w:t>
            </w:r>
          </w:p>
          <w:p w14:paraId="60DD4ABF">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（3）</w:t>
            </w:r>
            <w:r>
              <w:rPr>
                <w:rFonts w:hint="default" w:ascii="Times New Roman" w:hAnsi="Times New Roman" w:cs="Times New Roman"/>
                <w:color w:val="auto"/>
                <w:sz w:val="24"/>
                <w:highlight w:val="none"/>
              </w:rPr>
              <w:t>施工期间</w:t>
            </w:r>
            <w:r>
              <w:rPr>
                <w:rFonts w:hint="eastAsia" w:cs="Times New Roman"/>
                <w:color w:val="auto"/>
                <w:sz w:val="24"/>
                <w:highlight w:val="none"/>
                <w:lang w:val="en-US" w:eastAsia="zh-CN"/>
              </w:rPr>
              <w:t>变电站施工营地</w:t>
            </w:r>
            <w:r>
              <w:rPr>
                <w:rFonts w:hint="default" w:ascii="Times New Roman" w:hAnsi="Times New Roman" w:cs="Times New Roman"/>
                <w:color w:val="auto"/>
                <w:sz w:val="24"/>
                <w:highlight w:val="none"/>
              </w:rPr>
              <w:t>产生的生活垃圾应集中</w:t>
            </w:r>
            <w:r>
              <w:rPr>
                <w:rFonts w:hint="eastAsia" w:ascii="Times New Roman" w:hAnsi="Times New Roman" w:cs="Times New Roman"/>
                <w:color w:val="auto"/>
                <w:sz w:val="24"/>
                <w:highlight w:val="none"/>
                <w:lang w:val="en-US" w:eastAsia="zh-CN"/>
              </w:rPr>
              <w:t>分类</w:t>
            </w:r>
            <w:r>
              <w:rPr>
                <w:rFonts w:hint="default" w:ascii="Times New Roman" w:hAnsi="Times New Roman" w:cs="Times New Roman"/>
                <w:color w:val="auto"/>
                <w:sz w:val="24"/>
                <w:highlight w:val="none"/>
              </w:rPr>
              <w:t>收集，定期运至附近垃圾收集点，由当地环卫部门统一清运处置，严禁随意丢弃和堆放。</w:t>
            </w:r>
            <w:r>
              <w:rPr>
                <w:rFonts w:hint="eastAsia" w:cs="Times New Roman"/>
                <w:color w:val="auto"/>
                <w:sz w:val="24"/>
                <w:highlight w:val="none"/>
                <w:lang w:val="en-US" w:eastAsia="zh-CN"/>
              </w:rPr>
              <w:t>输电线路</w:t>
            </w:r>
            <w:r>
              <w:rPr>
                <w:rFonts w:hint="default" w:ascii="Times New Roman" w:hAnsi="Times New Roman" w:cs="Times New Roman"/>
                <w:color w:val="auto"/>
                <w:sz w:val="24"/>
                <w:highlight w:val="none"/>
                <w:lang w:val="en-US" w:eastAsia="zh-CN"/>
              </w:rPr>
              <w:t>施工人员</w:t>
            </w:r>
            <w:r>
              <w:rPr>
                <w:rFonts w:hint="default" w:ascii="Times New Roman" w:hAnsi="Times New Roman" w:eastAsia="宋体" w:cs="Times New Roman"/>
                <w:color w:val="auto"/>
                <w:sz w:val="24"/>
                <w:highlight w:val="none"/>
                <w:lang w:val="en-US" w:eastAsia="zh-CN"/>
              </w:rPr>
              <w:t>产生的生活垃圾依托居住地生活垃圾收集设施处置。</w:t>
            </w:r>
          </w:p>
          <w:p w14:paraId="2489784D">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在落实以上措施后，本项目施工期固体废物对周围环境影响较小。</w:t>
            </w:r>
          </w:p>
          <w:p w14:paraId="48D8DF90">
            <w:pPr>
              <w:pStyle w:val="8"/>
              <w:keepNext w:val="0"/>
              <w:keepLines w:val="0"/>
              <w:pageBreakBefore w:val="0"/>
              <w:kinsoku/>
              <w:wordWrap/>
              <w:overflowPunct/>
              <w:topLinePunct w:val="0"/>
              <w:bidi w:val="0"/>
              <w:spacing w:after="0" w:line="360" w:lineRule="auto"/>
              <w:ind w:left="0" w:leftChars="0" w:firstLine="482" w:firstLineChars="200"/>
              <w:textAlignment w:val="auto"/>
              <w:rPr>
                <w:b/>
                <w:bCs/>
                <w:color w:val="auto"/>
                <w:sz w:val="24"/>
                <w:highlight w:val="none"/>
              </w:rPr>
            </w:pPr>
            <w:r>
              <w:rPr>
                <w:b/>
                <w:bCs/>
                <w:color w:val="auto"/>
                <w:sz w:val="24"/>
                <w:highlight w:val="none"/>
              </w:rPr>
              <w:t>5、水环境保护措施</w:t>
            </w:r>
          </w:p>
          <w:p w14:paraId="404FF34A">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cs="Times New Roman"/>
                <w:color w:val="auto"/>
                <w:sz w:val="24"/>
                <w:highlight w:val="none"/>
                <w:lang w:val="en-US" w:eastAsia="zh-CN"/>
              </w:rPr>
              <w:t>1）</w:t>
            </w:r>
            <w:r>
              <w:rPr>
                <w:color w:val="auto"/>
                <w:sz w:val="24"/>
                <w:highlight w:val="none"/>
              </w:rPr>
              <w:t>变电站、输电线路施工采用商品混凝土，</w:t>
            </w:r>
            <w:r>
              <w:rPr>
                <w:rFonts w:hint="default" w:ascii="Times New Roman" w:hAnsi="Times New Roman" w:cs="Times New Roman"/>
                <w:color w:val="auto"/>
                <w:sz w:val="24"/>
                <w:highlight w:val="none"/>
              </w:rPr>
              <w:t>无施工废水产生。</w:t>
            </w:r>
          </w:p>
          <w:p w14:paraId="4770F4DF">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变电站</w:t>
            </w:r>
            <w:r>
              <w:rPr>
                <w:rFonts w:hint="default" w:ascii="Times New Roman" w:hAnsi="Times New Roman" w:cs="Times New Roman"/>
                <w:color w:val="auto"/>
                <w:sz w:val="24"/>
                <w:highlight w:val="none"/>
              </w:rPr>
              <w:t>施工期施工营地设置化粪池</w:t>
            </w:r>
            <w:r>
              <w:rPr>
                <w:rFonts w:hint="default" w:ascii="Times New Roman" w:hAnsi="Times New Roman" w:eastAsia="宋体" w:cs="Times New Roman"/>
                <w:color w:val="auto"/>
                <w:sz w:val="24"/>
                <w:highlight w:val="none"/>
                <w:lang w:eastAsia="zh-CN"/>
              </w:rPr>
              <w:t>，化粪池要求采取防渗措施，定期委托环卫部门进行清掏。</w:t>
            </w:r>
            <w:r>
              <w:rPr>
                <w:rFonts w:hint="eastAsia" w:ascii="Times New Roman" w:hAnsi="Times New Roman" w:eastAsia="宋体" w:cs="Times New Roman"/>
                <w:color w:val="auto"/>
                <w:sz w:val="24"/>
                <w:highlight w:val="none"/>
                <w:lang w:val="en-US" w:eastAsia="zh-CN"/>
              </w:rPr>
              <w:t>输电线路</w:t>
            </w:r>
            <w:r>
              <w:rPr>
                <w:rFonts w:hint="default" w:ascii="Times New Roman" w:hAnsi="Times New Roman" w:eastAsia="宋体" w:cs="Times New Roman"/>
                <w:color w:val="auto"/>
                <w:sz w:val="24"/>
                <w:highlight w:val="none"/>
                <w:lang w:val="en-US" w:eastAsia="zh-CN"/>
              </w:rPr>
              <w:t>施工人员</w:t>
            </w:r>
            <w:r>
              <w:rPr>
                <w:rFonts w:hint="default" w:ascii="Times New Roman" w:hAnsi="Times New Roman" w:eastAsia="宋体" w:cs="Times New Roman"/>
                <w:color w:val="auto"/>
                <w:sz w:val="24"/>
                <w:highlight w:val="none"/>
                <w:lang w:eastAsia="zh-CN"/>
              </w:rPr>
              <w:t>产生的生活污水纳入</w:t>
            </w:r>
            <w:r>
              <w:rPr>
                <w:rFonts w:hint="default" w:ascii="Times New Roman" w:hAnsi="Times New Roman" w:eastAsia="宋体" w:cs="Times New Roman"/>
                <w:color w:val="auto"/>
                <w:sz w:val="24"/>
                <w:highlight w:val="none"/>
                <w:lang w:val="en-US" w:eastAsia="zh-CN"/>
              </w:rPr>
              <w:t>居住地</w:t>
            </w:r>
            <w:r>
              <w:rPr>
                <w:rFonts w:hint="default" w:ascii="Times New Roman" w:hAnsi="Times New Roman" w:eastAsia="宋体" w:cs="Times New Roman"/>
                <w:color w:val="auto"/>
                <w:sz w:val="24"/>
                <w:highlight w:val="none"/>
                <w:lang w:eastAsia="zh-CN"/>
              </w:rPr>
              <w:t>生活污水处理设施</w:t>
            </w:r>
            <w:r>
              <w:rPr>
                <w:rFonts w:hint="eastAsia" w:ascii="Times New Roman" w:hAnsi="Times New Roman" w:eastAsia="宋体" w:cs="Times New Roman"/>
                <w:color w:val="auto"/>
                <w:sz w:val="24"/>
                <w:highlight w:val="none"/>
                <w:lang w:eastAsia="zh-CN"/>
              </w:rPr>
              <w:t>。</w:t>
            </w:r>
          </w:p>
          <w:p w14:paraId="59F23041">
            <w:pPr>
              <w:pStyle w:val="8"/>
              <w:keepNext w:val="0"/>
              <w:keepLines w:val="0"/>
              <w:pageBreakBefore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项目在经过一档跨越</w:t>
            </w:r>
            <w:r>
              <w:rPr>
                <w:rFonts w:hint="eastAsia" w:eastAsia="宋体" w:cs="Times New Roman"/>
                <w:color w:val="auto"/>
                <w:spacing w:val="0"/>
                <w:w w:val="100"/>
                <w:position w:val="0"/>
                <w:sz w:val="24"/>
                <w:szCs w:val="24"/>
                <w:highlight w:val="none"/>
                <w:lang w:val="en-US" w:eastAsia="zh-CN"/>
              </w:rPr>
              <w:t>庙沟、筛子河及其他冲沟等水体时</w:t>
            </w:r>
            <w:r>
              <w:rPr>
                <w:rFonts w:hint="default" w:ascii="Times New Roman" w:hAnsi="Times New Roman" w:eastAsia="宋体" w:cs="Times New Roman"/>
                <w:color w:val="auto"/>
                <w:sz w:val="24"/>
                <w:highlight w:val="none"/>
                <w:lang w:val="en-US" w:eastAsia="zh-CN"/>
              </w:rPr>
              <w:t>，不在水中立塔，不涉及水中施工。施工时设置施工</w:t>
            </w:r>
            <w:r>
              <w:rPr>
                <w:rFonts w:hint="eastAsia" w:ascii="Times New Roman" w:hAnsi="Times New Roman" w:eastAsia="宋体" w:cs="Times New Roman"/>
                <w:color w:val="auto"/>
                <w:sz w:val="24"/>
                <w:highlight w:val="none"/>
                <w:lang w:val="en-US" w:eastAsia="zh-CN"/>
              </w:rPr>
              <w:t>围栏</w:t>
            </w:r>
            <w:r>
              <w:rPr>
                <w:rFonts w:hint="default" w:ascii="Times New Roman" w:hAnsi="Times New Roman" w:eastAsia="宋体" w:cs="Times New Roman"/>
                <w:color w:val="auto"/>
                <w:sz w:val="24"/>
                <w:highlight w:val="none"/>
                <w:lang w:val="en-US" w:eastAsia="zh-CN"/>
              </w:rPr>
              <w:t>，限定施工作业范围，临时物料堆放场</w:t>
            </w:r>
            <w:r>
              <w:rPr>
                <w:rFonts w:hint="eastAsia" w:cs="Times New Roman"/>
                <w:color w:val="auto"/>
                <w:sz w:val="24"/>
                <w:highlight w:val="none"/>
                <w:lang w:val="en-US" w:eastAsia="zh-CN"/>
              </w:rPr>
              <w:t>等</w:t>
            </w:r>
            <w:r>
              <w:rPr>
                <w:rFonts w:hint="default" w:ascii="Times New Roman" w:hAnsi="Times New Roman" w:eastAsia="宋体" w:cs="Times New Roman"/>
                <w:color w:val="auto"/>
                <w:sz w:val="24"/>
                <w:highlight w:val="none"/>
                <w:lang w:val="en-US" w:eastAsia="zh-CN"/>
              </w:rPr>
              <w:t>均远离水体设置；加强施工人员管理，禁止向水体中倾倒施工废水、固体废弃物。</w:t>
            </w:r>
            <w:r>
              <w:rPr>
                <w:rFonts w:hint="default" w:ascii="Times New Roman" w:hAnsi="Times New Roman" w:eastAsia="宋体" w:cs="Times New Roman"/>
                <w:color w:val="auto"/>
                <w:sz w:val="24"/>
                <w:highlight w:val="none"/>
                <w:lang w:eastAsia="zh-CN"/>
              </w:rPr>
              <w:t>施工结束后，及时对施工作业区域进行清理</w:t>
            </w:r>
            <w:r>
              <w:rPr>
                <w:rFonts w:hint="eastAsia" w:ascii="Times New Roman" w:hAnsi="Times New Roman" w:eastAsia="宋体" w:cs="Times New Roman"/>
                <w:color w:val="auto"/>
                <w:sz w:val="24"/>
                <w:highlight w:val="none"/>
                <w:lang w:eastAsia="zh-CN"/>
              </w:rPr>
              <w:t>。</w:t>
            </w:r>
          </w:p>
          <w:p w14:paraId="43057CFE">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val="en-US" w:eastAsia="zh-CN"/>
              </w:rPr>
              <w:t>在落实以上措施后，</w:t>
            </w:r>
            <w:r>
              <w:rPr>
                <w:rFonts w:hint="eastAsia" w:ascii="Times New Roman" w:hAnsi="Times New Roman" w:eastAsia="宋体" w:cs="Times New Roman"/>
                <w:color w:val="auto"/>
                <w:sz w:val="24"/>
                <w:highlight w:val="none"/>
                <w:lang w:val="en-US" w:eastAsia="zh-CN"/>
              </w:rPr>
              <w:t>本项目施工期废（污）水</w:t>
            </w:r>
            <w:r>
              <w:rPr>
                <w:rFonts w:hint="default" w:ascii="Times New Roman" w:hAnsi="Times New Roman" w:eastAsia="宋体" w:cs="Times New Roman"/>
                <w:color w:val="auto"/>
                <w:sz w:val="24"/>
                <w:highlight w:val="none"/>
                <w:lang w:val="en-US" w:eastAsia="zh-CN"/>
              </w:rPr>
              <w:t>对周围水环境影响较小。</w:t>
            </w:r>
          </w:p>
          <w:p w14:paraId="4498E268">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以上措施需在施工期完成，责任单位为建设单位，具体实施单位为施工单位，建设单位需对施工期环境保护措施的落实情况进行监督管理。</w:t>
            </w:r>
          </w:p>
          <w:p w14:paraId="38328A38">
            <w:pPr>
              <w:pStyle w:val="8"/>
              <w:keepNext w:val="0"/>
              <w:keepLines w:val="0"/>
              <w:pageBreakBefore w:val="0"/>
              <w:kinsoku/>
              <w:wordWrap/>
              <w:overflowPunct/>
              <w:topLinePunct w:val="0"/>
              <w:bidi w:val="0"/>
              <w:spacing w:after="0" w:line="360" w:lineRule="auto"/>
              <w:ind w:left="0" w:leftChars="0" w:firstLine="482" w:firstLineChars="200"/>
              <w:textAlignment w:val="auto"/>
              <w:rPr>
                <w:b/>
                <w:bCs/>
                <w:color w:val="auto"/>
                <w:sz w:val="24"/>
                <w:highlight w:val="none"/>
              </w:rPr>
            </w:pPr>
            <w:r>
              <w:rPr>
                <w:b/>
                <w:bCs/>
                <w:color w:val="auto"/>
                <w:sz w:val="24"/>
                <w:highlight w:val="none"/>
              </w:rPr>
              <w:t>6、施工期环境管理</w:t>
            </w:r>
          </w:p>
          <w:p w14:paraId="05ED6967">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（1）环境管理机构</w:t>
            </w:r>
          </w:p>
          <w:p w14:paraId="7FF14CD6">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建设单位在管理机构内配备必要的专职人员，负责环境保护管理工作。</w:t>
            </w:r>
          </w:p>
          <w:p w14:paraId="671DA553">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（2）施工期环境管理</w:t>
            </w:r>
          </w:p>
          <w:p w14:paraId="775C5D75">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建设单位在施工期间设立项目部，设置专人负责环境保护管理工作，负责核查施工工序是否满足设计文件要求，核查施工是否满足环保要求等相关工作。具体建设单位环境管理的职责如下：</w:t>
            </w:r>
          </w:p>
          <w:p w14:paraId="2D7A3875">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①负责管辖范围内电网建设项目环境保护</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制度的具体执行。</w:t>
            </w:r>
          </w:p>
          <w:p w14:paraId="44D4AA29">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②依据环境影响评价文件及其批复文件，编制项目环境保护管理策划文件。</w:t>
            </w:r>
          </w:p>
          <w:p w14:paraId="2D90AF94">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③组织参建单位开展环境保护培训、宣贯和交底工作。</w:t>
            </w:r>
          </w:p>
          <w:p w14:paraId="22AC7B96">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④配合各级生态环境主管部门组织的监督检查，并组织整改发现的问题。</w:t>
            </w:r>
          </w:p>
          <w:p w14:paraId="4E0DF385">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5 \* GB3 \* MERGEFORMAT </w:instrText>
            </w:r>
            <w:r>
              <w:rPr>
                <w:color w:val="auto"/>
                <w:sz w:val="24"/>
                <w:highlight w:val="none"/>
              </w:rPr>
              <w:fldChar w:fldCharType="separate"/>
            </w:r>
            <w:r>
              <w:rPr>
                <w:color w:val="auto"/>
                <w:sz w:val="24"/>
                <w:highlight w:val="none"/>
              </w:rPr>
              <w:t>⑤</w:t>
            </w:r>
            <w:r>
              <w:rPr>
                <w:color w:val="auto"/>
                <w:sz w:val="24"/>
                <w:highlight w:val="none"/>
              </w:rPr>
              <w:fldChar w:fldCharType="end"/>
            </w:r>
            <w:r>
              <w:rPr>
                <w:color w:val="auto"/>
                <w:sz w:val="24"/>
                <w:highlight w:val="none"/>
              </w:rPr>
              <w:t>做好施工中各种环境问题的收集、记录、建档和处理工作。</w:t>
            </w:r>
          </w:p>
          <w:p w14:paraId="084420D8">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施工单位负责对项目资源进行合理使用和动态管理，确保施工人员能够严格执行各项环保管理制度、规定、贯彻落实各项环保政策，减少对生态环境影响。具体施工单位环境管理的职责如下：</w:t>
            </w:r>
          </w:p>
          <w:p w14:paraId="38ACA4AF">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①施工单位应组织施工人员学习《中华人民共和国环境保护法》、《中华人民共和国大气污染防治法》、《中华人民共和国固体废物污染环境防治法》、</w:t>
            </w:r>
            <w:r>
              <w:rPr>
                <w:bCs/>
                <w:color w:val="auto"/>
                <w:sz w:val="24"/>
                <w:highlight w:val="none"/>
              </w:rPr>
              <w:t>《宁夏回族自治区大气污染防治条例》、《宁夏回族自治区水污染防治条例》、</w:t>
            </w:r>
            <w:r>
              <w:rPr>
                <w:rFonts w:hint="default" w:ascii="Times New Roman" w:hAnsi="Times New Roman" w:eastAsia="宋体" w:cs="Times New Roman"/>
                <w:color w:val="auto"/>
                <w:spacing w:val="0"/>
                <w:w w:val="100"/>
                <w:position w:val="0"/>
                <w:sz w:val="24"/>
                <w:highlight w:val="none"/>
              </w:rPr>
              <w:t>《</w:t>
            </w:r>
            <w:r>
              <w:rPr>
                <w:rFonts w:hint="default" w:ascii="Times New Roman" w:hAnsi="Times New Roman" w:eastAsia="宋体" w:cs="Times New Roman"/>
                <w:color w:val="auto"/>
                <w:spacing w:val="0"/>
                <w:w w:val="100"/>
                <w:position w:val="0"/>
                <w:sz w:val="24"/>
                <w:highlight w:val="none"/>
                <w:lang w:val="en-US" w:eastAsia="zh-CN"/>
              </w:rPr>
              <w:t>宁夏回族自治区生态保护红线管理条例</w:t>
            </w:r>
            <w:r>
              <w:rPr>
                <w:rFonts w:hint="default" w:ascii="Times New Roman" w:hAnsi="Times New Roman" w:eastAsia="宋体" w:cs="Times New Roman"/>
                <w:color w:val="auto"/>
                <w:spacing w:val="0"/>
                <w:w w:val="100"/>
                <w:position w:val="0"/>
                <w:sz w:val="24"/>
                <w:highlight w:val="none"/>
              </w:rPr>
              <w:t>》</w:t>
            </w:r>
            <w:r>
              <w:rPr>
                <w:rFonts w:hint="default" w:ascii="Times New Roman" w:hAnsi="Times New Roman" w:cs="Times New Roman"/>
                <w:bCs/>
                <w:color w:val="auto"/>
                <w:sz w:val="24"/>
              </w:rPr>
              <w:t>、</w:t>
            </w:r>
            <w:r>
              <w:rPr>
                <w:bCs/>
                <w:color w:val="auto"/>
                <w:sz w:val="24"/>
                <w:highlight w:val="none"/>
              </w:rPr>
              <w:t>本项目环评及批复文件</w:t>
            </w:r>
            <w:r>
              <w:rPr>
                <w:color w:val="auto"/>
                <w:sz w:val="24"/>
                <w:highlight w:val="none"/>
              </w:rPr>
              <w:t>等有关环保法律法规，做到施工人员知法、懂法和守法。</w:t>
            </w:r>
          </w:p>
          <w:p w14:paraId="5236997A">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②根据施工图环境保护专项设计和项目环境保护管理策划以及国家电网有限公司、国网宁夏电力有限公司相关要求，编制环境保护施工方案。</w:t>
            </w:r>
          </w:p>
          <w:p w14:paraId="13AAB73D">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③参加建管单位组织的环境保护培训，开展本单位内部培训（含分包单位）。</w:t>
            </w:r>
          </w:p>
          <w:p w14:paraId="17445171">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④在施工过程中落实各项环境保护措施，记录和统计措施相关技术数据并报监理单位。</w:t>
            </w:r>
          </w:p>
          <w:p w14:paraId="32F50AF5">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5 \* GB3 \* MERGEFORMAT </w:instrText>
            </w:r>
            <w:r>
              <w:rPr>
                <w:color w:val="auto"/>
                <w:sz w:val="24"/>
                <w:highlight w:val="none"/>
              </w:rPr>
              <w:fldChar w:fldCharType="separate"/>
            </w:r>
            <w:r>
              <w:rPr>
                <w:color w:val="auto"/>
                <w:sz w:val="24"/>
                <w:highlight w:val="none"/>
              </w:rPr>
              <w:t>⑤</w:t>
            </w:r>
            <w:r>
              <w:rPr>
                <w:color w:val="auto"/>
                <w:sz w:val="24"/>
                <w:highlight w:val="none"/>
              </w:rPr>
              <w:fldChar w:fldCharType="end"/>
            </w:r>
            <w:r>
              <w:rPr>
                <w:color w:val="auto"/>
                <w:sz w:val="24"/>
                <w:highlight w:val="none"/>
              </w:rPr>
              <w:t>参加环境保护现场检查，完成整改工作，提交整改报告。</w:t>
            </w:r>
          </w:p>
          <w:p w14:paraId="7DB2279A">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6 \* GB3 \* MERGEFORMAT </w:instrText>
            </w:r>
            <w:r>
              <w:rPr>
                <w:color w:val="auto"/>
                <w:sz w:val="24"/>
                <w:highlight w:val="none"/>
              </w:rPr>
              <w:fldChar w:fldCharType="separate"/>
            </w:r>
            <w:r>
              <w:rPr>
                <w:color w:val="auto"/>
                <w:sz w:val="24"/>
                <w:highlight w:val="none"/>
              </w:rPr>
              <w:t>⑥</w:t>
            </w:r>
            <w:r>
              <w:rPr>
                <w:color w:val="auto"/>
                <w:sz w:val="24"/>
                <w:highlight w:val="none"/>
              </w:rPr>
              <w:fldChar w:fldCharType="end"/>
            </w:r>
            <w:r>
              <w:rPr>
                <w:color w:val="auto"/>
                <w:sz w:val="24"/>
                <w:highlight w:val="none"/>
              </w:rPr>
              <w:t>编制环境保护施工总结。</w:t>
            </w:r>
          </w:p>
          <w:p w14:paraId="36A62D8A">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fldChar w:fldCharType="begin"/>
            </w:r>
            <w:r>
              <w:rPr>
                <w:color w:val="auto"/>
                <w:sz w:val="24"/>
                <w:highlight w:val="none"/>
              </w:rPr>
              <w:instrText xml:space="preserve"> = 7 \* GB3 \* MERGEFORMAT </w:instrText>
            </w:r>
            <w:r>
              <w:rPr>
                <w:color w:val="auto"/>
                <w:sz w:val="24"/>
                <w:highlight w:val="none"/>
              </w:rPr>
              <w:fldChar w:fldCharType="separate"/>
            </w:r>
            <w:r>
              <w:rPr>
                <w:color w:val="auto"/>
                <w:sz w:val="24"/>
                <w:highlight w:val="none"/>
              </w:rPr>
              <w:t>⑦</w:t>
            </w:r>
            <w:r>
              <w:rPr>
                <w:color w:val="auto"/>
                <w:sz w:val="24"/>
                <w:highlight w:val="none"/>
              </w:rPr>
              <w:fldChar w:fldCharType="end"/>
            </w:r>
            <w:r>
              <w:rPr>
                <w:color w:val="auto"/>
                <w:sz w:val="24"/>
                <w:highlight w:val="none"/>
              </w:rPr>
              <w:t>参与竣工环境保护设施验收工作。</w:t>
            </w:r>
          </w:p>
          <w:p w14:paraId="202DE4DF">
            <w:pPr>
              <w:pStyle w:val="8"/>
              <w:keepNext w:val="0"/>
              <w:keepLines w:val="0"/>
              <w:pageBreakBefore w:val="0"/>
              <w:kinsoku/>
              <w:wordWrap/>
              <w:overflowPunct/>
              <w:topLinePunct w:val="0"/>
              <w:bidi w:val="0"/>
              <w:spacing w:after="0" w:line="360" w:lineRule="auto"/>
              <w:ind w:left="0" w:leftChars="0" w:firstLine="480" w:firstLineChars="200"/>
              <w:textAlignment w:val="auto"/>
              <w:rPr>
                <w:b/>
                <w:bCs/>
                <w:color w:val="auto"/>
                <w:sz w:val="24"/>
                <w:highlight w:val="none"/>
              </w:rPr>
            </w:pPr>
            <w:r>
              <w:rPr>
                <w:color w:val="auto"/>
                <w:sz w:val="24"/>
                <w:highlight w:val="none"/>
              </w:rPr>
              <w:t>⑧协助完成各级生态环境主管部监督检查和沟通协调工作。</w:t>
            </w:r>
          </w:p>
          <w:p w14:paraId="1BB1FB68">
            <w:pPr>
              <w:pStyle w:val="8"/>
              <w:keepNext w:val="0"/>
              <w:keepLines w:val="0"/>
              <w:pageBreakBefore w:val="0"/>
              <w:kinsoku/>
              <w:wordWrap/>
              <w:overflowPunct/>
              <w:topLinePunct w:val="0"/>
              <w:bidi w:val="0"/>
              <w:spacing w:after="0" w:line="360" w:lineRule="auto"/>
              <w:ind w:left="0" w:leftChars="0" w:firstLine="480" w:firstLineChars="200"/>
              <w:textAlignment w:val="auto"/>
              <w:rPr>
                <w:color w:val="auto"/>
                <w:sz w:val="24"/>
                <w:highlight w:val="none"/>
              </w:rPr>
            </w:pPr>
            <w:r>
              <w:rPr>
                <w:color w:val="auto"/>
                <w:sz w:val="24"/>
                <w:highlight w:val="none"/>
              </w:rPr>
              <w:t>（3）施工期环境监测计划</w:t>
            </w:r>
          </w:p>
          <w:p w14:paraId="160687B2">
            <w:pPr>
              <w:keepNext w:val="0"/>
              <w:keepLines w:val="0"/>
              <w:pageBreakBefore w:val="0"/>
              <w:kinsoku/>
              <w:wordWrap/>
              <w:overflowPunct/>
              <w:topLinePunct w:val="0"/>
              <w:bidi w:val="0"/>
              <w:spacing w:line="360" w:lineRule="auto"/>
              <w:ind w:firstLine="480" w:firstLineChars="200"/>
              <w:textAlignment w:val="auto"/>
              <w:rPr>
                <w:bCs/>
                <w:color w:val="auto"/>
                <w:spacing w:val="10"/>
                <w:szCs w:val="21"/>
                <w:highlight w:val="none"/>
              </w:rPr>
            </w:pPr>
            <w:r>
              <w:rPr>
                <w:color w:val="auto"/>
                <w:sz w:val="24"/>
                <w:highlight w:val="none"/>
              </w:rPr>
              <w:t>对施工单位进行环境管理、检查和监督，对施工期出现的各种环境保护问题进行纠正，记录并及时进行归档处理。</w:t>
            </w:r>
          </w:p>
        </w:tc>
      </w:tr>
      <w:tr w14:paraId="085A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tcMar>
              <w:left w:w="28" w:type="dxa"/>
              <w:right w:w="28" w:type="dxa"/>
            </w:tcMar>
            <w:vAlign w:val="center"/>
          </w:tcPr>
          <w:p w14:paraId="2798E82C">
            <w:pPr>
              <w:adjustRightInd w:val="0"/>
              <w:snapToGrid w:val="0"/>
              <w:jc w:val="center"/>
              <w:rPr>
                <w:bCs/>
                <w:color w:val="auto"/>
                <w:spacing w:val="10"/>
                <w:szCs w:val="21"/>
                <w:highlight w:val="none"/>
              </w:rPr>
            </w:pPr>
            <w:r>
              <w:rPr>
                <w:bCs/>
                <w:color w:val="auto"/>
                <w:spacing w:val="10"/>
                <w:sz w:val="24"/>
                <w:highlight w:val="none"/>
              </w:rPr>
              <w:t>运营期生态环境保护措施</w:t>
            </w:r>
          </w:p>
        </w:tc>
        <w:tc>
          <w:tcPr>
            <w:tcW w:w="8692" w:type="dxa"/>
          </w:tcPr>
          <w:p w14:paraId="300FAE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b/>
                <w:bCs/>
                <w:color w:val="auto"/>
                <w:sz w:val="24"/>
                <w:highlight w:val="none"/>
              </w:rPr>
              <w:t>1、生态保护措施</w:t>
            </w:r>
          </w:p>
          <w:p w14:paraId="64AC5898">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（1）线路巡检人员，沿固定巡检道路行驶，减少运行期对生态环境的影响。</w:t>
            </w:r>
          </w:p>
          <w:p w14:paraId="480802F1">
            <w:pPr>
              <w:pStyle w:val="8"/>
              <w:keepNext w:val="0"/>
              <w:keepLines w:val="0"/>
              <w:pageBreakBefore w:val="0"/>
              <w:widowControl w:val="0"/>
              <w:kinsoku/>
              <w:wordWrap/>
              <w:overflowPunct/>
              <w:topLinePunct w:val="0"/>
              <w:autoSpaceDE/>
              <w:autoSpaceDN/>
              <w:bidi w:val="0"/>
              <w:adjustRightInd/>
              <w:snapToGrid/>
              <w:spacing w:after="0" w:line="360" w:lineRule="auto"/>
              <w:ind w:left="479" w:leftChars="228" w:firstLine="0" w:firstLineChars="0"/>
              <w:textAlignment w:val="auto"/>
              <w:rPr>
                <w:rFonts w:hint="eastAsia" w:ascii="Times New Roman" w:hAnsi="Times New Roman" w:eastAsia="宋体" w:cs="Times New Roman"/>
                <w:color w:val="auto"/>
                <w:sz w:val="24"/>
                <w:highlight w:val="none"/>
                <w:lang w:val="en-US" w:eastAsia="zh-CN"/>
              </w:rPr>
            </w:pPr>
            <w:r>
              <w:rPr>
                <w:rFonts w:ascii="Times New Roman" w:hAnsi="Times New Roman" w:eastAsia="宋体" w:cs="Times New Roman"/>
                <w:color w:val="auto"/>
                <w:sz w:val="24"/>
                <w:highlight w:val="none"/>
              </w:rPr>
              <w:t>（2）定期对沿线生态保护和防护措施进行检查，跟踪生态保护与恢复效果</w:t>
            </w:r>
            <w:r>
              <w:rPr>
                <w:rFonts w:hint="eastAsia" w:ascii="Times New Roman" w:hAnsi="Times New Roman" w:eastAsia="宋体" w:cs="Times New Roman"/>
                <w:color w:val="auto"/>
                <w:sz w:val="24"/>
                <w:highlight w:val="none"/>
                <w:lang w:eastAsia="zh-CN"/>
              </w:rPr>
              <w:t>。</w:t>
            </w:r>
          </w:p>
          <w:p w14:paraId="7BF45C2A">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（3）运行期通过加强管理，线路巡检人员沿固定巡检道路行驶，禁止线路巡检人员随意进入生态保护红线范围内。</w:t>
            </w:r>
          </w:p>
          <w:p w14:paraId="312706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b/>
                <w:bCs/>
                <w:color w:val="auto"/>
                <w:sz w:val="24"/>
                <w:highlight w:val="none"/>
              </w:rPr>
              <w:t>2、电磁环境保护措施</w:t>
            </w:r>
          </w:p>
          <w:p w14:paraId="41318EFB">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（1）变电站内电气设备采取集中布置方式，在设计中应按有关规程采取一系列减少电磁环境影响的措施，有效的减少对周围电磁环境的影响。</w:t>
            </w:r>
          </w:p>
          <w:p w14:paraId="25470049">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highlight w:val="none"/>
              </w:rPr>
            </w:pPr>
            <w:r>
              <w:rPr>
                <w:color w:val="auto"/>
                <w:sz w:val="24"/>
                <w:highlight w:val="none"/>
              </w:rPr>
              <w:t>（2）输电线路设计严格执行环评及有关设计规程、规范提出的要求，采用合理的导线截面及结构，提高导线、金具加工工艺及控制导线对地距离，减少对周围电磁环境影响。</w:t>
            </w:r>
          </w:p>
          <w:p w14:paraId="2FE2C6D7">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（3）加强变电站及输电线路监督管理，以及对运营期工频电场、工频磁场的监测工作，掌握项目产生的工频电场、工频磁场情况，及时发现问题。</w:t>
            </w:r>
          </w:p>
          <w:p w14:paraId="29F2E32C">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（4）在项目安全距离内不得新建房屋，加强对项目周围人群科普宣传工作，提高人们的自我防范和公众保护电力设施的意识。</w:t>
            </w:r>
          </w:p>
          <w:p w14:paraId="6601EA3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b/>
                <w:bCs/>
                <w:color w:val="auto"/>
                <w:sz w:val="24"/>
                <w:highlight w:val="none"/>
              </w:rPr>
              <w:t>3、声环境保护措施</w:t>
            </w:r>
          </w:p>
          <w:p w14:paraId="728455DD">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（1）变电站采用低噪声设备，从设备声源上控制噪声对周围环境影响。</w:t>
            </w:r>
          </w:p>
          <w:p w14:paraId="59DEFD77">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（2）输电</w:t>
            </w:r>
            <w:r>
              <w:rPr>
                <w:color w:val="auto"/>
                <w:kern w:val="0"/>
                <w:sz w:val="24"/>
                <w:highlight w:val="none"/>
              </w:rPr>
              <w:t>线路合理选择导线截面和相导线结构，并通过控制导线对地高度，以降低线路的电晕可听噪声水平。</w:t>
            </w:r>
          </w:p>
          <w:p w14:paraId="5AAE9393">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highlight w:val="none"/>
              </w:rPr>
            </w:pPr>
            <w:r>
              <w:rPr>
                <w:color w:val="auto"/>
                <w:sz w:val="24"/>
                <w:highlight w:val="none"/>
              </w:rPr>
              <w:t>（3）加强变电站及输电线路监督管理，以及对运营期噪声的监测工作，掌握项目产生的噪声情况，及时发现问题。</w:t>
            </w:r>
          </w:p>
          <w:p w14:paraId="766043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w:t>
            </w:r>
            <w:r>
              <w:rPr>
                <w:b/>
                <w:bCs/>
                <w:color w:val="auto"/>
                <w:sz w:val="24"/>
                <w:highlight w:val="none"/>
              </w:rPr>
              <w:t>、水环境保护措施</w:t>
            </w:r>
          </w:p>
          <w:p w14:paraId="661C6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s="Times New Roman"/>
                <w:color w:val="auto"/>
                <w:sz w:val="24"/>
                <w:highlight w:val="none"/>
                <w:lang w:val="en-US" w:eastAsia="zh-CN"/>
              </w:rPr>
              <w:t>本项目变电站站内设有化粪池</w:t>
            </w:r>
            <w:r>
              <w:rPr>
                <w:rFonts w:hint="default" w:ascii="Times New Roman" w:hAnsi="Times New Roman" w:eastAsia="宋体" w:cs="Times New Roman"/>
                <w:color w:val="auto"/>
                <w:sz w:val="24"/>
                <w:highlight w:val="none"/>
                <w:lang w:eastAsia="zh-CN"/>
              </w:rPr>
              <w:t>，化粪池要求采取防渗措施</w:t>
            </w:r>
            <w:r>
              <w:rPr>
                <w:rFonts w:hint="eastAsia" w:cs="Times New Roman"/>
                <w:color w:val="auto"/>
                <w:sz w:val="24"/>
                <w:highlight w:val="none"/>
                <w:lang w:val="en-US" w:eastAsia="zh-CN"/>
              </w:rPr>
              <w:t>，门卫</w:t>
            </w:r>
            <w:r>
              <w:rPr>
                <w:rFonts w:hint="default" w:ascii="Times New Roman" w:hAnsi="Times New Roman" w:eastAsia="宋体" w:cs="Times New Roman"/>
                <w:color w:val="auto"/>
                <w:sz w:val="24"/>
                <w:highlight w:val="none"/>
              </w:rPr>
              <w:t>产生的</w:t>
            </w:r>
            <w:r>
              <w:rPr>
                <w:rFonts w:hint="eastAsia" w:ascii="Times New Roman" w:hAnsi="Times New Roman" w:eastAsia="宋体" w:cs="Times New Roman"/>
                <w:color w:val="auto"/>
                <w:sz w:val="24"/>
                <w:highlight w:val="none"/>
                <w:lang w:val="en-US" w:eastAsia="zh-CN"/>
              </w:rPr>
              <w:t>少量</w:t>
            </w:r>
            <w:r>
              <w:rPr>
                <w:rFonts w:hint="default" w:ascii="Times New Roman" w:hAnsi="Times New Roman" w:eastAsia="宋体" w:cs="Times New Roman"/>
                <w:color w:val="auto"/>
                <w:sz w:val="24"/>
                <w:szCs w:val="24"/>
                <w:highlight w:val="none"/>
                <w:lang w:val="en-US" w:eastAsia="zh-CN"/>
              </w:rPr>
              <w:t>生活污水经</w:t>
            </w:r>
            <w:r>
              <w:rPr>
                <w:rFonts w:hint="eastAsia"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处理</w:t>
            </w:r>
            <w:r>
              <w:rPr>
                <w:rFonts w:hint="eastAsia" w:ascii="Times New Roman" w:hAnsi="Times New Roman" w:eastAsia="宋体" w:cs="Times New Roman"/>
                <w:color w:val="auto"/>
                <w:sz w:val="24"/>
                <w:szCs w:val="24"/>
                <w:highlight w:val="none"/>
                <w:lang w:val="en-US" w:eastAsia="zh-CN"/>
              </w:rPr>
              <w:t>，化粪池</w:t>
            </w:r>
            <w:r>
              <w:rPr>
                <w:rFonts w:hint="eastAsia" w:cs="Times New Roman"/>
                <w:color w:val="auto"/>
                <w:kern w:val="0"/>
                <w:sz w:val="24"/>
                <w:szCs w:val="24"/>
                <w:highlight w:val="none"/>
                <w:lang w:val="en-US" w:eastAsia="zh-CN" w:bidi="ar"/>
              </w:rPr>
              <w:t>定期清掏，</w:t>
            </w:r>
            <w:r>
              <w:rPr>
                <w:rFonts w:hint="default" w:ascii="Times New Roman" w:hAnsi="Times New Roman" w:eastAsia="宋体" w:cs="Times New Roman"/>
                <w:color w:val="auto"/>
                <w:kern w:val="0"/>
                <w:sz w:val="24"/>
                <w:szCs w:val="24"/>
                <w:highlight w:val="none"/>
                <w:lang w:val="en-US" w:eastAsia="zh-CN" w:bidi="ar"/>
              </w:rPr>
              <w:t>不外排。</w:t>
            </w:r>
          </w:p>
          <w:p w14:paraId="6B5777D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5</w:t>
            </w:r>
            <w:r>
              <w:rPr>
                <w:b/>
                <w:bCs/>
                <w:color w:val="auto"/>
                <w:sz w:val="24"/>
                <w:highlight w:val="none"/>
              </w:rPr>
              <w:t>、固体废物处置措施</w:t>
            </w:r>
          </w:p>
          <w:p w14:paraId="159E1921">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（1）</w:t>
            </w:r>
            <w:r>
              <w:rPr>
                <w:rFonts w:hint="default" w:ascii="Times New Roman" w:hAnsi="Times New Roman" w:cs="Times New Roman"/>
                <w:color w:val="auto"/>
                <w:sz w:val="24"/>
                <w:highlight w:val="none"/>
              </w:rPr>
              <w:t>本项目变电站站内设有</w:t>
            </w:r>
            <w:r>
              <w:rPr>
                <w:rFonts w:hint="eastAsia" w:ascii="Times New Roman" w:hAnsi="Times New Roman" w:cs="Times New Roman"/>
                <w:color w:val="auto"/>
                <w:sz w:val="24"/>
                <w:highlight w:val="none"/>
                <w:lang w:val="en-US" w:eastAsia="zh-CN"/>
              </w:rPr>
              <w:t>生活</w:t>
            </w:r>
            <w:r>
              <w:rPr>
                <w:rFonts w:hint="default" w:ascii="Times New Roman" w:hAnsi="Times New Roman" w:cs="Times New Roman"/>
                <w:color w:val="auto"/>
                <w:sz w:val="24"/>
                <w:highlight w:val="none"/>
              </w:rPr>
              <w:t>垃圾</w:t>
            </w:r>
            <w:r>
              <w:rPr>
                <w:rFonts w:hint="eastAsia" w:ascii="Times New Roman" w:hAnsi="Times New Roman" w:cs="Times New Roman"/>
                <w:color w:val="auto"/>
                <w:sz w:val="24"/>
                <w:highlight w:val="none"/>
                <w:lang w:val="en-US" w:eastAsia="zh-CN"/>
              </w:rPr>
              <w:t>桶</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门卫</w:t>
            </w:r>
            <w:r>
              <w:rPr>
                <w:rFonts w:hint="default" w:ascii="Times New Roman" w:hAnsi="Times New Roman" w:cs="Times New Roman"/>
                <w:color w:val="auto"/>
                <w:sz w:val="24"/>
                <w:highlight w:val="none"/>
              </w:rPr>
              <w:t>产生的</w:t>
            </w:r>
            <w:r>
              <w:rPr>
                <w:rFonts w:hint="default" w:ascii="Times New Roman" w:hAnsi="Times New Roman" w:cs="Times New Roman"/>
                <w:color w:val="auto"/>
                <w:sz w:val="24"/>
                <w:highlight w:val="none"/>
                <w:lang w:val="en-US" w:eastAsia="zh-CN"/>
              </w:rPr>
              <w:t>少量生活垃圾经站内垃圾桶分类集中收集，定期清运至附近垃圾收集点，由环卫部门统一清运</w:t>
            </w:r>
            <w:r>
              <w:rPr>
                <w:rFonts w:hint="eastAsia" w:cs="Times New Roman"/>
                <w:color w:val="auto"/>
                <w:sz w:val="24"/>
                <w:highlight w:val="none"/>
                <w:lang w:val="en-US" w:eastAsia="zh-CN"/>
              </w:rPr>
              <w:t>处置。</w:t>
            </w:r>
          </w:p>
          <w:p w14:paraId="6D36B12C">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（2）本项目变电站主变压器下方设有</w:t>
            </w:r>
            <w:r>
              <w:rPr>
                <w:rFonts w:hint="eastAsia"/>
                <w:color w:val="auto"/>
                <w:sz w:val="24"/>
                <w:highlight w:val="none"/>
                <w:lang w:val="en-US" w:eastAsia="zh-CN"/>
              </w:rPr>
              <w:t>防渗措施的</w:t>
            </w:r>
            <w:r>
              <w:rPr>
                <w:color w:val="auto"/>
                <w:sz w:val="24"/>
                <w:highlight w:val="none"/>
              </w:rPr>
              <w:t>事故油坑，铺有卵石层，若主变压器在事故状态下排油或漏油，将经排油</w:t>
            </w:r>
            <w:r>
              <w:rPr>
                <w:rFonts w:hint="eastAsia"/>
                <w:color w:val="auto"/>
                <w:sz w:val="24"/>
                <w:highlight w:val="none"/>
              </w:rPr>
              <w:t>管</w:t>
            </w:r>
            <w:r>
              <w:rPr>
                <w:color w:val="auto"/>
                <w:sz w:val="24"/>
                <w:highlight w:val="none"/>
              </w:rPr>
              <w:t>到达事故油池，事故油交有危险废物处理资质的单位回收处置。运行期应对事故油池的完好情况进行检查，确保无渗漏、无溢流。</w:t>
            </w:r>
            <w:r>
              <w:rPr>
                <w:rFonts w:hint="default" w:ascii="Times New Roman" w:hAnsi="Times New Roman" w:cs="Times New Roman"/>
                <w:color w:val="auto"/>
                <w:sz w:val="24"/>
              </w:rPr>
              <w:t>运行期应对事故油池的完好情况进行检查，确保无渗漏、无溢流。</w:t>
            </w:r>
          </w:p>
          <w:p w14:paraId="650FB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（3）本项目变电站报废的免维护蓄电池（一般8~1</w:t>
            </w:r>
            <w:r>
              <w:rPr>
                <w:rFonts w:hint="eastAsia"/>
                <w:color w:val="auto"/>
                <w:sz w:val="24"/>
                <w:highlight w:val="none"/>
                <w:lang w:val="en-US" w:eastAsia="zh-CN"/>
              </w:rPr>
              <w:t>0</w:t>
            </w:r>
            <w:r>
              <w:rPr>
                <w:color w:val="auto"/>
                <w:sz w:val="24"/>
                <w:highlight w:val="none"/>
              </w:rPr>
              <w:t>年更换一次）交有危险废物处理资质的单位置换后直接回收。</w:t>
            </w:r>
          </w:p>
          <w:p w14:paraId="280CECE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6</w:t>
            </w:r>
            <w:r>
              <w:rPr>
                <w:b/>
                <w:bCs/>
                <w:color w:val="auto"/>
                <w:sz w:val="24"/>
                <w:highlight w:val="none"/>
              </w:rPr>
              <w:t>、风险防范措施</w:t>
            </w:r>
          </w:p>
          <w:p w14:paraId="12E8312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highlight w:val="none"/>
              </w:rPr>
            </w:pPr>
            <w:r>
              <w:rPr>
                <w:color w:val="auto"/>
                <w:sz w:val="24"/>
                <w:highlight w:val="none"/>
              </w:rPr>
              <w:t>变电站在正常运行状态下无变压器油外排；一般只有发生事故状态下才会产生变压器油泄露。</w:t>
            </w:r>
            <w:r>
              <w:rPr>
                <w:rFonts w:hint="eastAsia"/>
                <w:color w:val="auto"/>
                <w:sz w:val="24"/>
                <w:highlight w:val="none"/>
                <w:lang w:val="en-US" w:eastAsia="zh-CN"/>
              </w:rPr>
              <w:t>新建</w:t>
            </w:r>
            <w:r>
              <w:rPr>
                <w:color w:val="auto"/>
                <w:sz w:val="24"/>
                <w:highlight w:val="none"/>
              </w:rPr>
              <w:t>变电站主变压器下设置事故油坑，铺设鹅卵层，四周设有排油</w:t>
            </w:r>
            <w:r>
              <w:rPr>
                <w:rFonts w:hint="eastAsia"/>
                <w:color w:val="auto"/>
                <w:sz w:val="24"/>
                <w:highlight w:val="none"/>
              </w:rPr>
              <w:t>管</w:t>
            </w:r>
            <w:r>
              <w:rPr>
                <w:color w:val="auto"/>
                <w:sz w:val="24"/>
                <w:highlight w:val="none"/>
              </w:rPr>
              <w:t>与事故油池相连。为了进一步减轻环境风险，变电站应采取以下环境风险防治措施：</w:t>
            </w:r>
          </w:p>
          <w:p w14:paraId="70B3897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highlight w:val="none"/>
              </w:rPr>
            </w:pPr>
            <w:r>
              <w:rPr>
                <w:color w:val="auto"/>
                <w:sz w:val="24"/>
                <w:highlight w:val="none"/>
              </w:rPr>
              <w:t>（1）事故油坑及事故油池防渗层为至少1m厚黏土层</w:t>
            </w:r>
            <w:r>
              <w:rPr>
                <w:rFonts w:hint="default" w:ascii="Times New Roman" w:hAnsi="Times New Roman" w:cs="Times New Roman"/>
                <w:color w:val="auto"/>
                <w:sz w:val="24"/>
                <w:highlight w:val="none"/>
              </w:rPr>
              <w:t>（渗透系数≤10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cm/s）</w:t>
            </w:r>
            <w:r>
              <w:rPr>
                <w:color w:val="auto"/>
                <w:sz w:val="24"/>
                <w:highlight w:val="none"/>
              </w:rPr>
              <w:t>或至少2mm厚高密度聚乙烯，或至少2mm厚的其他人工材料。</w:t>
            </w:r>
          </w:p>
          <w:p w14:paraId="32ACF5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color w:val="auto"/>
                <w:sz w:val="24"/>
                <w:highlight w:val="none"/>
              </w:rPr>
            </w:pPr>
            <w:bookmarkStart w:id="42" w:name="_Toc8768"/>
            <w:bookmarkStart w:id="43" w:name="_Toc12718"/>
            <w:r>
              <w:rPr>
                <w:color w:val="auto"/>
                <w:sz w:val="24"/>
                <w:highlight w:val="none"/>
              </w:rPr>
              <w:t>（2）当突发事故时，所有的漏油将渗过鹅卵层到达事故油坑</w:t>
            </w:r>
            <w:r>
              <w:rPr>
                <w:rFonts w:hint="eastAsia"/>
                <w:color w:val="auto"/>
                <w:sz w:val="24"/>
                <w:szCs w:val="24"/>
                <w:highlight w:val="none"/>
                <w:lang w:val="en-US" w:eastAsia="zh-CN"/>
              </w:rPr>
              <w:t>（</w:t>
            </w:r>
            <w:r>
              <w:rPr>
                <w:rFonts w:hint="eastAsia" w:cs="Times New Roman"/>
                <w:b w:val="0"/>
                <w:bCs w:val="0"/>
                <w:color w:val="auto"/>
                <w:sz w:val="24"/>
                <w:szCs w:val="24"/>
                <w:highlight w:val="none"/>
                <w:lang w:val="en-US" w:eastAsia="zh-CN"/>
              </w:rPr>
              <w:t>18</w:t>
            </w:r>
            <w:r>
              <w:rPr>
                <w:rFonts w:hint="eastAsia" w:ascii="Times New Roman" w:hAnsi="Times New Roman" w:cs="Times New Roman"/>
                <w:b w:val="0"/>
                <w:bCs w:val="0"/>
                <w:color w:val="auto"/>
                <w:sz w:val="24"/>
                <w:szCs w:val="24"/>
                <w:highlight w:val="none"/>
                <w:lang w:val="en-US" w:eastAsia="zh-CN"/>
              </w:rPr>
              <w:t>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w:t>
            </w:r>
            <w:r>
              <w:rPr>
                <w:color w:val="auto"/>
                <w:sz w:val="24"/>
                <w:highlight w:val="none"/>
              </w:rPr>
              <w:t>并通过排油管最终排入事故油池（</w:t>
            </w:r>
            <w:r>
              <w:rPr>
                <w:rFonts w:hint="eastAsia"/>
                <w:color w:val="auto"/>
                <w:sz w:val="24"/>
                <w:highlight w:val="none"/>
                <w:lang w:val="en-US" w:eastAsia="zh-CN"/>
              </w:rPr>
              <w:t>25</w:t>
            </w:r>
            <w:r>
              <w:rPr>
                <w:color w:val="auto"/>
                <w:sz w:val="24"/>
                <w:highlight w:val="none"/>
              </w:rPr>
              <w:t>m</w:t>
            </w:r>
            <w:r>
              <w:rPr>
                <w:color w:val="auto"/>
                <w:sz w:val="24"/>
                <w:highlight w:val="none"/>
                <w:vertAlign w:val="superscript"/>
              </w:rPr>
              <w:t>3</w:t>
            </w:r>
            <w:r>
              <w:rPr>
                <w:color w:val="auto"/>
                <w:sz w:val="24"/>
                <w:highlight w:val="none"/>
              </w:rPr>
              <w:t>），在此过程鹅卵层起到冷却油的作用，不易发生火灾。</w:t>
            </w:r>
            <w:r>
              <w:rPr>
                <w:rFonts w:hint="eastAsia"/>
                <w:color w:val="auto"/>
                <w:sz w:val="24"/>
                <w:highlight w:val="none"/>
                <w:lang w:val="en-US" w:eastAsia="zh-CN"/>
              </w:rPr>
              <w:t>事故</w:t>
            </w:r>
            <w:r>
              <w:rPr>
                <w:color w:val="auto"/>
                <w:sz w:val="24"/>
                <w:highlight w:val="none"/>
              </w:rPr>
              <w:t>油经事故油池收集后，交有危险废物处理资质的单位回收处置。</w:t>
            </w:r>
            <w:bookmarkEnd w:id="42"/>
            <w:bookmarkEnd w:id="43"/>
          </w:p>
          <w:p w14:paraId="6D52B34B">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highlight w:val="none"/>
              </w:rPr>
            </w:pPr>
            <w:r>
              <w:rPr>
                <w:color w:val="auto"/>
                <w:sz w:val="24"/>
                <w:highlight w:val="none"/>
              </w:rPr>
              <w:t>（3）建设单位应定期对电气设备检修、维护，确保变电站内电气设备安全运行，杜绝事故的发生。针对变电站站内可能发生的突发环境事件，建设单位按照国家有关规定制定突发环境事件应急预案，并定期进行演练。</w:t>
            </w:r>
          </w:p>
          <w:p w14:paraId="3053A2CB">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highlight w:val="none"/>
              </w:rPr>
            </w:pPr>
            <w:r>
              <w:rPr>
                <w:color w:val="auto"/>
                <w:sz w:val="24"/>
                <w:highlight w:val="none"/>
              </w:rPr>
              <w:t>以上措施需在运行过程中落实，责任单位和具体实施单位均为项目运行单位。</w:t>
            </w:r>
          </w:p>
          <w:p w14:paraId="1399176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7</w:t>
            </w:r>
            <w:r>
              <w:rPr>
                <w:b/>
                <w:bCs/>
                <w:color w:val="auto"/>
                <w:sz w:val="24"/>
                <w:highlight w:val="none"/>
              </w:rPr>
              <w:t>、运行期环境管理</w:t>
            </w:r>
          </w:p>
          <w:p w14:paraId="73243D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（1）运行期环境管理</w:t>
            </w:r>
          </w:p>
          <w:p w14:paraId="504F0190">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运行单位须设环境管理部门，配备相应的环境管理人员以不少于1人为宜，环境管理人员应在各自的岗位责任制中明确所负的环保责任。监督国家法规、条例的贯彻执行情况，制订和贯彻环保管理制度，监控本项目主要污染源，对各部门、操作岗位进行环境保护监督和管理。</w:t>
            </w:r>
          </w:p>
          <w:p w14:paraId="01FBE36F">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①制定和实施各项环境管理计划。</w:t>
            </w:r>
          </w:p>
          <w:p w14:paraId="3750BEF0">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②建立工频电场、工频磁场及噪声环境监测。</w:t>
            </w:r>
          </w:p>
          <w:p w14:paraId="2FB9DE13">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③不定期地巡查线路各段，保护生态环境不被破坏，保证保护生态环境与项目运行相协调。</w:t>
            </w:r>
          </w:p>
          <w:p w14:paraId="08894411">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④检查环境保护设施运行情况，及时处理出现的问题，保证环保设施正常运行。</w:t>
            </w:r>
          </w:p>
          <w:p w14:paraId="1504E664">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⑤协调配合生态环境保护部门组织的监督检查，并组织整改发现的问题。</w:t>
            </w:r>
          </w:p>
          <w:p w14:paraId="7807563A">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color w:val="auto"/>
                <w:sz w:val="24"/>
                <w:highlight w:val="none"/>
              </w:rPr>
              <w:t>（2）运行期环境监测计划</w:t>
            </w:r>
          </w:p>
          <w:p w14:paraId="4C83EF59">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color w:val="auto"/>
                <w:sz w:val="24"/>
                <w:szCs w:val="24"/>
                <w:highlight w:val="none"/>
              </w:rPr>
            </w:pPr>
            <w:r>
              <w:rPr>
                <w:rFonts w:ascii="Times New Roman" w:hAnsi="Times New Roman" w:eastAsia="宋体" w:cs="Times New Roman"/>
                <w:color w:val="auto"/>
                <w:spacing w:val="0"/>
                <w:kern w:val="2"/>
                <w:sz w:val="24"/>
                <w:szCs w:val="24"/>
                <w:highlight w:val="none"/>
                <w:lang w:val="en-US" w:eastAsia="zh-CN" w:bidi="ar-SA"/>
              </w:rPr>
              <w:t>运行期环境监测计划见表</w:t>
            </w:r>
            <w:r>
              <w:rPr>
                <w:color w:val="auto"/>
                <w:sz w:val="24"/>
                <w:szCs w:val="24"/>
                <w:highlight w:val="none"/>
              </w:rPr>
              <w:t>5-1。</w:t>
            </w:r>
          </w:p>
          <w:p w14:paraId="7C8201F8">
            <w:pPr>
              <w:spacing w:line="360" w:lineRule="auto"/>
              <w:jc w:val="center"/>
              <w:rPr>
                <w:color w:val="auto"/>
                <w:highlight w:val="none"/>
              </w:rPr>
            </w:pPr>
            <w:r>
              <w:rPr>
                <w:rFonts w:ascii="Times New Roman" w:hAnsi="Times New Roman" w:eastAsia="黑体" w:cs="Times New Roman"/>
                <w:b/>
                <w:bCs/>
                <w:color w:val="auto"/>
                <w:sz w:val="24"/>
                <w:highlight w:val="none"/>
              </w:rPr>
              <w:t>表5-1  运行期环境监测计划一览表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77"/>
              <w:gridCol w:w="1496"/>
              <w:gridCol w:w="4900"/>
            </w:tblGrid>
            <w:tr w14:paraId="23BEF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Align w:val="center"/>
                </w:tcPr>
                <w:p w14:paraId="229282BA">
                  <w:pPr>
                    <w:pStyle w:val="8"/>
                    <w:adjustRightInd w:val="0"/>
                    <w:snapToGrid w:val="0"/>
                    <w:spacing w:after="0"/>
                    <w:ind w:left="0" w:leftChars="0" w:firstLine="0"/>
                    <w:jc w:val="center"/>
                    <w:rPr>
                      <w:b/>
                      <w:bCs w:val="0"/>
                      <w:color w:val="auto"/>
                      <w:szCs w:val="21"/>
                      <w:highlight w:val="none"/>
                    </w:rPr>
                  </w:pPr>
                  <w:r>
                    <w:rPr>
                      <w:b/>
                      <w:bCs w:val="0"/>
                      <w:color w:val="auto"/>
                      <w:szCs w:val="21"/>
                      <w:highlight w:val="none"/>
                    </w:rPr>
                    <w:t>序号</w:t>
                  </w:r>
                </w:p>
              </w:tc>
              <w:tc>
                <w:tcPr>
                  <w:tcW w:w="2573" w:type="dxa"/>
                  <w:gridSpan w:val="2"/>
                  <w:vAlign w:val="center"/>
                </w:tcPr>
                <w:p w14:paraId="69ADE851">
                  <w:pPr>
                    <w:pStyle w:val="8"/>
                    <w:adjustRightInd w:val="0"/>
                    <w:snapToGrid w:val="0"/>
                    <w:spacing w:after="0"/>
                    <w:ind w:left="0" w:leftChars="0" w:firstLine="0"/>
                    <w:jc w:val="center"/>
                    <w:rPr>
                      <w:b/>
                      <w:bCs w:val="0"/>
                      <w:color w:val="auto"/>
                      <w:szCs w:val="21"/>
                      <w:highlight w:val="none"/>
                    </w:rPr>
                  </w:pPr>
                  <w:r>
                    <w:rPr>
                      <w:b/>
                      <w:bCs w:val="0"/>
                      <w:color w:val="auto"/>
                      <w:szCs w:val="21"/>
                      <w:highlight w:val="none"/>
                    </w:rPr>
                    <w:t>名称</w:t>
                  </w:r>
                </w:p>
              </w:tc>
              <w:tc>
                <w:tcPr>
                  <w:tcW w:w="4900" w:type="dxa"/>
                  <w:vAlign w:val="center"/>
                </w:tcPr>
                <w:p w14:paraId="4FB667F5">
                  <w:pPr>
                    <w:pStyle w:val="8"/>
                    <w:adjustRightInd w:val="0"/>
                    <w:snapToGrid w:val="0"/>
                    <w:spacing w:after="0"/>
                    <w:ind w:left="0" w:leftChars="0" w:firstLine="0"/>
                    <w:jc w:val="center"/>
                    <w:rPr>
                      <w:b/>
                      <w:bCs w:val="0"/>
                      <w:color w:val="auto"/>
                      <w:szCs w:val="21"/>
                      <w:highlight w:val="none"/>
                    </w:rPr>
                  </w:pPr>
                  <w:r>
                    <w:rPr>
                      <w:b/>
                      <w:bCs w:val="0"/>
                      <w:color w:val="auto"/>
                      <w:szCs w:val="21"/>
                      <w:highlight w:val="none"/>
                    </w:rPr>
                    <w:t>内容</w:t>
                  </w:r>
                </w:p>
              </w:tc>
            </w:tr>
            <w:tr w14:paraId="6DE9E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restart"/>
                  <w:vAlign w:val="center"/>
                </w:tcPr>
                <w:p w14:paraId="7029A6A4">
                  <w:pPr>
                    <w:pStyle w:val="8"/>
                    <w:adjustRightInd w:val="0"/>
                    <w:snapToGrid w:val="0"/>
                    <w:spacing w:after="0"/>
                    <w:ind w:left="0" w:leftChars="0" w:firstLine="0"/>
                    <w:jc w:val="center"/>
                    <w:rPr>
                      <w:bCs/>
                      <w:color w:val="auto"/>
                      <w:szCs w:val="21"/>
                      <w:highlight w:val="none"/>
                    </w:rPr>
                  </w:pPr>
                  <w:r>
                    <w:rPr>
                      <w:bCs/>
                      <w:color w:val="auto"/>
                      <w:szCs w:val="21"/>
                      <w:highlight w:val="none"/>
                    </w:rPr>
                    <w:t>1</w:t>
                  </w:r>
                </w:p>
              </w:tc>
              <w:tc>
                <w:tcPr>
                  <w:tcW w:w="1077" w:type="dxa"/>
                  <w:vMerge w:val="restart"/>
                  <w:vAlign w:val="center"/>
                </w:tcPr>
                <w:p w14:paraId="08EAC3D0">
                  <w:pPr>
                    <w:pStyle w:val="8"/>
                    <w:adjustRightInd w:val="0"/>
                    <w:snapToGrid w:val="0"/>
                    <w:spacing w:after="0"/>
                    <w:ind w:left="0" w:leftChars="0" w:firstLine="0"/>
                    <w:jc w:val="center"/>
                    <w:rPr>
                      <w:bCs/>
                      <w:color w:val="auto"/>
                      <w:szCs w:val="21"/>
                      <w:highlight w:val="none"/>
                    </w:rPr>
                  </w:pPr>
                  <w:r>
                    <w:rPr>
                      <w:bCs/>
                      <w:color w:val="auto"/>
                      <w:szCs w:val="21"/>
                      <w:highlight w:val="none"/>
                    </w:rPr>
                    <w:t>工频电场</w:t>
                  </w:r>
                </w:p>
                <w:p w14:paraId="3166BB22">
                  <w:pPr>
                    <w:pStyle w:val="8"/>
                    <w:adjustRightInd w:val="0"/>
                    <w:snapToGrid w:val="0"/>
                    <w:spacing w:after="0"/>
                    <w:ind w:left="0" w:leftChars="0" w:firstLine="0"/>
                    <w:jc w:val="center"/>
                    <w:rPr>
                      <w:bCs/>
                      <w:color w:val="auto"/>
                      <w:szCs w:val="21"/>
                      <w:highlight w:val="none"/>
                    </w:rPr>
                  </w:pPr>
                  <w:r>
                    <w:rPr>
                      <w:bCs/>
                      <w:color w:val="auto"/>
                      <w:szCs w:val="21"/>
                      <w:highlight w:val="none"/>
                    </w:rPr>
                    <w:t>工频磁场</w:t>
                  </w:r>
                </w:p>
              </w:tc>
              <w:tc>
                <w:tcPr>
                  <w:tcW w:w="1496" w:type="dxa"/>
                  <w:vAlign w:val="center"/>
                </w:tcPr>
                <w:p w14:paraId="4D25E683">
                  <w:pPr>
                    <w:pStyle w:val="8"/>
                    <w:adjustRightInd w:val="0"/>
                    <w:snapToGrid w:val="0"/>
                    <w:spacing w:after="0"/>
                    <w:ind w:left="0" w:leftChars="0" w:firstLine="0"/>
                    <w:jc w:val="center"/>
                    <w:rPr>
                      <w:bCs/>
                      <w:color w:val="auto"/>
                      <w:szCs w:val="21"/>
                      <w:highlight w:val="none"/>
                    </w:rPr>
                  </w:pPr>
                  <w:r>
                    <w:rPr>
                      <w:bCs/>
                      <w:color w:val="auto"/>
                      <w:szCs w:val="21"/>
                      <w:highlight w:val="none"/>
                    </w:rPr>
                    <w:t>监测方法</w:t>
                  </w:r>
                </w:p>
              </w:tc>
              <w:tc>
                <w:tcPr>
                  <w:tcW w:w="4900" w:type="dxa"/>
                  <w:vAlign w:val="center"/>
                </w:tcPr>
                <w:p w14:paraId="4208FD4A">
                  <w:pPr>
                    <w:pStyle w:val="8"/>
                    <w:adjustRightInd w:val="0"/>
                    <w:snapToGrid w:val="0"/>
                    <w:spacing w:after="0"/>
                    <w:ind w:left="0" w:leftChars="0" w:firstLine="0"/>
                    <w:jc w:val="center"/>
                    <w:rPr>
                      <w:bCs/>
                      <w:color w:val="auto"/>
                      <w:szCs w:val="21"/>
                      <w:highlight w:val="none"/>
                    </w:rPr>
                  </w:pPr>
                  <w:r>
                    <w:rPr>
                      <w:bCs/>
                      <w:color w:val="auto"/>
                      <w:szCs w:val="21"/>
                      <w:highlight w:val="none"/>
                    </w:rPr>
                    <w:t>《交流输变电工程电磁环境检测方法</w:t>
                  </w:r>
                  <w:r>
                    <w:rPr>
                      <w:rFonts w:hint="eastAsia"/>
                      <w:bCs/>
                      <w:color w:val="auto"/>
                      <w:szCs w:val="21"/>
                      <w:highlight w:val="none"/>
                    </w:rPr>
                    <w:t>（</w:t>
                  </w:r>
                  <w:r>
                    <w:rPr>
                      <w:bCs/>
                      <w:color w:val="auto"/>
                      <w:szCs w:val="21"/>
                      <w:highlight w:val="none"/>
                    </w:rPr>
                    <w:t>试行</w:t>
                  </w:r>
                  <w:r>
                    <w:rPr>
                      <w:rFonts w:hint="eastAsia"/>
                      <w:bCs/>
                      <w:color w:val="auto"/>
                      <w:szCs w:val="21"/>
                      <w:highlight w:val="none"/>
                    </w:rPr>
                    <w:t>）</w:t>
                  </w:r>
                  <w:r>
                    <w:rPr>
                      <w:bCs/>
                      <w:color w:val="auto"/>
                      <w:szCs w:val="21"/>
                      <w:highlight w:val="none"/>
                    </w:rPr>
                    <w:t>》（HJ681-2013）</w:t>
                  </w:r>
                </w:p>
              </w:tc>
            </w:tr>
            <w:tr w14:paraId="24AF0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416627F4">
                  <w:pPr>
                    <w:pStyle w:val="8"/>
                    <w:adjustRightInd w:val="0"/>
                    <w:snapToGrid w:val="0"/>
                    <w:spacing w:after="0"/>
                    <w:ind w:left="0" w:leftChars="0" w:firstLine="0"/>
                    <w:jc w:val="center"/>
                    <w:rPr>
                      <w:color w:val="auto"/>
                      <w:highlight w:val="none"/>
                    </w:rPr>
                  </w:pPr>
                </w:p>
              </w:tc>
              <w:tc>
                <w:tcPr>
                  <w:tcW w:w="1077" w:type="dxa"/>
                  <w:vMerge w:val="continue"/>
                  <w:vAlign w:val="center"/>
                </w:tcPr>
                <w:p w14:paraId="071799FB">
                  <w:pPr>
                    <w:pStyle w:val="8"/>
                    <w:adjustRightInd w:val="0"/>
                    <w:snapToGrid w:val="0"/>
                    <w:spacing w:after="0"/>
                    <w:ind w:left="0" w:leftChars="0" w:firstLine="0"/>
                    <w:jc w:val="center"/>
                    <w:rPr>
                      <w:color w:val="auto"/>
                      <w:highlight w:val="none"/>
                    </w:rPr>
                  </w:pPr>
                </w:p>
              </w:tc>
              <w:tc>
                <w:tcPr>
                  <w:tcW w:w="1496" w:type="dxa"/>
                  <w:vAlign w:val="center"/>
                </w:tcPr>
                <w:p w14:paraId="2F7AD999">
                  <w:pPr>
                    <w:pStyle w:val="8"/>
                    <w:adjustRightInd w:val="0"/>
                    <w:snapToGrid w:val="0"/>
                    <w:spacing w:after="0"/>
                    <w:ind w:left="0" w:leftChars="0" w:firstLine="0"/>
                    <w:jc w:val="center"/>
                    <w:rPr>
                      <w:bCs/>
                      <w:color w:val="auto"/>
                      <w:szCs w:val="21"/>
                      <w:highlight w:val="none"/>
                    </w:rPr>
                  </w:pPr>
                  <w:r>
                    <w:rPr>
                      <w:bCs/>
                      <w:color w:val="auto"/>
                      <w:szCs w:val="21"/>
                      <w:highlight w:val="none"/>
                    </w:rPr>
                    <w:t>监测频次和时间</w:t>
                  </w:r>
                </w:p>
              </w:tc>
              <w:tc>
                <w:tcPr>
                  <w:tcW w:w="4900" w:type="dxa"/>
                  <w:vAlign w:val="center"/>
                </w:tcPr>
                <w:p w14:paraId="16FA8AE4">
                  <w:pPr>
                    <w:pStyle w:val="8"/>
                    <w:adjustRightInd w:val="0"/>
                    <w:snapToGrid w:val="0"/>
                    <w:spacing w:after="0"/>
                    <w:ind w:left="0" w:leftChars="0" w:firstLine="0"/>
                    <w:jc w:val="center"/>
                    <w:rPr>
                      <w:rFonts w:hint="eastAsia" w:eastAsia="宋体"/>
                      <w:bCs/>
                      <w:color w:val="auto"/>
                      <w:szCs w:val="21"/>
                      <w:highlight w:val="none"/>
                      <w:lang w:eastAsia="zh-CN"/>
                    </w:rPr>
                  </w:pPr>
                  <w:r>
                    <w:rPr>
                      <w:bCs/>
                      <w:color w:val="auto"/>
                      <w:szCs w:val="21"/>
                      <w:highlight w:val="none"/>
                    </w:rPr>
                    <w:t>竣工验收监测一次；</w:t>
                  </w:r>
                  <w:r>
                    <w:rPr>
                      <w:bCs/>
                      <w:color w:val="auto"/>
                      <w:kern w:val="0"/>
                      <w:szCs w:val="21"/>
                      <w:highlight w:val="none"/>
                    </w:rPr>
                    <w:t>运行期每四年监测一次；</w:t>
                  </w:r>
                  <w:r>
                    <w:rPr>
                      <w:rFonts w:hint="eastAsia"/>
                      <w:bCs/>
                      <w:color w:val="auto"/>
                      <w:kern w:val="0"/>
                      <w:szCs w:val="21"/>
                      <w:highlight w:val="none"/>
                      <w:lang w:val="en-US" w:eastAsia="zh-CN"/>
                    </w:rPr>
                    <w:t>有</w:t>
                  </w:r>
                  <w:r>
                    <w:rPr>
                      <w:bCs/>
                      <w:color w:val="auto"/>
                      <w:kern w:val="0"/>
                      <w:szCs w:val="21"/>
                      <w:highlight w:val="none"/>
                    </w:rPr>
                    <w:t>投诉纠纷时应及时进行监测</w:t>
                  </w:r>
                  <w:r>
                    <w:rPr>
                      <w:rFonts w:hint="eastAsia"/>
                      <w:bCs/>
                      <w:color w:val="auto"/>
                      <w:kern w:val="0"/>
                      <w:szCs w:val="21"/>
                      <w:highlight w:val="none"/>
                      <w:lang w:eastAsia="zh-CN"/>
                    </w:rPr>
                    <w:t>。</w:t>
                  </w:r>
                </w:p>
              </w:tc>
            </w:tr>
            <w:tr w14:paraId="7870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restart"/>
                  <w:vAlign w:val="center"/>
                </w:tcPr>
                <w:p w14:paraId="6A4C4F41">
                  <w:pPr>
                    <w:pStyle w:val="8"/>
                    <w:adjustRightInd w:val="0"/>
                    <w:snapToGrid w:val="0"/>
                    <w:spacing w:after="0"/>
                    <w:ind w:left="0" w:leftChars="0" w:firstLine="0"/>
                    <w:jc w:val="center"/>
                    <w:rPr>
                      <w:bCs/>
                      <w:color w:val="auto"/>
                      <w:szCs w:val="21"/>
                      <w:highlight w:val="none"/>
                    </w:rPr>
                  </w:pPr>
                  <w:r>
                    <w:rPr>
                      <w:bCs/>
                      <w:color w:val="auto"/>
                      <w:szCs w:val="21"/>
                      <w:highlight w:val="none"/>
                    </w:rPr>
                    <w:t>2</w:t>
                  </w:r>
                </w:p>
              </w:tc>
              <w:tc>
                <w:tcPr>
                  <w:tcW w:w="1077" w:type="dxa"/>
                  <w:vMerge w:val="restart"/>
                  <w:vAlign w:val="center"/>
                </w:tcPr>
                <w:p w14:paraId="0C895A44">
                  <w:pPr>
                    <w:pStyle w:val="8"/>
                    <w:adjustRightInd w:val="0"/>
                    <w:snapToGrid w:val="0"/>
                    <w:spacing w:after="0"/>
                    <w:ind w:left="0" w:leftChars="0" w:firstLine="0"/>
                    <w:jc w:val="center"/>
                    <w:rPr>
                      <w:bCs/>
                      <w:color w:val="auto"/>
                      <w:szCs w:val="21"/>
                      <w:highlight w:val="none"/>
                    </w:rPr>
                  </w:pPr>
                  <w:r>
                    <w:rPr>
                      <w:bCs/>
                      <w:color w:val="auto"/>
                      <w:szCs w:val="21"/>
                      <w:highlight w:val="none"/>
                    </w:rPr>
                    <w:t>噪声</w:t>
                  </w:r>
                </w:p>
              </w:tc>
              <w:tc>
                <w:tcPr>
                  <w:tcW w:w="1496" w:type="dxa"/>
                  <w:vAlign w:val="center"/>
                </w:tcPr>
                <w:p w14:paraId="0C589A87">
                  <w:pPr>
                    <w:pStyle w:val="8"/>
                    <w:adjustRightInd w:val="0"/>
                    <w:snapToGrid w:val="0"/>
                    <w:spacing w:after="0"/>
                    <w:ind w:left="0" w:leftChars="0" w:firstLine="0"/>
                    <w:jc w:val="center"/>
                    <w:rPr>
                      <w:bCs/>
                      <w:color w:val="auto"/>
                      <w:kern w:val="0"/>
                      <w:szCs w:val="21"/>
                      <w:highlight w:val="none"/>
                    </w:rPr>
                  </w:pPr>
                  <w:r>
                    <w:rPr>
                      <w:bCs/>
                      <w:color w:val="auto"/>
                      <w:kern w:val="0"/>
                      <w:szCs w:val="21"/>
                      <w:highlight w:val="none"/>
                    </w:rPr>
                    <w:t>监测方法</w:t>
                  </w:r>
                </w:p>
              </w:tc>
              <w:tc>
                <w:tcPr>
                  <w:tcW w:w="4900" w:type="dxa"/>
                  <w:vAlign w:val="center"/>
                </w:tcPr>
                <w:p w14:paraId="3E2CECE2">
                  <w:pPr>
                    <w:pStyle w:val="8"/>
                    <w:adjustRightInd w:val="0"/>
                    <w:snapToGrid w:val="0"/>
                    <w:spacing w:after="0"/>
                    <w:ind w:left="0" w:leftChars="0" w:firstLine="0"/>
                    <w:jc w:val="center"/>
                    <w:rPr>
                      <w:bCs/>
                      <w:color w:val="auto"/>
                      <w:szCs w:val="21"/>
                      <w:highlight w:val="none"/>
                    </w:rPr>
                  </w:pPr>
                  <w:r>
                    <w:rPr>
                      <w:bCs/>
                      <w:color w:val="auto"/>
                      <w:szCs w:val="21"/>
                      <w:highlight w:val="none"/>
                    </w:rPr>
                    <w:t>《工业企业厂界环境噪声排放标准》</w:t>
                  </w:r>
                </w:p>
                <w:p w14:paraId="5C886AA6">
                  <w:pPr>
                    <w:pStyle w:val="8"/>
                    <w:adjustRightInd w:val="0"/>
                    <w:snapToGrid w:val="0"/>
                    <w:spacing w:after="0"/>
                    <w:ind w:left="0" w:leftChars="0" w:firstLine="0"/>
                    <w:jc w:val="center"/>
                    <w:rPr>
                      <w:bCs/>
                      <w:color w:val="auto"/>
                      <w:szCs w:val="21"/>
                      <w:highlight w:val="none"/>
                    </w:rPr>
                  </w:pPr>
                  <w:r>
                    <w:rPr>
                      <w:rFonts w:hint="eastAsia"/>
                      <w:bCs/>
                      <w:color w:val="auto"/>
                      <w:szCs w:val="21"/>
                      <w:highlight w:val="none"/>
                    </w:rPr>
                    <w:t>（</w:t>
                  </w:r>
                  <w:r>
                    <w:rPr>
                      <w:bCs/>
                      <w:color w:val="auto"/>
                      <w:szCs w:val="21"/>
                      <w:highlight w:val="none"/>
                    </w:rPr>
                    <w:t>GB12348-2008</w:t>
                  </w:r>
                  <w:r>
                    <w:rPr>
                      <w:rFonts w:hint="eastAsia"/>
                      <w:bCs/>
                      <w:color w:val="auto"/>
                      <w:szCs w:val="21"/>
                      <w:highlight w:val="none"/>
                    </w:rPr>
                    <w:t>）、</w:t>
                  </w:r>
                  <w:r>
                    <w:rPr>
                      <w:bCs/>
                      <w:color w:val="auto"/>
                      <w:szCs w:val="21"/>
                      <w:highlight w:val="none"/>
                    </w:rPr>
                    <w:t>《声环境质量标准》（GB3096-2008）</w:t>
                  </w:r>
                </w:p>
              </w:tc>
            </w:tr>
            <w:tr w14:paraId="40CE7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064437A8">
                  <w:pPr>
                    <w:pStyle w:val="8"/>
                    <w:adjustRightInd w:val="0"/>
                    <w:snapToGrid w:val="0"/>
                    <w:spacing w:after="0"/>
                    <w:ind w:left="0" w:leftChars="0" w:firstLine="0"/>
                    <w:jc w:val="center"/>
                    <w:rPr>
                      <w:color w:val="auto"/>
                      <w:highlight w:val="none"/>
                    </w:rPr>
                  </w:pPr>
                </w:p>
              </w:tc>
              <w:tc>
                <w:tcPr>
                  <w:tcW w:w="1077" w:type="dxa"/>
                  <w:vMerge w:val="continue"/>
                  <w:vAlign w:val="center"/>
                </w:tcPr>
                <w:p w14:paraId="0217EE3E">
                  <w:pPr>
                    <w:pStyle w:val="8"/>
                    <w:adjustRightInd w:val="0"/>
                    <w:snapToGrid w:val="0"/>
                    <w:spacing w:after="0"/>
                    <w:ind w:left="0" w:leftChars="0" w:firstLine="0"/>
                    <w:jc w:val="center"/>
                    <w:rPr>
                      <w:color w:val="auto"/>
                      <w:highlight w:val="none"/>
                    </w:rPr>
                  </w:pPr>
                </w:p>
              </w:tc>
              <w:tc>
                <w:tcPr>
                  <w:tcW w:w="1496" w:type="dxa"/>
                  <w:vMerge w:val="restart"/>
                  <w:vAlign w:val="center"/>
                </w:tcPr>
                <w:p w14:paraId="6B1B7B91">
                  <w:pPr>
                    <w:pStyle w:val="8"/>
                    <w:adjustRightInd w:val="0"/>
                    <w:snapToGrid w:val="0"/>
                    <w:spacing w:after="0"/>
                    <w:ind w:left="0" w:leftChars="0" w:firstLine="0"/>
                    <w:jc w:val="center"/>
                    <w:rPr>
                      <w:bCs/>
                      <w:color w:val="auto"/>
                      <w:kern w:val="0"/>
                      <w:szCs w:val="21"/>
                      <w:highlight w:val="none"/>
                    </w:rPr>
                  </w:pPr>
                  <w:r>
                    <w:rPr>
                      <w:bCs/>
                      <w:color w:val="auto"/>
                      <w:szCs w:val="21"/>
                      <w:highlight w:val="none"/>
                    </w:rPr>
                    <w:t>监测频次和时间</w:t>
                  </w:r>
                </w:p>
              </w:tc>
              <w:tc>
                <w:tcPr>
                  <w:tcW w:w="4900" w:type="dxa"/>
                  <w:vAlign w:val="center"/>
                </w:tcPr>
                <w:p w14:paraId="1860489D">
                  <w:pPr>
                    <w:pStyle w:val="8"/>
                    <w:adjustRightInd w:val="0"/>
                    <w:snapToGrid w:val="0"/>
                    <w:spacing w:after="0"/>
                    <w:ind w:left="0" w:leftChars="0" w:firstLine="0"/>
                    <w:jc w:val="center"/>
                    <w:rPr>
                      <w:rFonts w:hint="eastAsia" w:eastAsia="宋体"/>
                      <w:bCs/>
                      <w:color w:val="auto"/>
                      <w:kern w:val="0"/>
                      <w:szCs w:val="21"/>
                      <w:highlight w:val="none"/>
                      <w:lang w:eastAsia="zh-CN"/>
                    </w:rPr>
                  </w:pPr>
                  <w:r>
                    <w:rPr>
                      <w:bCs/>
                      <w:color w:val="auto"/>
                      <w:kern w:val="0"/>
                      <w:szCs w:val="21"/>
                      <w:highlight w:val="none"/>
                    </w:rPr>
                    <w:t>变电站：竣工验收监测一次、</w:t>
                  </w:r>
                  <w:r>
                    <w:rPr>
                      <w:bCs/>
                      <w:color w:val="auto"/>
                      <w:szCs w:val="21"/>
                      <w:highlight w:val="none"/>
                    </w:rPr>
                    <w:t>运行期每</w:t>
                  </w:r>
                  <w:r>
                    <w:rPr>
                      <w:rFonts w:hint="eastAsia"/>
                      <w:bCs/>
                      <w:color w:val="auto"/>
                      <w:szCs w:val="21"/>
                      <w:highlight w:val="none"/>
                      <w:lang w:val="en-US" w:eastAsia="zh-CN"/>
                    </w:rPr>
                    <w:t>四</w:t>
                  </w:r>
                  <w:r>
                    <w:rPr>
                      <w:bCs/>
                      <w:color w:val="auto"/>
                      <w:szCs w:val="21"/>
                      <w:highlight w:val="none"/>
                    </w:rPr>
                    <w:t>年监测</w:t>
                  </w:r>
                  <w:r>
                    <w:rPr>
                      <w:rFonts w:hint="eastAsia"/>
                      <w:bCs/>
                      <w:color w:val="auto"/>
                      <w:szCs w:val="21"/>
                      <w:highlight w:val="none"/>
                      <w:lang w:val="en-US" w:eastAsia="zh-CN"/>
                    </w:rPr>
                    <w:t>一</w:t>
                  </w:r>
                  <w:r>
                    <w:rPr>
                      <w:bCs/>
                      <w:color w:val="auto"/>
                      <w:szCs w:val="21"/>
                      <w:highlight w:val="none"/>
                    </w:rPr>
                    <w:t>次</w:t>
                  </w:r>
                  <w:r>
                    <w:rPr>
                      <w:bCs/>
                      <w:color w:val="auto"/>
                      <w:kern w:val="0"/>
                      <w:szCs w:val="21"/>
                      <w:highlight w:val="none"/>
                    </w:rPr>
                    <w:t>；</w:t>
                  </w:r>
                  <w:r>
                    <w:rPr>
                      <w:rFonts w:hint="eastAsia"/>
                      <w:bCs/>
                      <w:color w:val="auto"/>
                      <w:kern w:val="0"/>
                      <w:szCs w:val="21"/>
                      <w:highlight w:val="none"/>
                      <w:lang w:val="en-US" w:eastAsia="zh-CN"/>
                    </w:rPr>
                    <w:t>有</w:t>
                  </w:r>
                  <w:r>
                    <w:rPr>
                      <w:bCs/>
                      <w:color w:val="auto"/>
                      <w:kern w:val="0"/>
                      <w:szCs w:val="21"/>
                      <w:highlight w:val="none"/>
                    </w:rPr>
                    <w:t>投诉纠纷时应及时进行监测</w:t>
                  </w:r>
                  <w:r>
                    <w:rPr>
                      <w:bCs/>
                      <w:color w:val="auto"/>
                      <w:szCs w:val="21"/>
                      <w:highlight w:val="none"/>
                    </w:rPr>
                    <w:t>；</w:t>
                  </w:r>
                  <w:r>
                    <w:rPr>
                      <w:bCs/>
                      <w:color w:val="auto"/>
                      <w:szCs w:val="21"/>
                      <w:highlight w:val="none"/>
                      <w:lang w:val="zh-CN"/>
                    </w:rPr>
                    <w:t>主要</w:t>
                  </w:r>
                  <w:r>
                    <w:rPr>
                      <w:bCs/>
                      <w:color w:val="auto"/>
                      <w:szCs w:val="21"/>
                      <w:highlight w:val="none"/>
                    </w:rPr>
                    <w:t>噪</w:t>
                  </w:r>
                  <w:r>
                    <w:rPr>
                      <w:bCs/>
                      <w:color w:val="auto"/>
                      <w:szCs w:val="21"/>
                      <w:highlight w:val="none"/>
                      <w:lang w:val="zh-CN"/>
                    </w:rPr>
                    <w:t>声源设备大修前后</w:t>
                  </w:r>
                  <w:r>
                    <w:rPr>
                      <w:bCs/>
                      <w:color w:val="auto"/>
                      <w:szCs w:val="21"/>
                      <w:highlight w:val="none"/>
                    </w:rPr>
                    <w:t>对变电站进行监测</w:t>
                  </w:r>
                  <w:r>
                    <w:rPr>
                      <w:rFonts w:hint="eastAsia"/>
                      <w:bCs/>
                      <w:color w:val="auto"/>
                      <w:szCs w:val="21"/>
                      <w:highlight w:val="none"/>
                      <w:lang w:eastAsia="zh-CN"/>
                    </w:rPr>
                    <w:t>。</w:t>
                  </w:r>
                </w:p>
              </w:tc>
            </w:tr>
            <w:tr w14:paraId="0BD3E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4CE49C60">
                  <w:pPr>
                    <w:pStyle w:val="8"/>
                    <w:adjustRightInd w:val="0"/>
                    <w:snapToGrid w:val="0"/>
                    <w:spacing w:after="0"/>
                    <w:ind w:left="0" w:leftChars="0" w:firstLine="0"/>
                    <w:jc w:val="center"/>
                    <w:rPr>
                      <w:color w:val="auto"/>
                      <w:highlight w:val="none"/>
                    </w:rPr>
                  </w:pPr>
                </w:p>
              </w:tc>
              <w:tc>
                <w:tcPr>
                  <w:tcW w:w="1077" w:type="dxa"/>
                  <w:vMerge w:val="continue"/>
                  <w:vAlign w:val="center"/>
                </w:tcPr>
                <w:p w14:paraId="794FF766">
                  <w:pPr>
                    <w:pStyle w:val="8"/>
                    <w:adjustRightInd w:val="0"/>
                    <w:snapToGrid w:val="0"/>
                    <w:spacing w:after="0"/>
                    <w:ind w:left="0" w:leftChars="0" w:firstLine="0"/>
                    <w:jc w:val="center"/>
                    <w:rPr>
                      <w:color w:val="auto"/>
                      <w:highlight w:val="none"/>
                    </w:rPr>
                  </w:pPr>
                </w:p>
              </w:tc>
              <w:tc>
                <w:tcPr>
                  <w:tcW w:w="1496" w:type="dxa"/>
                  <w:vMerge w:val="continue"/>
                  <w:vAlign w:val="center"/>
                </w:tcPr>
                <w:p w14:paraId="0BD2ECCF">
                  <w:pPr>
                    <w:pStyle w:val="8"/>
                    <w:adjustRightInd w:val="0"/>
                    <w:snapToGrid w:val="0"/>
                    <w:spacing w:after="0"/>
                    <w:ind w:left="0" w:leftChars="0" w:firstLine="0"/>
                    <w:jc w:val="center"/>
                    <w:rPr>
                      <w:bCs/>
                      <w:color w:val="auto"/>
                      <w:szCs w:val="21"/>
                      <w:highlight w:val="none"/>
                    </w:rPr>
                  </w:pPr>
                </w:p>
              </w:tc>
              <w:tc>
                <w:tcPr>
                  <w:tcW w:w="4900" w:type="dxa"/>
                  <w:vAlign w:val="center"/>
                </w:tcPr>
                <w:p w14:paraId="35D37247">
                  <w:pPr>
                    <w:pStyle w:val="8"/>
                    <w:adjustRightInd w:val="0"/>
                    <w:snapToGrid w:val="0"/>
                    <w:spacing w:after="0"/>
                    <w:ind w:left="0" w:leftChars="0" w:firstLine="0"/>
                    <w:jc w:val="center"/>
                    <w:rPr>
                      <w:rFonts w:hint="eastAsia" w:eastAsia="宋体"/>
                      <w:bCs/>
                      <w:color w:val="auto"/>
                      <w:kern w:val="0"/>
                      <w:szCs w:val="21"/>
                      <w:highlight w:val="none"/>
                      <w:lang w:eastAsia="zh-CN"/>
                    </w:rPr>
                  </w:pPr>
                  <w:r>
                    <w:rPr>
                      <w:bCs/>
                      <w:color w:val="auto"/>
                      <w:kern w:val="0"/>
                      <w:szCs w:val="21"/>
                      <w:highlight w:val="none"/>
                    </w:rPr>
                    <w:t>输电线路：竣工验收监测一次</w:t>
                  </w:r>
                  <w:r>
                    <w:rPr>
                      <w:color w:val="auto"/>
                      <w:highlight w:val="none"/>
                    </w:rPr>
                    <w:t>；</w:t>
                  </w:r>
                  <w:r>
                    <w:rPr>
                      <w:rFonts w:hint="eastAsia"/>
                      <w:color w:val="auto"/>
                      <w:highlight w:val="none"/>
                      <w:lang w:val="en-US" w:eastAsia="zh-CN"/>
                    </w:rPr>
                    <w:t>有</w:t>
                  </w:r>
                  <w:r>
                    <w:rPr>
                      <w:rFonts w:hint="eastAsia"/>
                      <w:color w:val="auto"/>
                      <w:highlight w:val="none"/>
                    </w:rPr>
                    <w:t>投诉纠纷时应及时进行监测</w:t>
                  </w:r>
                  <w:r>
                    <w:rPr>
                      <w:rFonts w:hint="eastAsia"/>
                      <w:color w:val="auto"/>
                      <w:highlight w:val="none"/>
                      <w:lang w:eastAsia="zh-CN"/>
                    </w:rPr>
                    <w:t>。</w:t>
                  </w:r>
                </w:p>
              </w:tc>
            </w:tr>
            <w:tr w14:paraId="0159A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restart"/>
                  <w:vAlign w:val="center"/>
                </w:tcPr>
                <w:p w14:paraId="3AFFB12B">
                  <w:pPr>
                    <w:pStyle w:val="8"/>
                    <w:adjustRightInd w:val="0"/>
                    <w:snapToGrid w:val="0"/>
                    <w:spacing w:after="0"/>
                    <w:ind w:left="0" w:leftChars="0" w:firstLine="0"/>
                    <w:jc w:val="center"/>
                    <w:rPr>
                      <w:rFonts w:hint="eastAsia" w:eastAsia="宋体"/>
                      <w:color w:val="auto"/>
                      <w:highlight w:val="none"/>
                      <w:lang w:val="en-US" w:eastAsia="zh-CN"/>
                    </w:rPr>
                  </w:pPr>
                  <w:r>
                    <w:rPr>
                      <w:rFonts w:hint="eastAsia"/>
                      <w:color w:val="auto"/>
                      <w:highlight w:val="none"/>
                      <w:lang w:val="en-US" w:eastAsia="zh-CN"/>
                    </w:rPr>
                    <w:t>3</w:t>
                  </w:r>
                </w:p>
              </w:tc>
              <w:tc>
                <w:tcPr>
                  <w:tcW w:w="1077" w:type="dxa"/>
                  <w:vMerge w:val="restart"/>
                  <w:vAlign w:val="center"/>
                </w:tcPr>
                <w:p w14:paraId="55EA52C4">
                  <w:pPr>
                    <w:pStyle w:val="8"/>
                    <w:adjustRightInd w:val="0"/>
                    <w:snapToGrid w:val="0"/>
                    <w:spacing w:after="0"/>
                    <w:ind w:left="0" w:leftChars="0" w:firstLine="0"/>
                    <w:jc w:val="center"/>
                    <w:rPr>
                      <w:rFonts w:hint="eastAsia" w:eastAsia="宋体"/>
                      <w:color w:val="auto"/>
                      <w:highlight w:val="none"/>
                      <w:lang w:val="en-US" w:eastAsia="zh-CN"/>
                    </w:rPr>
                  </w:pPr>
                  <w:r>
                    <w:rPr>
                      <w:rFonts w:hint="eastAsia"/>
                      <w:color w:val="auto"/>
                      <w:highlight w:val="none"/>
                      <w:lang w:val="en-US" w:eastAsia="zh-CN"/>
                    </w:rPr>
                    <w:t>生态</w:t>
                  </w:r>
                </w:p>
              </w:tc>
              <w:tc>
                <w:tcPr>
                  <w:tcW w:w="1496" w:type="dxa"/>
                  <w:shd w:val="clear" w:color="auto" w:fill="auto"/>
                  <w:vAlign w:val="center"/>
                </w:tcPr>
                <w:p w14:paraId="1BEA25EC">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highlight w:val="none"/>
                      <w:lang w:val="en-US" w:eastAsia="zh-CN"/>
                    </w:rPr>
                    <w:t>监测布点</w:t>
                  </w:r>
                </w:p>
              </w:tc>
              <w:tc>
                <w:tcPr>
                  <w:tcW w:w="4900" w:type="dxa"/>
                  <w:shd w:val="clear" w:color="auto" w:fill="auto"/>
                  <w:vAlign w:val="center"/>
                </w:tcPr>
                <w:p w14:paraId="25B7C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监测</w:t>
                  </w:r>
                  <w:r>
                    <w:rPr>
                      <w:rFonts w:hint="eastAsia" w:ascii="Times New Roman" w:hAnsi="Times New Roman" w:eastAsia="宋体" w:cs="Times New Roman"/>
                      <w:color w:val="auto"/>
                      <w:sz w:val="21"/>
                      <w:szCs w:val="21"/>
                      <w:highlight w:val="none"/>
                      <w:lang w:val="en-US" w:eastAsia="zh-CN"/>
                    </w:rPr>
                    <w:t>生态保护红线</w:t>
                  </w:r>
                  <w:r>
                    <w:rPr>
                      <w:rFonts w:hint="default" w:ascii="Times New Roman" w:hAnsi="Times New Roman" w:eastAsia="宋体" w:cs="Times New Roman"/>
                      <w:color w:val="auto"/>
                      <w:sz w:val="21"/>
                      <w:szCs w:val="21"/>
                      <w:highlight w:val="none"/>
                    </w:rPr>
                    <w:t>内</w:t>
                  </w:r>
                </w:p>
              </w:tc>
            </w:tr>
            <w:tr w14:paraId="430714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0E3CA922">
                  <w:pPr>
                    <w:pStyle w:val="8"/>
                    <w:adjustRightInd w:val="0"/>
                    <w:snapToGrid w:val="0"/>
                    <w:spacing w:after="0"/>
                    <w:ind w:left="0" w:leftChars="0" w:firstLine="0"/>
                    <w:jc w:val="center"/>
                    <w:rPr>
                      <w:rFonts w:hint="eastAsia"/>
                      <w:color w:val="auto"/>
                      <w:highlight w:val="none"/>
                      <w:lang w:val="en-US" w:eastAsia="zh-CN"/>
                    </w:rPr>
                  </w:pPr>
                </w:p>
              </w:tc>
              <w:tc>
                <w:tcPr>
                  <w:tcW w:w="1077" w:type="dxa"/>
                  <w:vMerge w:val="continue"/>
                  <w:vAlign w:val="center"/>
                </w:tcPr>
                <w:p w14:paraId="345347D6">
                  <w:pPr>
                    <w:pStyle w:val="8"/>
                    <w:adjustRightInd w:val="0"/>
                    <w:snapToGrid w:val="0"/>
                    <w:spacing w:after="0"/>
                    <w:ind w:left="0" w:leftChars="0" w:firstLine="0"/>
                    <w:jc w:val="center"/>
                    <w:rPr>
                      <w:rFonts w:hint="eastAsia"/>
                      <w:color w:val="auto"/>
                      <w:highlight w:val="none"/>
                      <w:lang w:val="en-US" w:eastAsia="zh-CN"/>
                    </w:rPr>
                  </w:pPr>
                </w:p>
              </w:tc>
              <w:tc>
                <w:tcPr>
                  <w:tcW w:w="1496" w:type="dxa"/>
                  <w:shd w:val="clear" w:color="auto" w:fill="auto"/>
                  <w:vAlign w:val="center"/>
                </w:tcPr>
                <w:p w14:paraId="5E1CB8A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highlight w:val="none"/>
                      <w:lang w:val="en-US" w:eastAsia="zh-CN"/>
                    </w:rPr>
                    <w:t>监测内容</w:t>
                  </w:r>
                </w:p>
              </w:tc>
              <w:tc>
                <w:tcPr>
                  <w:tcW w:w="4900" w:type="dxa"/>
                  <w:shd w:val="clear" w:color="auto" w:fill="auto"/>
                  <w:vAlign w:val="center"/>
                </w:tcPr>
                <w:p w14:paraId="7CE38DDB">
                  <w:pPr>
                    <w:adjustRightInd w:val="0"/>
                    <w:snapToGrid w:val="0"/>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施工期：</w:t>
                  </w:r>
                  <w:r>
                    <w:rPr>
                      <w:rFonts w:hint="eastAsia" w:cs="Times New Roman"/>
                      <w:color w:val="auto"/>
                      <w:sz w:val="21"/>
                      <w:szCs w:val="21"/>
                      <w:highlight w:val="none"/>
                      <w:lang w:eastAsia="zh-CN"/>
                    </w:rPr>
                    <w:t>物种组成、植被群落类型和结构；</w:t>
                  </w:r>
                </w:p>
                <w:p w14:paraId="67CBA140">
                  <w:pPr>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 w:val="21"/>
                      <w:szCs w:val="21"/>
                      <w:highlight w:val="none"/>
                      <w:lang w:val="en-US" w:eastAsia="zh-CN"/>
                    </w:rPr>
                    <w:t>竣工验收时期、运行期：</w:t>
                  </w:r>
                  <w:r>
                    <w:rPr>
                      <w:rFonts w:hint="eastAsia" w:cs="Times New Roman"/>
                      <w:color w:val="auto"/>
                      <w:sz w:val="21"/>
                      <w:szCs w:val="21"/>
                      <w:highlight w:val="none"/>
                      <w:lang w:eastAsia="zh-CN"/>
                    </w:rPr>
                    <w:t>植物成活率、植被</w:t>
                  </w:r>
                  <w:r>
                    <w:rPr>
                      <w:rFonts w:hint="default" w:ascii="Times New Roman" w:hAnsi="Times New Roman" w:cs="Times New Roman"/>
                      <w:color w:val="auto"/>
                      <w:sz w:val="21"/>
                      <w:szCs w:val="21"/>
                      <w:highlight w:val="none"/>
                    </w:rPr>
                    <w:t>群落</w:t>
                  </w:r>
                  <w:r>
                    <w:rPr>
                      <w:rFonts w:hint="eastAsia" w:cs="Times New Roman"/>
                      <w:color w:val="auto"/>
                      <w:sz w:val="21"/>
                      <w:szCs w:val="21"/>
                      <w:highlight w:val="none"/>
                      <w:lang w:eastAsia="zh-CN"/>
                    </w:rPr>
                    <w:t>组成类型和结构</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植被</w:t>
                  </w:r>
                  <w:r>
                    <w:rPr>
                      <w:rFonts w:hint="default" w:ascii="Times New Roman" w:hAnsi="Times New Roman" w:cs="Times New Roman"/>
                      <w:color w:val="auto"/>
                      <w:sz w:val="21"/>
                      <w:szCs w:val="21"/>
                      <w:highlight w:val="none"/>
                    </w:rPr>
                    <w:t>覆盖</w:t>
                  </w:r>
                  <w:r>
                    <w:rPr>
                      <w:rFonts w:hint="eastAsia" w:cs="Times New Roman"/>
                      <w:color w:val="auto"/>
                      <w:sz w:val="21"/>
                      <w:szCs w:val="21"/>
                      <w:highlight w:val="none"/>
                      <w:lang w:eastAsia="zh-CN"/>
                    </w:rPr>
                    <w:t>度，</w:t>
                  </w:r>
                  <w:r>
                    <w:rPr>
                      <w:rFonts w:hint="default" w:ascii="Times New Roman" w:hAnsi="Times New Roman" w:cs="Times New Roman"/>
                      <w:color w:val="auto"/>
                      <w:sz w:val="21"/>
                      <w:szCs w:val="21"/>
                      <w:highlight w:val="none"/>
                    </w:rPr>
                    <w:t>野生动物</w:t>
                  </w:r>
                  <w:r>
                    <w:rPr>
                      <w:rFonts w:hint="eastAsia" w:cs="Times New Roman"/>
                      <w:color w:val="auto"/>
                      <w:sz w:val="21"/>
                      <w:szCs w:val="21"/>
                      <w:highlight w:val="none"/>
                      <w:lang w:eastAsia="zh-CN"/>
                    </w:rPr>
                    <w:t>动物分布情况等。</w:t>
                  </w:r>
                </w:p>
              </w:tc>
            </w:tr>
            <w:tr w14:paraId="5BC31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3F339C5F">
                  <w:pPr>
                    <w:pStyle w:val="8"/>
                    <w:adjustRightInd w:val="0"/>
                    <w:snapToGrid w:val="0"/>
                    <w:spacing w:after="0"/>
                    <w:ind w:left="0" w:leftChars="0" w:firstLine="0"/>
                    <w:jc w:val="center"/>
                    <w:rPr>
                      <w:rFonts w:hint="eastAsia"/>
                      <w:color w:val="auto"/>
                      <w:highlight w:val="none"/>
                      <w:lang w:val="en-US" w:eastAsia="zh-CN"/>
                    </w:rPr>
                  </w:pPr>
                </w:p>
              </w:tc>
              <w:tc>
                <w:tcPr>
                  <w:tcW w:w="1077" w:type="dxa"/>
                  <w:vMerge w:val="continue"/>
                  <w:vAlign w:val="center"/>
                </w:tcPr>
                <w:p w14:paraId="78210BF6">
                  <w:pPr>
                    <w:pStyle w:val="8"/>
                    <w:adjustRightInd w:val="0"/>
                    <w:snapToGrid w:val="0"/>
                    <w:spacing w:after="0"/>
                    <w:ind w:left="0" w:leftChars="0" w:firstLine="0"/>
                    <w:jc w:val="center"/>
                    <w:rPr>
                      <w:rFonts w:hint="eastAsia"/>
                      <w:color w:val="auto"/>
                      <w:highlight w:val="none"/>
                      <w:lang w:val="en-US" w:eastAsia="zh-CN"/>
                    </w:rPr>
                  </w:pPr>
                </w:p>
              </w:tc>
              <w:tc>
                <w:tcPr>
                  <w:tcW w:w="1496" w:type="dxa"/>
                  <w:shd w:val="clear" w:color="auto" w:fill="auto"/>
                  <w:vAlign w:val="center"/>
                </w:tcPr>
                <w:p w14:paraId="30AED876">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highlight w:val="none"/>
                      <w:lang w:val="en-US" w:eastAsia="zh-CN"/>
                    </w:rPr>
                    <w:t>监测方法</w:t>
                  </w:r>
                </w:p>
              </w:tc>
              <w:tc>
                <w:tcPr>
                  <w:tcW w:w="4900" w:type="dxa"/>
                  <w:shd w:val="clear" w:color="auto" w:fill="auto"/>
                  <w:vAlign w:val="center"/>
                </w:tcPr>
                <w:p w14:paraId="78F99296">
                  <w:pPr>
                    <w:keepNext w:val="0"/>
                    <w:keepLines w:val="0"/>
                    <w:widowControl/>
                    <w:suppressLineNumbers w:val="0"/>
                    <w:adjustRightInd w:val="0"/>
                    <w:snapToGrid w:val="0"/>
                    <w:spacing w:line="240" w:lineRule="auto"/>
                    <w:jc w:val="center"/>
                    <w:rPr>
                      <w:rFonts w:hint="default" w:ascii="Times New Roman" w:hAnsi="Times New Roman" w:eastAsia="宋体" w:cs="Times New Roman"/>
                      <w:bCs/>
                      <w:color w:val="auto"/>
                      <w:kern w:val="0"/>
                      <w:sz w:val="21"/>
                      <w:szCs w:val="21"/>
                      <w:lang w:val="en-US" w:eastAsia="zh-CN" w:bidi="ar-SA"/>
                    </w:rPr>
                  </w:pPr>
                  <w:r>
                    <w:rPr>
                      <w:rFonts w:ascii="宋体" w:hAnsi="宋体" w:eastAsia="宋体" w:cs="宋体"/>
                      <w:b w:val="0"/>
                      <w:i w:val="0"/>
                      <w:color w:val="auto"/>
                      <w:kern w:val="0"/>
                      <w:sz w:val="21"/>
                      <w:szCs w:val="21"/>
                      <w:highlight w:val="none"/>
                      <w:lang w:val="en-US" w:eastAsia="zh-CN" w:bidi="ar"/>
                    </w:rPr>
                    <w:t>野外调查法、遥感分析法等</w:t>
                  </w:r>
                </w:p>
              </w:tc>
            </w:tr>
            <w:tr w14:paraId="5F140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7" w:type="dxa"/>
                  <w:vMerge w:val="continue"/>
                  <w:vAlign w:val="center"/>
                </w:tcPr>
                <w:p w14:paraId="3E2E3231">
                  <w:pPr>
                    <w:pStyle w:val="8"/>
                    <w:adjustRightInd w:val="0"/>
                    <w:snapToGrid w:val="0"/>
                    <w:spacing w:after="0"/>
                    <w:ind w:left="0" w:leftChars="0" w:firstLine="0"/>
                    <w:jc w:val="center"/>
                    <w:rPr>
                      <w:rFonts w:hint="eastAsia"/>
                      <w:color w:val="auto"/>
                      <w:highlight w:val="none"/>
                      <w:lang w:val="en-US" w:eastAsia="zh-CN"/>
                    </w:rPr>
                  </w:pPr>
                </w:p>
              </w:tc>
              <w:tc>
                <w:tcPr>
                  <w:tcW w:w="1077" w:type="dxa"/>
                  <w:vMerge w:val="continue"/>
                  <w:vAlign w:val="center"/>
                </w:tcPr>
                <w:p w14:paraId="3385BE31">
                  <w:pPr>
                    <w:pStyle w:val="8"/>
                    <w:adjustRightInd w:val="0"/>
                    <w:snapToGrid w:val="0"/>
                    <w:spacing w:after="0"/>
                    <w:ind w:left="0" w:leftChars="0" w:firstLine="0"/>
                    <w:jc w:val="center"/>
                    <w:rPr>
                      <w:rFonts w:hint="eastAsia"/>
                      <w:color w:val="auto"/>
                      <w:highlight w:val="none"/>
                      <w:lang w:val="en-US" w:eastAsia="zh-CN"/>
                    </w:rPr>
                  </w:pPr>
                </w:p>
              </w:tc>
              <w:tc>
                <w:tcPr>
                  <w:tcW w:w="1496" w:type="dxa"/>
                  <w:shd w:val="clear" w:color="auto" w:fill="auto"/>
                  <w:vAlign w:val="center"/>
                </w:tcPr>
                <w:p w14:paraId="258DF17F">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highlight w:val="none"/>
                      <w:lang w:val="en-US" w:eastAsia="zh-CN"/>
                    </w:rPr>
                    <w:t>监测频次及时间</w:t>
                  </w:r>
                </w:p>
              </w:tc>
              <w:tc>
                <w:tcPr>
                  <w:tcW w:w="4900" w:type="dxa"/>
                  <w:shd w:val="clear" w:color="auto" w:fill="auto"/>
                  <w:vAlign w:val="center"/>
                </w:tcPr>
                <w:p w14:paraId="0FB0DA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施工期</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运行初期（竣工环保验收时）、运行期各监测一次</w:t>
                  </w:r>
                  <w:r>
                    <w:rPr>
                      <w:rFonts w:hint="eastAsia" w:cs="Times New Roman"/>
                      <w:color w:val="auto"/>
                      <w:sz w:val="21"/>
                      <w:szCs w:val="21"/>
                      <w:highlight w:val="none"/>
                      <w:lang w:eastAsia="zh-CN"/>
                    </w:rPr>
                    <w:t>。</w:t>
                  </w:r>
                </w:p>
              </w:tc>
            </w:tr>
          </w:tbl>
          <w:p w14:paraId="7382A47D">
            <w:pPr>
              <w:spacing w:line="360" w:lineRule="auto"/>
              <w:ind w:firstLine="480" w:firstLineChars="200"/>
              <w:rPr>
                <w:color w:val="auto"/>
                <w:sz w:val="24"/>
                <w:highlight w:val="none"/>
              </w:rPr>
            </w:pPr>
            <w:r>
              <w:rPr>
                <w:color w:val="auto"/>
                <w:sz w:val="24"/>
                <w:highlight w:val="none"/>
              </w:rPr>
              <w:t>（3）监测点位</w:t>
            </w:r>
          </w:p>
          <w:p w14:paraId="75ED3F20">
            <w:pPr>
              <w:spacing w:line="360" w:lineRule="auto"/>
              <w:ind w:firstLine="480" w:firstLineChars="200"/>
              <w:rPr>
                <w:color w:val="auto"/>
                <w:sz w:val="24"/>
                <w:highlight w:val="none"/>
              </w:rPr>
            </w:pPr>
            <w:r>
              <w:rPr>
                <w:color w:val="auto"/>
                <w:sz w:val="24"/>
                <w:highlight w:val="none"/>
              </w:rPr>
              <w:t>本项目运行后监测项目主要为：工频电场、工频磁场</w:t>
            </w:r>
            <w:r>
              <w:rPr>
                <w:rFonts w:hint="eastAsia"/>
                <w:color w:val="auto"/>
                <w:sz w:val="24"/>
                <w:highlight w:val="none"/>
                <w:lang w:val="en-US" w:eastAsia="zh-CN"/>
              </w:rPr>
              <w:t>和噪声</w:t>
            </w:r>
            <w:r>
              <w:rPr>
                <w:color w:val="auto"/>
                <w:sz w:val="24"/>
                <w:highlight w:val="none"/>
              </w:rPr>
              <w:t>。</w:t>
            </w:r>
          </w:p>
          <w:p w14:paraId="2F107A10">
            <w:pPr>
              <w:spacing w:line="360" w:lineRule="auto"/>
              <w:ind w:firstLine="480" w:firstLineChars="200"/>
              <w:rPr>
                <w:rFonts w:hint="default"/>
                <w:color w:val="auto"/>
                <w:sz w:val="24"/>
                <w:highlight w:val="none"/>
                <w:lang w:val="en-US" w:eastAsia="zh-CN"/>
              </w:rPr>
            </w:pPr>
            <w:r>
              <w:rPr>
                <w:color w:val="auto"/>
                <w:kern w:val="0"/>
                <w:sz w:val="24"/>
                <w:highlight w:val="none"/>
              </w:rPr>
              <w:t>①</w:t>
            </w:r>
            <w:r>
              <w:rPr>
                <w:color w:val="auto"/>
                <w:sz w:val="24"/>
                <w:highlight w:val="none"/>
              </w:rPr>
              <w:t xml:space="preserve">工频电场、工频磁场 </w:t>
            </w:r>
          </w:p>
          <w:p w14:paraId="1D1DCED2">
            <w:pPr>
              <w:autoSpaceDE w:val="0"/>
              <w:autoSpaceDN w:val="0"/>
              <w:spacing w:line="360" w:lineRule="auto"/>
              <w:ind w:firstLine="480" w:firstLineChars="200"/>
              <w:jc w:val="left"/>
              <w:rPr>
                <w:color w:val="auto"/>
                <w:kern w:val="0"/>
                <w:sz w:val="24"/>
                <w:highlight w:val="none"/>
              </w:rPr>
            </w:pPr>
            <w:r>
              <w:rPr>
                <w:color w:val="auto"/>
                <w:sz w:val="24"/>
                <w:highlight w:val="none"/>
              </w:rPr>
              <w:t>变电站工程</w:t>
            </w:r>
            <w:r>
              <w:rPr>
                <w:color w:val="auto"/>
                <w:kern w:val="0"/>
                <w:sz w:val="24"/>
                <w:highlight w:val="none"/>
              </w:rPr>
              <w:t>：监测点选择在变电站无进出线或远离进出线（距离边导线地面投影不少于20m）的围墙外且距离围墙5m处布置，</w:t>
            </w:r>
            <w:r>
              <w:rPr>
                <w:color w:val="auto"/>
                <w:sz w:val="24"/>
                <w:highlight w:val="none"/>
              </w:rPr>
              <w:t>距离地面1.5m位置</w:t>
            </w:r>
            <w:r>
              <w:rPr>
                <w:color w:val="auto"/>
                <w:kern w:val="0"/>
                <w:sz w:val="24"/>
                <w:highlight w:val="none"/>
              </w:rPr>
              <w:t>。断面监测路径选择在以变电站围墙（监测最大值）为起点，在垂直于围墙的方向上布置，监测点间距为5m，顺序测至距离围墙50m处为止。</w:t>
            </w:r>
          </w:p>
          <w:p w14:paraId="15848224">
            <w:pPr>
              <w:autoSpaceDE w:val="0"/>
              <w:autoSpaceDN w:val="0"/>
              <w:spacing w:line="360" w:lineRule="auto"/>
              <w:ind w:firstLine="480" w:firstLineChars="200"/>
              <w:jc w:val="left"/>
              <w:rPr>
                <w:rFonts w:hint="default" w:ascii="Times New Roman" w:hAnsi="Times New Roman" w:cs="Times New Roman"/>
                <w:color w:val="auto"/>
                <w:sz w:val="24"/>
                <w:highlight w:val="none"/>
              </w:rPr>
            </w:pPr>
            <w:r>
              <w:rPr>
                <w:rFonts w:hint="eastAsia"/>
                <w:color w:val="auto"/>
                <w:sz w:val="24"/>
                <w:highlight w:val="none"/>
                <w:lang w:val="en-US" w:eastAsia="zh-CN"/>
              </w:rPr>
              <w:t>输电</w:t>
            </w:r>
            <w:r>
              <w:rPr>
                <w:color w:val="auto"/>
                <w:sz w:val="24"/>
                <w:highlight w:val="none"/>
              </w:rPr>
              <w:t>线路工程</w:t>
            </w:r>
            <w:r>
              <w:rPr>
                <w:color w:val="auto"/>
                <w:kern w:val="0"/>
                <w:sz w:val="24"/>
                <w:highlight w:val="none"/>
              </w:rPr>
              <w:t>：监测断面路径选择在以导线档距中央弧垂最低位置的横截面方向上。本项目</w:t>
            </w:r>
            <w:r>
              <w:rPr>
                <w:rFonts w:hint="eastAsia" w:cs="Times New Roman"/>
                <w:color w:val="auto"/>
                <w:kern w:val="0"/>
                <w:sz w:val="24"/>
                <w:highlight w:val="none"/>
                <w:lang w:val="en-US" w:eastAsia="zh-CN"/>
              </w:rPr>
              <w:t>单回路塔线路段</w:t>
            </w:r>
            <w:r>
              <w:rPr>
                <w:color w:val="auto"/>
                <w:kern w:val="0"/>
                <w:sz w:val="24"/>
                <w:highlight w:val="none"/>
              </w:rPr>
              <w:t>以弧垂最低位置处中相导线对地投影点为起点，同塔双回输电线路</w:t>
            </w:r>
            <w:bookmarkStart w:id="44" w:name="OLE_LINK8"/>
            <w:r>
              <w:rPr>
                <w:color w:val="auto"/>
                <w:kern w:val="0"/>
                <w:sz w:val="24"/>
                <w:highlight w:val="none"/>
              </w:rPr>
              <w:t>以弧垂最低位置处</w:t>
            </w:r>
            <w:bookmarkEnd w:id="44"/>
            <w:r>
              <w:rPr>
                <w:color w:val="auto"/>
                <w:kern w:val="0"/>
                <w:sz w:val="24"/>
                <w:highlight w:val="none"/>
              </w:rPr>
              <w:t>档距对应两杆塔中央连线对地投影为起点，监测点均匀分布在边相导线两侧的横断面方向上。对于挂线方式以杆塔对称排列的输电线路，只需在杆塔一侧的横断面方向上布置监测点。在测量最大值时，监测点间距为1m，监测到最大值后，监测点间距为5m，顺序测至距离边导线对地投影外5</w:t>
            </w:r>
            <w:r>
              <w:rPr>
                <w:rFonts w:hint="eastAsia"/>
                <w:color w:val="auto"/>
                <w:kern w:val="0"/>
                <w:sz w:val="24"/>
                <w:highlight w:val="none"/>
                <w:lang w:val="en-US" w:eastAsia="zh-CN"/>
              </w:rPr>
              <w:t>0</w:t>
            </w:r>
            <w:r>
              <w:rPr>
                <w:color w:val="auto"/>
                <w:kern w:val="0"/>
                <w:sz w:val="24"/>
                <w:highlight w:val="none"/>
              </w:rPr>
              <w:t>m处为止。</w:t>
            </w:r>
          </w:p>
          <w:p w14:paraId="1B941DCA">
            <w:pPr>
              <w:spacing w:line="360" w:lineRule="auto"/>
              <w:ind w:firstLine="480" w:firstLineChars="200"/>
              <w:rPr>
                <w:color w:val="auto"/>
                <w:kern w:val="0"/>
                <w:sz w:val="24"/>
                <w:highlight w:val="none"/>
              </w:rPr>
            </w:pPr>
            <w:r>
              <w:rPr>
                <w:rFonts w:hint="eastAsia" w:ascii="Times New Roman" w:hAnsi="Times New Roman" w:eastAsia="宋体" w:cs="Times New Roman"/>
                <w:color w:val="auto"/>
                <w:kern w:val="2"/>
                <w:sz w:val="24"/>
                <w:szCs w:val="24"/>
                <w:highlight w:val="none"/>
                <w:lang w:val="en-US" w:eastAsia="zh-CN"/>
              </w:rPr>
              <w:t>电磁环境敏感目标：</w:t>
            </w:r>
            <w:r>
              <w:rPr>
                <w:rFonts w:hint="default" w:ascii="Times New Roman" w:hAnsi="Times New Roman" w:eastAsia="宋体" w:cs="Times New Roman"/>
                <w:color w:val="auto"/>
                <w:spacing w:val="0"/>
                <w:w w:val="100"/>
                <w:position w:val="0"/>
                <w:sz w:val="24"/>
                <w:highlight w:val="none"/>
                <w:lang w:val="en-US" w:eastAsia="zh-CN"/>
              </w:rPr>
              <w:t>监测点位选择在电磁</w:t>
            </w:r>
            <w:r>
              <w:rPr>
                <w:rFonts w:hint="default" w:ascii="Times New Roman" w:hAnsi="Times New Roman" w:eastAsia="宋体" w:cs="Times New Roman"/>
                <w:b w:val="0"/>
                <w:bCs w:val="0"/>
                <w:color w:val="auto"/>
                <w:spacing w:val="0"/>
                <w:w w:val="100"/>
                <w:kern w:val="0"/>
                <w:position w:val="0"/>
                <w:sz w:val="24"/>
                <w:highlight w:val="none"/>
                <w:lang w:val="en-US" w:eastAsia="zh-CN"/>
              </w:rPr>
              <w:t>环境敏感目标建筑物户外，建筑物靠近</w:t>
            </w:r>
            <w:r>
              <w:rPr>
                <w:rFonts w:hint="eastAsia" w:ascii="Times New Roman" w:hAnsi="Times New Roman" w:eastAsia="宋体" w:cs="Times New Roman"/>
                <w:b w:val="0"/>
                <w:bCs w:val="0"/>
                <w:color w:val="auto"/>
                <w:spacing w:val="0"/>
                <w:w w:val="100"/>
                <w:kern w:val="0"/>
                <w:position w:val="0"/>
                <w:sz w:val="24"/>
                <w:highlight w:val="none"/>
                <w:lang w:val="en-US" w:eastAsia="zh-CN"/>
              </w:rPr>
              <w:t>输变电</w:t>
            </w:r>
            <w:r>
              <w:rPr>
                <w:rFonts w:hint="default" w:ascii="Times New Roman" w:hAnsi="Times New Roman" w:eastAsia="宋体" w:cs="Times New Roman"/>
                <w:b w:val="0"/>
                <w:bCs w:val="0"/>
                <w:color w:val="auto"/>
                <w:spacing w:val="0"/>
                <w:w w:val="100"/>
                <w:kern w:val="0"/>
                <w:position w:val="0"/>
                <w:sz w:val="24"/>
                <w:highlight w:val="none"/>
                <w:lang w:val="en-US" w:eastAsia="zh-CN"/>
              </w:rPr>
              <w:t>的一侧，距离墙壁1m处，距离地面1.5m的位置。</w:t>
            </w:r>
          </w:p>
          <w:p w14:paraId="262D9321">
            <w:pPr>
              <w:spacing w:line="360" w:lineRule="auto"/>
              <w:ind w:firstLine="480" w:firstLineChars="200"/>
              <w:rPr>
                <w:rFonts w:hint="default"/>
                <w:color w:val="auto"/>
                <w:sz w:val="24"/>
                <w:highlight w:val="none"/>
                <w:lang w:val="en-US" w:eastAsia="zh-CN"/>
              </w:rPr>
            </w:pPr>
            <w:r>
              <w:rPr>
                <w:color w:val="auto"/>
                <w:kern w:val="0"/>
                <w:sz w:val="24"/>
                <w:highlight w:val="none"/>
              </w:rPr>
              <w:t>②</w:t>
            </w:r>
            <w:r>
              <w:rPr>
                <w:color w:val="auto"/>
                <w:sz w:val="24"/>
                <w:highlight w:val="none"/>
              </w:rPr>
              <w:t>噪声</w:t>
            </w:r>
          </w:p>
          <w:p w14:paraId="24B131BC">
            <w:pPr>
              <w:autoSpaceDE w:val="0"/>
              <w:autoSpaceDN w:val="0"/>
              <w:spacing w:line="360" w:lineRule="auto"/>
              <w:ind w:firstLine="480" w:firstLineChars="200"/>
              <w:jc w:val="left"/>
              <w:rPr>
                <w:rFonts w:hint="default" w:ascii="Times New Roman" w:hAnsi="Times New Roman" w:cs="Times New Roman"/>
                <w:color w:val="auto"/>
                <w:sz w:val="24"/>
                <w:szCs w:val="22"/>
                <w:highlight w:val="none"/>
              </w:rPr>
            </w:pPr>
            <w:r>
              <w:rPr>
                <w:color w:val="auto"/>
                <w:kern w:val="0"/>
                <w:sz w:val="24"/>
                <w:highlight w:val="none"/>
              </w:rPr>
              <w:t>变电站工程：</w:t>
            </w:r>
            <w:r>
              <w:rPr>
                <w:rFonts w:hint="default" w:ascii="Times New Roman" w:hAnsi="Times New Roman" w:cs="Times New Roman"/>
                <w:color w:val="auto"/>
                <w:sz w:val="24"/>
                <w:szCs w:val="22"/>
                <w:highlight w:val="none"/>
              </w:rPr>
              <w:t>监测点选择在变电站厂界外1m、高度1.2m以上、距任一反射面距离不小于1m的位置。</w:t>
            </w:r>
          </w:p>
          <w:p w14:paraId="56B6DC3C">
            <w:pPr>
              <w:autoSpaceDE w:val="0"/>
              <w:autoSpaceDN w:val="0"/>
              <w:spacing w:line="360" w:lineRule="auto"/>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t>输电线路</w:t>
            </w:r>
            <w:r>
              <w:rPr>
                <w:rFonts w:hint="eastAsia" w:ascii="Times New Roman" w:hAnsi="Times New Roman" w:cs="Times New Roman"/>
                <w:color w:val="auto"/>
                <w:sz w:val="24"/>
                <w:highlight w:val="none"/>
                <w:lang w:val="en-US" w:eastAsia="zh-CN"/>
              </w:rPr>
              <w:t>工程</w:t>
            </w:r>
            <w:r>
              <w:rPr>
                <w:rFonts w:hint="default" w:ascii="Times New Roman" w:hAnsi="Times New Roman" w:cs="Times New Roman"/>
                <w:color w:val="auto"/>
                <w:sz w:val="24"/>
                <w:highlight w:val="none"/>
              </w:rPr>
              <w:t>：在线路导线距地最低处布设监测断面，</w:t>
            </w:r>
            <w:r>
              <w:rPr>
                <w:rFonts w:hint="default" w:ascii="Times New Roman" w:hAnsi="Times New Roman" w:cs="Times New Roman"/>
                <w:color w:val="auto"/>
                <w:kern w:val="0"/>
                <w:sz w:val="24"/>
                <w:highlight w:val="none"/>
              </w:rPr>
              <w:t>选择在以导线弧垂最大处线路中心的地面投影点为监测原点，沿垂直于线路方向进行，测点间距5m，依次监测到调查范围处为止。</w:t>
            </w:r>
          </w:p>
          <w:p w14:paraId="5A5A3FB8">
            <w:pPr>
              <w:autoSpaceDE w:val="0"/>
              <w:autoSpaceDN w:val="0"/>
              <w:spacing w:line="360" w:lineRule="auto"/>
              <w:ind w:firstLine="480" w:firstLineChars="200"/>
              <w:jc w:val="left"/>
              <w:rPr>
                <w:rFonts w:hint="default" w:ascii="Times New Roman" w:hAnsi="Times New Roman" w:eastAsia="宋体" w:cs="Times New Roman"/>
                <w:b w:val="0"/>
                <w:bCs w:val="0"/>
                <w:color w:val="auto"/>
                <w:spacing w:val="0"/>
                <w:w w:val="100"/>
                <w:kern w:val="0"/>
                <w:position w:val="0"/>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声环境敏感目标：</w:t>
            </w:r>
            <w:r>
              <w:rPr>
                <w:rFonts w:hint="default" w:ascii="Times New Roman" w:hAnsi="Times New Roman" w:eastAsia="宋体" w:cs="Times New Roman"/>
                <w:color w:val="auto"/>
                <w:spacing w:val="0"/>
                <w:w w:val="100"/>
                <w:position w:val="0"/>
                <w:sz w:val="24"/>
                <w:highlight w:val="none"/>
                <w:lang w:val="en-US" w:eastAsia="zh-CN"/>
              </w:rPr>
              <w:t>监测点位选择在</w:t>
            </w:r>
            <w:r>
              <w:rPr>
                <w:rFonts w:hint="eastAsia" w:ascii="Times New Roman" w:hAnsi="Times New Roman" w:eastAsia="宋体" w:cs="Times New Roman"/>
                <w:color w:val="auto"/>
                <w:spacing w:val="0"/>
                <w:w w:val="100"/>
                <w:position w:val="0"/>
                <w:sz w:val="24"/>
                <w:highlight w:val="none"/>
                <w:lang w:val="en-US" w:eastAsia="zh-CN"/>
              </w:rPr>
              <w:t>声</w:t>
            </w:r>
            <w:r>
              <w:rPr>
                <w:rFonts w:hint="default" w:ascii="Times New Roman" w:hAnsi="Times New Roman" w:eastAsia="宋体" w:cs="Times New Roman"/>
                <w:b w:val="0"/>
                <w:bCs w:val="0"/>
                <w:color w:val="auto"/>
                <w:spacing w:val="0"/>
                <w:w w:val="100"/>
                <w:kern w:val="0"/>
                <w:position w:val="0"/>
                <w:sz w:val="24"/>
                <w:highlight w:val="none"/>
                <w:lang w:val="en-US" w:eastAsia="zh-CN"/>
              </w:rPr>
              <w:t>环境敏感目标建筑物户外，建筑物靠近</w:t>
            </w:r>
            <w:r>
              <w:rPr>
                <w:rFonts w:hint="eastAsia" w:ascii="Times New Roman" w:hAnsi="Times New Roman" w:eastAsia="宋体" w:cs="Times New Roman"/>
                <w:b w:val="0"/>
                <w:bCs w:val="0"/>
                <w:color w:val="auto"/>
                <w:spacing w:val="0"/>
                <w:w w:val="100"/>
                <w:kern w:val="0"/>
                <w:position w:val="0"/>
                <w:sz w:val="24"/>
                <w:highlight w:val="none"/>
                <w:lang w:val="en-US" w:eastAsia="zh-CN"/>
              </w:rPr>
              <w:t>输变电</w:t>
            </w:r>
            <w:r>
              <w:rPr>
                <w:rFonts w:hint="default" w:ascii="Times New Roman" w:hAnsi="Times New Roman" w:eastAsia="宋体" w:cs="Times New Roman"/>
                <w:b w:val="0"/>
                <w:bCs w:val="0"/>
                <w:color w:val="auto"/>
                <w:spacing w:val="0"/>
                <w:w w:val="100"/>
                <w:kern w:val="0"/>
                <w:position w:val="0"/>
                <w:sz w:val="24"/>
                <w:highlight w:val="none"/>
                <w:lang w:val="en-US" w:eastAsia="zh-CN"/>
              </w:rPr>
              <w:t>的一侧，距离墙壁</w:t>
            </w:r>
            <w:r>
              <w:rPr>
                <w:rFonts w:hint="eastAsia" w:ascii="Times New Roman" w:hAnsi="Times New Roman" w:eastAsia="宋体" w:cs="Times New Roman"/>
                <w:b w:val="0"/>
                <w:bCs w:val="0"/>
                <w:color w:val="auto"/>
                <w:spacing w:val="0"/>
                <w:w w:val="100"/>
                <w:kern w:val="0"/>
                <w:position w:val="0"/>
                <w:sz w:val="24"/>
                <w:highlight w:val="none"/>
                <w:lang w:val="en-US" w:eastAsia="zh-CN"/>
              </w:rPr>
              <w:t>或窗户外</w:t>
            </w:r>
            <w:r>
              <w:rPr>
                <w:rFonts w:hint="default" w:ascii="Times New Roman" w:hAnsi="Times New Roman" w:eastAsia="宋体" w:cs="Times New Roman"/>
                <w:b w:val="0"/>
                <w:bCs w:val="0"/>
                <w:color w:val="auto"/>
                <w:spacing w:val="0"/>
                <w:w w:val="100"/>
                <w:kern w:val="0"/>
                <w:position w:val="0"/>
                <w:sz w:val="24"/>
                <w:highlight w:val="none"/>
                <w:lang w:val="en-US" w:eastAsia="zh-CN"/>
              </w:rPr>
              <w:t>1m处，距离地面1.</w:t>
            </w:r>
            <w:r>
              <w:rPr>
                <w:rFonts w:hint="eastAsia" w:ascii="Times New Roman" w:hAnsi="Times New Roman" w:eastAsia="宋体" w:cs="Times New Roman"/>
                <w:b w:val="0"/>
                <w:bCs w:val="0"/>
                <w:color w:val="auto"/>
                <w:spacing w:val="0"/>
                <w:w w:val="100"/>
                <w:kern w:val="0"/>
                <w:position w:val="0"/>
                <w:sz w:val="24"/>
                <w:highlight w:val="none"/>
                <w:lang w:val="en-US" w:eastAsia="zh-CN"/>
              </w:rPr>
              <w:t>2</w:t>
            </w:r>
            <w:r>
              <w:rPr>
                <w:rFonts w:hint="default" w:ascii="Times New Roman" w:hAnsi="Times New Roman" w:eastAsia="宋体" w:cs="Times New Roman"/>
                <w:b w:val="0"/>
                <w:bCs w:val="0"/>
                <w:color w:val="auto"/>
                <w:spacing w:val="0"/>
                <w:w w:val="100"/>
                <w:kern w:val="0"/>
                <w:position w:val="0"/>
                <w:sz w:val="24"/>
                <w:highlight w:val="none"/>
                <w:lang w:val="en-US" w:eastAsia="zh-CN"/>
              </w:rPr>
              <w:t>m</w:t>
            </w:r>
            <w:r>
              <w:rPr>
                <w:rFonts w:hint="eastAsia" w:ascii="Times New Roman" w:hAnsi="Times New Roman" w:eastAsia="宋体" w:cs="Times New Roman"/>
                <w:b w:val="0"/>
                <w:bCs w:val="0"/>
                <w:color w:val="auto"/>
                <w:spacing w:val="0"/>
                <w:w w:val="100"/>
                <w:kern w:val="0"/>
                <w:position w:val="0"/>
                <w:sz w:val="24"/>
                <w:highlight w:val="none"/>
                <w:lang w:val="en-US" w:eastAsia="zh-CN"/>
              </w:rPr>
              <w:t>以上</w:t>
            </w:r>
            <w:r>
              <w:rPr>
                <w:rFonts w:hint="default" w:ascii="Times New Roman" w:hAnsi="Times New Roman" w:eastAsia="宋体" w:cs="Times New Roman"/>
                <w:b w:val="0"/>
                <w:bCs w:val="0"/>
                <w:color w:val="auto"/>
                <w:spacing w:val="0"/>
                <w:w w:val="100"/>
                <w:kern w:val="0"/>
                <w:position w:val="0"/>
                <w:sz w:val="24"/>
                <w:highlight w:val="none"/>
                <w:lang w:val="en-US" w:eastAsia="zh-CN"/>
              </w:rPr>
              <w:t>的位置。</w:t>
            </w:r>
          </w:p>
          <w:p w14:paraId="534B5D78">
            <w:pPr>
              <w:spacing w:line="360" w:lineRule="auto"/>
              <w:ind w:firstLine="480" w:firstLineChars="200"/>
              <w:rPr>
                <w:color w:val="auto"/>
                <w:highlight w:val="none"/>
              </w:rPr>
            </w:pPr>
            <w:r>
              <w:rPr>
                <w:color w:val="auto"/>
                <w:sz w:val="24"/>
                <w:highlight w:val="none"/>
              </w:rPr>
              <w:t xml:space="preserve">（4）监测技术要求 </w:t>
            </w:r>
          </w:p>
          <w:p w14:paraId="0D4DA674">
            <w:pPr>
              <w:spacing w:line="360" w:lineRule="auto"/>
              <w:ind w:firstLine="480" w:firstLineChars="200"/>
              <w:rPr>
                <w:color w:val="auto"/>
                <w:sz w:val="24"/>
                <w:highlight w:val="none"/>
              </w:rPr>
            </w:pPr>
            <w:r>
              <w:rPr>
                <w:color w:val="auto"/>
                <w:sz w:val="24"/>
                <w:highlight w:val="none"/>
              </w:rPr>
              <w:t>①监测方法</w:t>
            </w:r>
          </w:p>
          <w:p w14:paraId="76F76C28">
            <w:pPr>
              <w:spacing w:line="360" w:lineRule="auto"/>
              <w:ind w:firstLine="480" w:firstLineChars="200"/>
              <w:rPr>
                <w:color w:val="auto"/>
                <w:sz w:val="24"/>
                <w:highlight w:val="none"/>
              </w:rPr>
            </w:pPr>
            <w:r>
              <w:rPr>
                <w:color w:val="auto"/>
                <w:sz w:val="24"/>
                <w:highlight w:val="none"/>
              </w:rPr>
              <w:t>工频电场、工频磁场的监测方法执行《交流输变电工程电磁环境监测方法（试行）》（HJ681-2013）中相关规定；噪声的监测方法执行《工业企业厂界环境噪声排放标准》（GB12348-2008</w:t>
            </w:r>
            <w:r>
              <w:rPr>
                <w:rFonts w:hint="eastAsia"/>
                <w:color w:val="auto"/>
                <w:sz w:val="24"/>
                <w:highlight w:val="none"/>
                <w:lang w:eastAsia="zh-CN"/>
              </w:rPr>
              <w:t>）</w:t>
            </w:r>
            <w:r>
              <w:rPr>
                <w:rFonts w:hint="eastAsia"/>
                <w:color w:val="auto"/>
                <w:sz w:val="24"/>
                <w:highlight w:val="none"/>
              </w:rPr>
              <w:t>、</w:t>
            </w:r>
            <w:r>
              <w:rPr>
                <w:color w:val="auto"/>
                <w:sz w:val="24"/>
                <w:highlight w:val="none"/>
              </w:rPr>
              <w:t>《声环境质量标准》（GB3096-2008）中相关规定。</w:t>
            </w:r>
          </w:p>
          <w:p w14:paraId="0CFD2755">
            <w:pPr>
              <w:spacing w:line="360" w:lineRule="auto"/>
              <w:ind w:firstLine="480" w:firstLineChars="200"/>
              <w:rPr>
                <w:color w:val="auto"/>
                <w:sz w:val="24"/>
                <w:highlight w:val="none"/>
              </w:rPr>
            </w:pPr>
            <w:r>
              <w:rPr>
                <w:color w:val="auto"/>
                <w:sz w:val="24"/>
                <w:highlight w:val="none"/>
              </w:rPr>
              <w:t xml:space="preserve">②监测频次 </w:t>
            </w:r>
          </w:p>
          <w:p w14:paraId="66DA9176">
            <w:pPr>
              <w:spacing w:line="360" w:lineRule="auto"/>
              <w:ind w:firstLine="480" w:firstLineChars="200"/>
              <w:rPr>
                <w:color w:val="auto"/>
                <w:sz w:val="24"/>
                <w:highlight w:val="none"/>
              </w:rPr>
            </w:pPr>
            <w:r>
              <w:rPr>
                <w:color w:val="auto"/>
                <w:sz w:val="24"/>
                <w:highlight w:val="none"/>
              </w:rPr>
              <w:t>运行期间进行竣工环境保护验收时监测一次；结合项目竣工环境保护验收，根据运行单位的规定进行常规监测，并针对项目发生重大变化时以及引发投诉纠纷时进行必要的监测。</w:t>
            </w:r>
          </w:p>
          <w:p w14:paraId="6A0B54CD">
            <w:pPr>
              <w:spacing w:line="360" w:lineRule="auto"/>
              <w:ind w:firstLine="480" w:firstLineChars="200"/>
              <w:rPr>
                <w:color w:val="auto"/>
                <w:sz w:val="24"/>
                <w:highlight w:val="none"/>
              </w:rPr>
            </w:pPr>
            <w:r>
              <w:rPr>
                <w:color w:val="auto"/>
                <w:sz w:val="24"/>
                <w:highlight w:val="none"/>
              </w:rPr>
              <w:t>③监测质量控制、保证</w:t>
            </w:r>
          </w:p>
          <w:p w14:paraId="4FC11CC1">
            <w:pPr>
              <w:spacing w:line="360" w:lineRule="auto"/>
              <w:ind w:firstLine="480" w:firstLineChars="200"/>
              <w:rPr>
                <w:color w:val="auto"/>
                <w:sz w:val="24"/>
                <w:highlight w:val="none"/>
              </w:rPr>
            </w:pPr>
            <w:r>
              <w:rPr>
                <w:color w:val="auto"/>
                <w:sz w:val="24"/>
                <w:highlight w:val="none"/>
              </w:rPr>
              <w:t>监测单位需为取得检验检测机构资质认定证书的单位且具有电磁辐射和噪声检测类别。监测单位应具备完善的监测质量控制体系，对整个环境监测过程进行全面质量管控。监测仪器应定期校准，并在其证书有效期内使用，每次监测前后均检查仪器，确保仪器在正常工作状态。监测人员应进行业务培训，考核合格并取得岗位合格证书。现场监测工作须不少于二名监测人员进行。监测点位、监测环境、监测高度和监测方法均按照《声环境质量标准》（GB3096-2008）、《工业企业厂界环境噪声排放标准》（GB12348-2008）、《交流输变电工程电磁环境监测方法（试行）》（HJ681-2013）中相关规定执行。</w:t>
            </w:r>
          </w:p>
          <w:p w14:paraId="3E79019D">
            <w:pPr>
              <w:spacing w:line="360" w:lineRule="auto"/>
              <w:ind w:firstLine="480" w:firstLineChars="200"/>
              <w:rPr>
                <w:color w:val="auto"/>
                <w:sz w:val="24"/>
                <w:highlight w:val="none"/>
              </w:rPr>
            </w:pPr>
            <w:r>
              <w:rPr>
                <w:color w:val="auto"/>
                <w:sz w:val="24"/>
                <w:highlight w:val="none"/>
              </w:rPr>
              <w:t>监测结束后，应及时对监测原始数据进行整理，进行三级审核程序，审核内容包括监测采样方案及其执行情况，数据处理过程，质控措施，计量单位，编号等。经三级审核过的监测报告由相关负责人签字、监测单位盖章后生效。</w:t>
            </w:r>
          </w:p>
          <w:p w14:paraId="433FB449">
            <w:pPr>
              <w:pStyle w:val="8"/>
              <w:spacing w:after="0" w:line="360" w:lineRule="auto"/>
              <w:ind w:left="0" w:leftChars="0" w:firstLine="482" w:firstLineChars="200"/>
              <w:rPr>
                <w:b/>
                <w:bCs/>
                <w:color w:val="auto"/>
                <w:sz w:val="24"/>
                <w:highlight w:val="none"/>
              </w:rPr>
            </w:pPr>
            <w:r>
              <w:rPr>
                <w:rFonts w:hint="eastAsia"/>
                <w:b/>
                <w:bCs/>
                <w:color w:val="auto"/>
                <w:sz w:val="24"/>
                <w:highlight w:val="none"/>
                <w:lang w:val="en-US" w:eastAsia="zh-CN"/>
              </w:rPr>
              <w:t>8</w:t>
            </w:r>
            <w:r>
              <w:rPr>
                <w:b/>
                <w:bCs/>
                <w:color w:val="auto"/>
                <w:sz w:val="24"/>
                <w:highlight w:val="none"/>
              </w:rPr>
              <w:t>、环境保护措施可行合理性分析</w:t>
            </w:r>
          </w:p>
          <w:p w14:paraId="7DF41C99">
            <w:pPr>
              <w:spacing w:line="360" w:lineRule="auto"/>
              <w:ind w:firstLine="480" w:firstLineChars="200"/>
              <w:rPr>
                <w:color w:val="auto"/>
                <w:sz w:val="24"/>
                <w:highlight w:val="none"/>
              </w:rPr>
            </w:pPr>
            <w:r>
              <w:rPr>
                <w:color w:val="auto"/>
                <w:sz w:val="24"/>
                <w:highlight w:val="none"/>
              </w:rPr>
              <w:t>本项目各环境要素所采取的环境保护措在参照《输变电建设项目环境保护技术要求》（HJ1113-2020）中提出的选址选线、设计阶段、施工阶段及运行阶段环境保护措施</w:t>
            </w:r>
            <w:r>
              <w:rPr>
                <w:rFonts w:hint="eastAsia"/>
                <w:color w:val="auto"/>
                <w:sz w:val="24"/>
                <w:highlight w:val="none"/>
              </w:rPr>
              <w:t>基础上，</w:t>
            </w:r>
            <w:r>
              <w:rPr>
                <w:color w:val="auto"/>
                <w:sz w:val="24"/>
                <w:highlight w:val="none"/>
              </w:rPr>
              <w:t>结合本项目可研报告、土地复垦方案中提出环境保护措施制定的。</w:t>
            </w:r>
          </w:p>
          <w:p w14:paraId="18FA0FBF">
            <w:pPr>
              <w:spacing w:line="360" w:lineRule="auto"/>
              <w:ind w:firstLine="480" w:firstLineChars="200"/>
              <w:rPr>
                <w:color w:val="auto"/>
                <w:sz w:val="24"/>
                <w:highlight w:val="none"/>
              </w:rPr>
            </w:pPr>
            <w:r>
              <w:rPr>
                <w:rFonts w:hint="eastAsia"/>
                <w:color w:val="auto"/>
                <w:sz w:val="24"/>
                <w:highlight w:val="none"/>
              </w:rPr>
              <w:t>运行期</w:t>
            </w:r>
            <w:r>
              <w:rPr>
                <w:color w:val="auto"/>
                <w:sz w:val="24"/>
                <w:highlight w:val="none"/>
              </w:rPr>
              <w:t>变电站，通过设备选型、</w:t>
            </w:r>
            <w:r>
              <w:rPr>
                <w:rFonts w:hint="eastAsia"/>
                <w:color w:val="auto"/>
                <w:sz w:val="24"/>
                <w:highlight w:val="none"/>
              </w:rPr>
              <w:t>加强设备维护保养确保</w:t>
            </w:r>
            <w:r>
              <w:rPr>
                <w:color w:val="auto"/>
                <w:sz w:val="24"/>
                <w:highlight w:val="none"/>
              </w:rPr>
              <w:t>厂界环境噪声排放；设置事故</w:t>
            </w:r>
            <w:r>
              <w:rPr>
                <w:rFonts w:hint="eastAsia"/>
                <w:color w:val="auto"/>
                <w:sz w:val="24"/>
                <w:highlight w:val="none"/>
              </w:rPr>
              <w:t>油坑、</w:t>
            </w:r>
            <w:r>
              <w:rPr>
                <w:rFonts w:hint="eastAsia" w:cs="Times New Roman"/>
                <w:color w:val="auto"/>
                <w:sz w:val="24"/>
                <w:highlight w:val="none"/>
                <w:lang w:val="en-US" w:eastAsia="zh-CN"/>
              </w:rPr>
              <w:t>排油管、</w:t>
            </w:r>
            <w:r>
              <w:rPr>
                <w:rFonts w:hint="eastAsia"/>
                <w:color w:val="auto"/>
                <w:sz w:val="24"/>
                <w:highlight w:val="none"/>
              </w:rPr>
              <w:t>事故</w:t>
            </w:r>
            <w:r>
              <w:rPr>
                <w:color w:val="auto"/>
                <w:sz w:val="24"/>
                <w:highlight w:val="none"/>
              </w:rPr>
              <w:t>油池来收集事故情况下产生的事故油。输电线路严格按照设计规范要求的高度，</w:t>
            </w:r>
            <w:r>
              <w:rPr>
                <w:rFonts w:hint="eastAsia"/>
                <w:color w:val="auto"/>
                <w:sz w:val="24"/>
                <w:highlight w:val="none"/>
              </w:rPr>
              <w:t>加强监督管理</w:t>
            </w:r>
            <w:r>
              <w:rPr>
                <w:color w:val="auto"/>
                <w:sz w:val="24"/>
                <w:highlight w:val="none"/>
              </w:rPr>
              <w:t>保证线路运行产生的工频电场强度</w:t>
            </w:r>
            <w:r>
              <w:rPr>
                <w:rFonts w:hint="eastAsia"/>
                <w:color w:val="auto"/>
                <w:sz w:val="24"/>
                <w:highlight w:val="none"/>
              </w:rPr>
              <w:t>、</w:t>
            </w:r>
            <w:r>
              <w:rPr>
                <w:color w:val="auto"/>
                <w:sz w:val="24"/>
                <w:highlight w:val="none"/>
              </w:rPr>
              <w:t>工频磁感应强度</w:t>
            </w:r>
            <w:r>
              <w:rPr>
                <w:rFonts w:hint="eastAsia"/>
                <w:color w:val="auto"/>
                <w:sz w:val="24"/>
                <w:highlight w:val="none"/>
              </w:rPr>
              <w:t>及噪声</w:t>
            </w:r>
            <w:r>
              <w:rPr>
                <w:color w:val="auto"/>
                <w:sz w:val="24"/>
                <w:highlight w:val="none"/>
              </w:rPr>
              <w:t>均满足评价标准的要求。</w:t>
            </w:r>
          </w:p>
          <w:p w14:paraId="4C3AD718">
            <w:pPr>
              <w:spacing w:line="360" w:lineRule="auto"/>
              <w:ind w:firstLine="480" w:firstLineChars="200"/>
              <w:rPr>
                <w:color w:val="auto"/>
                <w:sz w:val="24"/>
                <w:highlight w:val="none"/>
              </w:rPr>
            </w:pPr>
            <w:r>
              <w:rPr>
                <w:color w:val="auto"/>
                <w:sz w:val="24"/>
                <w:highlight w:val="none"/>
              </w:rPr>
              <w:t>这些防治措施大部分是已运行输变电工程实际运行经验，结合国家环境保护要求而设计的，因此在技术上可行，经济上合理</w:t>
            </w:r>
            <w:r>
              <w:rPr>
                <w:rFonts w:hint="eastAsia"/>
                <w:color w:val="auto"/>
                <w:sz w:val="24"/>
                <w:highlight w:val="none"/>
              </w:rPr>
              <w:t>，在本项目环保投资中明确了本项目各环境保护措施实施阶段、责任主体、具体实施方案、各阶段需采取的环境保护措施及环保投资金额，可保障本项目设计期、施工期、运行期各阶段生态保护措施和修复效果的落实。</w:t>
            </w:r>
          </w:p>
        </w:tc>
      </w:tr>
      <w:tr w14:paraId="588D4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vAlign w:val="center"/>
          </w:tcPr>
          <w:p w14:paraId="18343340">
            <w:pPr>
              <w:adjustRightInd w:val="0"/>
              <w:snapToGrid w:val="0"/>
              <w:spacing w:before="120" w:beforeLines="50" w:after="120" w:afterLines="50"/>
              <w:jc w:val="center"/>
              <w:rPr>
                <w:bCs/>
                <w:color w:val="auto"/>
                <w:spacing w:val="10"/>
                <w:szCs w:val="21"/>
                <w:highlight w:val="none"/>
              </w:rPr>
            </w:pPr>
            <w:r>
              <w:rPr>
                <w:bCs/>
                <w:color w:val="auto"/>
                <w:sz w:val="24"/>
                <w:highlight w:val="none"/>
              </w:rPr>
              <w:t>其他</w:t>
            </w:r>
          </w:p>
        </w:tc>
        <w:tc>
          <w:tcPr>
            <w:tcW w:w="8692" w:type="dxa"/>
          </w:tcPr>
          <w:p w14:paraId="259ECF8E">
            <w:pPr>
              <w:adjustRightInd w:val="0"/>
              <w:snapToGrid w:val="0"/>
              <w:spacing w:before="120" w:beforeLines="50" w:after="120" w:afterLines="50"/>
              <w:jc w:val="center"/>
              <w:rPr>
                <w:bCs/>
                <w:color w:val="auto"/>
                <w:spacing w:val="10"/>
                <w:szCs w:val="21"/>
                <w:highlight w:val="none"/>
              </w:rPr>
            </w:pPr>
            <w:r>
              <w:rPr>
                <w:bCs/>
                <w:color w:val="auto"/>
                <w:spacing w:val="10"/>
                <w:sz w:val="24"/>
                <w:highlight w:val="none"/>
              </w:rPr>
              <w:t>无</w:t>
            </w:r>
          </w:p>
        </w:tc>
      </w:tr>
      <w:tr w14:paraId="46695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780" w:type="dxa"/>
            <w:vAlign w:val="center"/>
          </w:tcPr>
          <w:p w14:paraId="3E298B16">
            <w:pPr>
              <w:adjustRightInd w:val="0"/>
              <w:snapToGrid w:val="0"/>
              <w:jc w:val="center"/>
              <w:rPr>
                <w:bCs/>
                <w:color w:val="auto"/>
                <w:spacing w:val="10"/>
                <w:szCs w:val="21"/>
                <w:highlight w:val="none"/>
              </w:rPr>
            </w:pPr>
            <w:r>
              <w:rPr>
                <w:bCs/>
                <w:color w:val="auto"/>
                <w:sz w:val="24"/>
                <w:highlight w:val="none"/>
              </w:rPr>
              <w:t>环保投资</w:t>
            </w:r>
          </w:p>
        </w:tc>
        <w:tc>
          <w:tcPr>
            <w:tcW w:w="8692" w:type="dxa"/>
          </w:tcPr>
          <w:p w14:paraId="5AC98E5A">
            <w:pPr>
              <w:spacing w:line="360" w:lineRule="auto"/>
              <w:ind w:firstLine="480" w:firstLineChars="200"/>
              <w:rPr>
                <w:color w:val="auto"/>
                <w:sz w:val="24"/>
                <w:highlight w:val="none"/>
              </w:rPr>
            </w:pPr>
            <w:r>
              <w:rPr>
                <w:color w:val="auto"/>
                <w:sz w:val="24"/>
                <w:highlight w:val="none"/>
              </w:rPr>
              <w:t>根据项目相关资料，本项目动态总投资</w:t>
            </w:r>
            <w:r>
              <w:rPr>
                <w:rFonts w:hint="eastAsia"/>
                <w:color w:val="auto"/>
                <w:sz w:val="24"/>
                <w:highlight w:val="none"/>
                <w:lang w:val="en-US" w:eastAsia="zh-CN"/>
              </w:rPr>
              <w:t>******</w:t>
            </w:r>
            <w:r>
              <w:rPr>
                <w:color w:val="auto"/>
                <w:sz w:val="24"/>
                <w:highlight w:val="none"/>
              </w:rPr>
              <w:t>万元，其中环保投资估算为</w:t>
            </w:r>
            <w:r>
              <w:rPr>
                <w:rFonts w:hint="eastAsia"/>
                <w:color w:val="auto"/>
                <w:sz w:val="24"/>
                <w:highlight w:val="none"/>
                <w:lang w:val="en-US" w:eastAsia="zh-CN"/>
              </w:rPr>
              <w:t>******</w:t>
            </w:r>
            <w:r>
              <w:rPr>
                <w:color w:val="auto"/>
                <w:sz w:val="24"/>
                <w:highlight w:val="none"/>
              </w:rPr>
              <w:t>万元，占项目动态总投资的</w:t>
            </w:r>
            <w:r>
              <w:rPr>
                <w:rFonts w:hint="eastAsia"/>
                <w:color w:val="auto"/>
                <w:sz w:val="24"/>
                <w:highlight w:val="none"/>
                <w:lang w:val="en-US" w:eastAsia="zh-CN"/>
              </w:rPr>
              <w:t>******</w:t>
            </w:r>
            <w:r>
              <w:rPr>
                <w:color w:val="auto"/>
                <w:sz w:val="24"/>
                <w:highlight w:val="none"/>
              </w:rPr>
              <w:t>。本项目环保投资见表5-2。</w:t>
            </w:r>
          </w:p>
          <w:p w14:paraId="0166F7DA">
            <w:pPr>
              <w:spacing w:line="360" w:lineRule="auto"/>
              <w:jc w:val="right"/>
              <w:rPr>
                <w:rFonts w:ascii="Times New Roman" w:hAnsi="Times New Roman" w:eastAsia="黑体" w:cs="Times New Roman"/>
                <w:b/>
                <w:bCs/>
                <w:color w:val="auto"/>
                <w:sz w:val="24"/>
                <w:highlight w:val="none"/>
              </w:rPr>
            </w:pPr>
            <w:r>
              <w:rPr>
                <w:rFonts w:ascii="Times New Roman" w:hAnsi="Times New Roman" w:eastAsia="黑体" w:cs="Times New Roman"/>
                <w:b/>
                <w:bCs/>
                <w:color w:val="auto"/>
                <w:sz w:val="24"/>
                <w:highlight w:val="none"/>
              </w:rPr>
              <w:t xml:space="preserve">表5-2  本项目环保投资一览表   </w:t>
            </w:r>
            <w:r>
              <w:rPr>
                <w:rFonts w:hint="eastAsia" w:ascii="Times New Roman" w:hAnsi="Times New Roman" w:eastAsia="黑体" w:cs="Times New Roman"/>
                <w:b/>
                <w:bCs/>
                <w:color w:val="auto"/>
                <w:sz w:val="24"/>
                <w:highlight w:val="none"/>
                <w:lang w:val="en-US" w:eastAsia="zh-CN"/>
              </w:rPr>
              <w:t xml:space="preserve"> </w:t>
            </w:r>
            <w:r>
              <w:rPr>
                <w:rFonts w:ascii="Times New Roman" w:hAnsi="Times New Roman" w:eastAsia="黑体" w:cs="Times New Roman"/>
                <w:b/>
                <w:bCs/>
                <w:color w:val="auto"/>
                <w:sz w:val="24"/>
                <w:highlight w:val="none"/>
              </w:rPr>
              <w:t xml:space="preserve">       </w:t>
            </w:r>
            <w:r>
              <w:rPr>
                <w:rFonts w:ascii="Times New Roman" w:hAnsi="Times New Roman" w:eastAsia="黑体" w:cs="Times New Roman"/>
                <w:b w:val="0"/>
                <w:bCs w:val="0"/>
                <w:color w:val="auto"/>
                <w:sz w:val="24"/>
                <w:highlight w:val="none"/>
              </w:rPr>
              <w:t>单位：万元</w:t>
            </w:r>
          </w:p>
          <w:tbl>
            <w:tblPr>
              <w:tblStyle w:val="28"/>
              <w:tblW w:w="82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85"/>
              <w:gridCol w:w="914"/>
              <w:gridCol w:w="2750"/>
              <w:gridCol w:w="613"/>
              <w:gridCol w:w="2030"/>
              <w:gridCol w:w="817"/>
            </w:tblGrid>
            <w:tr w14:paraId="7E603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dxa"/>
                  <w:vAlign w:val="center"/>
                </w:tcPr>
                <w:p w14:paraId="663F21E9">
                  <w:pPr>
                    <w:jc w:val="center"/>
                    <w:rPr>
                      <w:b/>
                      <w:bCs/>
                      <w:color w:val="auto"/>
                      <w:spacing w:val="-11"/>
                      <w:szCs w:val="21"/>
                      <w:highlight w:val="none"/>
                    </w:rPr>
                  </w:pPr>
                  <w:r>
                    <w:rPr>
                      <w:b/>
                      <w:bCs/>
                      <w:color w:val="auto"/>
                      <w:spacing w:val="-11"/>
                      <w:szCs w:val="21"/>
                      <w:highlight w:val="none"/>
                    </w:rPr>
                    <w:t>序号</w:t>
                  </w:r>
                </w:p>
              </w:tc>
              <w:tc>
                <w:tcPr>
                  <w:tcW w:w="685" w:type="dxa"/>
                  <w:vAlign w:val="center"/>
                </w:tcPr>
                <w:p w14:paraId="1F04DEEF">
                  <w:pPr>
                    <w:jc w:val="center"/>
                    <w:rPr>
                      <w:b/>
                      <w:bCs/>
                      <w:color w:val="auto"/>
                      <w:spacing w:val="-11"/>
                      <w:szCs w:val="21"/>
                      <w:highlight w:val="none"/>
                    </w:rPr>
                  </w:pPr>
                  <w:r>
                    <w:rPr>
                      <w:b/>
                      <w:bCs/>
                      <w:color w:val="auto"/>
                      <w:spacing w:val="-11"/>
                      <w:szCs w:val="21"/>
                      <w:highlight w:val="none"/>
                    </w:rPr>
                    <w:t>项目</w:t>
                  </w:r>
                </w:p>
                <w:p w14:paraId="18E93C5C">
                  <w:pPr>
                    <w:jc w:val="center"/>
                    <w:rPr>
                      <w:b/>
                      <w:bCs/>
                      <w:color w:val="auto"/>
                      <w:spacing w:val="-11"/>
                      <w:szCs w:val="21"/>
                      <w:highlight w:val="none"/>
                    </w:rPr>
                  </w:pPr>
                  <w:r>
                    <w:rPr>
                      <w:b/>
                      <w:bCs/>
                      <w:color w:val="auto"/>
                      <w:spacing w:val="-11"/>
                      <w:szCs w:val="21"/>
                      <w:highlight w:val="none"/>
                    </w:rPr>
                    <w:t>阶段</w:t>
                  </w:r>
                </w:p>
              </w:tc>
              <w:tc>
                <w:tcPr>
                  <w:tcW w:w="914" w:type="dxa"/>
                  <w:vAlign w:val="center"/>
                </w:tcPr>
                <w:p w14:paraId="46BD5E7A">
                  <w:pPr>
                    <w:jc w:val="center"/>
                    <w:rPr>
                      <w:b/>
                      <w:bCs/>
                      <w:color w:val="auto"/>
                      <w:spacing w:val="-11"/>
                      <w:szCs w:val="21"/>
                      <w:highlight w:val="none"/>
                    </w:rPr>
                  </w:pPr>
                  <w:r>
                    <w:rPr>
                      <w:b/>
                      <w:bCs/>
                      <w:color w:val="auto"/>
                      <w:spacing w:val="-11"/>
                      <w:szCs w:val="21"/>
                      <w:highlight w:val="none"/>
                    </w:rPr>
                    <w:t>环境保护设施</w:t>
                  </w:r>
                </w:p>
              </w:tc>
              <w:tc>
                <w:tcPr>
                  <w:tcW w:w="2750" w:type="dxa"/>
                  <w:vAlign w:val="center"/>
                </w:tcPr>
                <w:p w14:paraId="69DE4BFA">
                  <w:pPr>
                    <w:jc w:val="center"/>
                    <w:rPr>
                      <w:b/>
                      <w:bCs/>
                      <w:color w:val="auto"/>
                      <w:spacing w:val="-11"/>
                      <w:szCs w:val="21"/>
                      <w:highlight w:val="none"/>
                    </w:rPr>
                  </w:pPr>
                  <w:r>
                    <w:rPr>
                      <w:b/>
                      <w:bCs/>
                      <w:color w:val="auto"/>
                      <w:spacing w:val="-11"/>
                      <w:szCs w:val="21"/>
                      <w:highlight w:val="none"/>
                    </w:rPr>
                    <w:t>环境保护措施</w:t>
                  </w:r>
                </w:p>
              </w:tc>
              <w:tc>
                <w:tcPr>
                  <w:tcW w:w="613" w:type="dxa"/>
                  <w:vAlign w:val="center"/>
                </w:tcPr>
                <w:p w14:paraId="1015B7F9">
                  <w:pPr>
                    <w:jc w:val="center"/>
                    <w:rPr>
                      <w:b/>
                      <w:bCs/>
                      <w:color w:val="auto"/>
                      <w:spacing w:val="-11"/>
                      <w:szCs w:val="21"/>
                      <w:highlight w:val="none"/>
                    </w:rPr>
                  </w:pPr>
                  <w:r>
                    <w:rPr>
                      <w:b/>
                      <w:bCs/>
                      <w:color w:val="auto"/>
                      <w:spacing w:val="-11"/>
                      <w:szCs w:val="21"/>
                      <w:highlight w:val="none"/>
                    </w:rPr>
                    <w:t>责任主体</w:t>
                  </w:r>
                </w:p>
              </w:tc>
              <w:tc>
                <w:tcPr>
                  <w:tcW w:w="2030" w:type="dxa"/>
                  <w:vAlign w:val="center"/>
                </w:tcPr>
                <w:p w14:paraId="2C3F927E">
                  <w:pPr>
                    <w:jc w:val="center"/>
                    <w:rPr>
                      <w:b/>
                      <w:bCs/>
                      <w:color w:val="auto"/>
                      <w:spacing w:val="-11"/>
                      <w:szCs w:val="21"/>
                      <w:highlight w:val="none"/>
                    </w:rPr>
                  </w:pPr>
                  <w:r>
                    <w:rPr>
                      <w:b/>
                      <w:bCs/>
                      <w:color w:val="auto"/>
                      <w:spacing w:val="-11"/>
                      <w:szCs w:val="21"/>
                      <w:highlight w:val="none"/>
                    </w:rPr>
                    <w:t>实施方案</w:t>
                  </w:r>
                </w:p>
              </w:tc>
              <w:tc>
                <w:tcPr>
                  <w:tcW w:w="817" w:type="dxa"/>
                  <w:vAlign w:val="center"/>
                </w:tcPr>
                <w:p w14:paraId="1DE3A6BF">
                  <w:pPr>
                    <w:jc w:val="center"/>
                    <w:rPr>
                      <w:b/>
                      <w:bCs/>
                      <w:color w:val="auto"/>
                      <w:spacing w:val="-11"/>
                      <w:sz w:val="21"/>
                      <w:szCs w:val="21"/>
                      <w:highlight w:val="none"/>
                    </w:rPr>
                  </w:pPr>
                  <w:r>
                    <w:rPr>
                      <w:b/>
                      <w:bCs/>
                      <w:color w:val="auto"/>
                      <w:spacing w:val="-11"/>
                      <w:sz w:val="21"/>
                      <w:szCs w:val="21"/>
                      <w:highlight w:val="none"/>
                    </w:rPr>
                    <w:t>投资</w:t>
                  </w:r>
                </w:p>
                <w:p w14:paraId="41809EFD">
                  <w:pPr>
                    <w:jc w:val="center"/>
                    <w:rPr>
                      <w:b/>
                      <w:bCs/>
                      <w:color w:val="auto"/>
                      <w:spacing w:val="-11"/>
                      <w:sz w:val="21"/>
                      <w:szCs w:val="21"/>
                      <w:highlight w:val="none"/>
                    </w:rPr>
                  </w:pPr>
                  <w:r>
                    <w:rPr>
                      <w:b/>
                      <w:bCs/>
                      <w:color w:val="auto"/>
                      <w:spacing w:val="-11"/>
                      <w:sz w:val="21"/>
                      <w:szCs w:val="21"/>
                      <w:highlight w:val="none"/>
                    </w:rPr>
                    <w:t>估算</w:t>
                  </w:r>
                </w:p>
              </w:tc>
            </w:tr>
            <w:tr w14:paraId="50847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Align w:val="center"/>
                </w:tcPr>
                <w:p w14:paraId="4B98AC20">
                  <w:pPr>
                    <w:jc w:val="center"/>
                    <w:rPr>
                      <w:color w:val="auto"/>
                      <w:spacing w:val="-11"/>
                      <w:szCs w:val="21"/>
                      <w:highlight w:val="none"/>
                    </w:rPr>
                  </w:pPr>
                  <w:r>
                    <w:rPr>
                      <w:color w:val="auto"/>
                      <w:spacing w:val="-11"/>
                      <w:szCs w:val="21"/>
                      <w:highlight w:val="none"/>
                    </w:rPr>
                    <w:t>1</w:t>
                  </w:r>
                </w:p>
              </w:tc>
              <w:tc>
                <w:tcPr>
                  <w:tcW w:w="685" w:type="dxa"/>
                  <w:vAlign w:val="center"/>
                </w:tcPr>
                <w:p w14:paraId="3B1032D9">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设计期</w:t>
                  </w:r>
                </w:p>
              </w:tc>
              <w:tc>
                <w:tcPr>
                  <w:tcW w:w="914" w:type="dxa"/>
                  <w:vAlign w:val="center"/>
                </w:tcPr>
                <w:p w14:paraId="777B85E5">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w:t>
                  </w:r>
                </w:p>
              </w:tc>
              <w:tc>
                <w:tcPr>
                  <w:tcW w:w="2750" w:type="dxa"/>
                  <w:vAlign w:val="center"/>
                </w:tcPr>
                <w:p w14:paraId="58CCA4F1">
                  <w:pPr>
                    <w:jc w:val="center"/>
                    <w:rPr>
                      <w:rFonts w:hint="eastAsia" w:ascii="Times New Roman" w:hAnsi="Times New Roman" w:eastAsia="宋体" w:cs="Times New Roman"/>
                      <w:color w:val="auto"/>
                      <w:spacing w:val="0"/>
                      <w:w w:val="100"/>
                      <w:position w:val="0"/>
                      <w:szCs w:val="21"/>
                      <w:highlight w:val="none"/>
                      <w:lang w:val="en-US" w:eastAsia="zh-CN"/>
                    </w:rPr>
                  </w:pPr>
                  <w:r>
                    <w:rPr>
                      <w:rFonts w:hint="default" w:ascii="Times New Roman" w:hAnsi="Times New Roman" w:eastAsia="宋体" w:cs="Times New Roman"/>
                      <w:color w:val="auto"/>
                      <w:spacing w:val="0"/>
                      <w:w w:val="100"/>
                      <w:position w:val="0"/>
                      <w:szCs w:val="21"/>
                      <w:highlight w:val="none"/>
                    </w:rPr>
                    <w:t>1、对项目进行环境影响评价，提出施工期、运行期各项环境保护措施；2、设计单位针对各项环保设施、措施进行设计和要求</w:t>
                  </w:r>
                  <w:r>
                    <w:rPr>
                      <w:rFonts w:hint="eastAsia" w:ascii="Times New Roman" w:hAnsi="Times New Roman" w:eastAsia="宋体" w:cs="Times New Roman"/>
                      <w:color w:val="auto"/>
                      <w:spacing w:val="0"/>
                      <w:w w:val="100"/>
                      <w:position w:val="0"/>
                      <w:szCs w:val="21"/>
                      <w:highlight w:val="none"/>
                      <w:lang w:eastAsia="zh-CN"/>
                    </w:rPr>
                    <w:t>。</w:t>
                  </w:r>
                </w:p>
              </w:tc>
              <w:tc>
                <w:tcPr>
                  <w:tcW w:w="613" w:type="dxa"/>
                  <w:vAlign w:val="center"/>
                </w:tcPr>
                <w:p w14:paraId="3DE08A0B">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建设单位</w:t>
                  </w:r>
                </w:p>
              </w:tc>
              <w:tc>
                <w:tcPr>
                  <w:tcW w:w="2030" w:type="dxa"/>
                  <w:vAlign w:val="center"/>
                </w:tcPr>
                <w:p w14:paraId="6A1C8F53">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环评单位、设计单位协助建设单位对项目进行环评影响评价及环境保护措施设计</w:t>
                  </w:r>
                </w:p>
              </w:tc>
              <w:tc>
                <w:tcPr>
                  <w:tcW w:w="817" w:type="dxa"/>
                  <w:vAlign w:val="center"/>
                </w:tcPr>
                <w:p w14:paraId="64B3605B">
                  <w:pPr>
                    <w:jc w:val="center"/>
                    <w:rPr>
                      <w:rFonts w:hint="default" w:eastAsia="宋体"/>
                      <w:color w:val="auto"/>
                      <w:spacing w:val="-11"/>
                      <w:sz w:val="21"/>
                      <w:szCs w:val="21"/>
                      <w:highlight w:val="none"/>
                      <w:lang w:val="en-US" w:eastAsia="zh-CN"/>
                    </w:rPr>
                  </w:pPr>
                  <w:r>
                    <w:rPr>
                      <w:rFonts w:hint="eastAsia"/>
                      <w:color w:val="auto"/>
                      <w:sz w:val="21"/>
                      <w:szCs w:val="21"/>
                      <w:highlight w:val="none"/>
                      <w:lang w:val="en-US" w:eastAsia="zh-CN"/>
                    </w:rPr>
                    <w:t>*****</w:t>
                  </w:r>
                </w:p>
              </w:tc>
            </w:tr>
            <w:tr w14:paraId="6A7FF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5" w:type="dxa"/>
                  <w:vMerge w:val="restart"/>
                  <w:vAlign w:val="center"/>
                </w:tcPr>
                <w:p w14:paraId="03EC32B3">
                  <w:pPr>
                    <w:jc w:val="center"/>
                    <w:rPr>
                      <w:color w:val="auto"/>
                      <w:spacing w:val="-11"/>
                      <w:szCs w:val="21"/>
                      <w:highlight w:val="none"/>
                    </w:rPr>
                  </w:pPr>
                  <w:r>
                    <w:rPr>
                      <w:color w:val="auto"/>
                      <w:spacing w:val="-11"/>
                      <w:szCs w:val="21"/>
                      <w:highlight w:val="none"/>
                    </w:rPr>
                    <w:t>2</w:t>
                  </w:r>
                </w:p>
              </w:tc>
              <w:tc>
                <w:tcPr>
                  <w:tcW w:w="685" w:type="dxa"/>
                  <w:vMerge w:val="restart"/>
                  <w:vAlign w:val="center"/>
                </w:tcPr>
                <w:p w14:paraId="1761BC45">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施工期</w:t>
                  </w:r>
                </w:p>
              </w:tc>
              <w:tc>
                <w:tcPr>
                  <w:tcW w:w="914" w:type="dxa"/>
                  <w:vMerge w:val="restart"/>
                  <w:vAlign w:val="center"/>
                </w:tcPr>
                <w:p w14:paraId="1B80623C">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洒水车、</w:t>
                  </w:r>
                  <w:r>
                    <w:rPr>
                      <w:rFonts w:hint="eastAsia" w:ascii="Times New Roman" w:hAnsi="Times New Roman" w:eastAsia="宋体" w:cs="Times New Roman"/>
                      <w:color w:val="auto"/>
                      <w:spacing w:val="0"/>
                      <w:w w:val="100"/>
                      <w:position w:val="0"/>
                      <w:szCs w:val="21"/>
                      <w:highlight w:val="none"/>
                      <w:lang w:val="en-US" w:eastAsia="zh-CN"/>
                    </w:rPr>
                    <w:t>密目网、篷布；化粪池；施工</w:t>
                  </w:r>
                  <w:r>
                    <w:rPr>
                      <w:rFonts w:hint="default" w:ascii="Times New Roman" w:hAnsi="Times New Roman" w:eastAsia="宋体" w:cs="Times New Roman"/>
                      <w:color w:val="auto"/>
                      <w:spacing w:val="0"/>
                      <w:w w:val="100"/>
                      <w:position w:val="0"/>
                      <w:szCs w:val="21"/>
                      <w:highlight w:val="none"/>
                    </w:rPr>
                    <w:t>围挡</w:t>
                  </w:r>
                  <w:r>
                    <w:rPr>
                      <w:rFonts w:hint="eastAsia" w:ascii="Times New Roman" w:hAnsi="Times New Roman" w:eastAsia="宋体" w:cs="Times New Roman"/>
                      <w:color w:val="auto"/>
                      <w:spacing w:val="0"/>
                      <w:w w:val="100"/>
                      <w:position w:val="0"/>
                      <w:szCs w:val="21"/>
                      <w:highlight w:val="none"/>
                      <w:lang w:eastAsia="zh-CN"/>
                    </w:rPr>
                    <w:t>；</w:t>
                  </w:r>
                  <w:r>
                    <w:rPr>
                      <w:rFonts w:hint="default" w:ascii="Times New Roman" w:hAnsi="Times New Roman" w:eastAsia="宋体" w:cs="Times New Roman"/>
                      <w:color w:val="auto"/>
                      <w:spacing w:val="0"/>
                      <w:w w:val="100"/>
                      <w:position w:val="0"/>
                      <w:szCs w:val="21"/>
                      <w:highlight w:val="none"/>
                    </w:rPr>
                    <w:t>垃圾运输车</w:t>
                  </w:r>
                  <w:r>
                    <w:rPr>
                      <w:rFonts w:hint="eastAsia" w:ascii="Times New Roman" w:hAnsi="Times New Roman" w:eastAsia="宋体" w:cs="Times New Roman"/>
                      <w:color w:val="auto"/>
                      <w:spacing w:val="0"/>
                      <w:w w:val="100"/>
                      <w:position w:val="0"/>
                      <w:szCs w:val="21"/>
                      <w:highlight w:val="none"/>
                      <w:lang w:eastAsia="zh-CN"/>
                    </w:rPr>
                    <w:t>；</w:t>
                  </w:r>
                  <w:r>
                    <w:rPr>
                      <w:rFonts w:hint="eastAsia" w:ascii="Times New Roman" w:hAnsi="Times New Roman" w:eastAsia="宋体" w:cs="Times New Roman"/>
                      <w:color w:val="auto"/>
                      <w:spacing w:val="0"/>
                      <w:w w:val="100"/>
                      <w:position w:val="0"/>
                      <w:szCs w:val="21"/>
                      <w:highlight w:val="none"/>
                      <w:lang w:val="en-US" w:eastAsia="zh-CN"/>
                    </w:rPr>
                    <w:t>施工围栏；</w:t>
                  </w:r>
                  <w:r>
                    <w:rPr>
                      <w:rFonts w:hint="default" w:ascii="Times New Roman" w:hAnsi="Times New Roman" w:eastAsia="宋体" w:cs="Times New Roman"/>
                      <w:color w:val="auto"/>
                      <w:spacing w:val="0"/>
                      <w:w w:val="100"/>
                      <w:position w:val="0"/>
                      <w:szCs w:val="21"/>
                      <w:highlight w:val="none"/>
                    </w:rPr>
                    <w:t>警示标志</w:t>
                  </w:r>
                </w:p>
              </w:tc>
              <w:tc>
                <w:tcPr>
                  <w:tcW w:w="2750" w:type="dxa"/>
                  <w:vAlign w:val="center"/>
                </w:tcPr>
                <w:p w14:paraId="27454FFF">
                  <w:pPr>
                    <w:jc w:val="center"/>
                    <w:rPr>
                      <w:rFonts w:hint="eastAsia" w:ascii="Times New Roman" w:hAnsi="Times New Roman" w:eastAsia="宋体" w:cs="Times New Roman"/>
                      <w:color w:val="auto"/>
                      <w:spacing w:val="0"/>
                      <w:w w:val="100"/>
                      <w:position w:val="0"/>
                      <w:szCs w:val="21"/>
                      <w:highlight w:val="none"/>
                      <w:lang w:eastAsia="zh-CN"/>
                    </w:rPr>
                  </w:pPr>
                  <w:r>
                    <w:rPr>
                      <w:rFonts w:hint="default" w:ascii="Times New Roman" w:hAnsi="Times New Roman" w:eastAsia="宋体" w:cs="Times New Roman"/>
                      <w:color w:val="auto"/>
                      <w:spacing w:val="0"/>
                      <w:w w:val="100"/>
                      <w:position w:val="0"/>
                      <w:szCs w:val="21"/>
                      <w:highlight w:val="none"/>
                    </w:rPr>
                    <w:t>扬尘：采取洒水抑尘，</w:t>
                  </w:r>
                  <w:r>
                    <w:rPr>
                      <w:rFonts w:hint="eastAsia" w:ascii="Times New Roman" w:hAnsi="Times New Roman" w:eastAsia="宋体" w:cs="Times New Roman"/>
                      <w:color w:val="auto"/>
                      <w:spacing w:val="0"/>
                      <w:w w:val="100"/>
                      <w:position w:val="0"/>
                      <w:szCs w:val="21"/>
                      <w:highlight w:val="none"/>
                      <w:lang w:val="en-US" w:eastAsia="zh-CN"/>
                    </w:rPr>
                    <w:t>临时堆土密目网苫盖、</w:t>
                  </w:r>
                  <w:r>
                    <w:rPr>
                      <w:rFonts w:hint="default" w:ascii="Times New Roman" w:hAnsi="Times New Roman" w:eastAsia="宋体" w:cs="Times New Roman"/>
                      <w:color w:val="auto"/>
                      <w:spacing w:val="0"/>
                      <w:w w:val="100"/>
                      <w:position w:val="0"/>
                      <w:szCs w:val="21"/>
                      <w:highlight w:val="none"/>
                    </w:rPr>
                    <w:t>运输车辆</w:t>
                  </w:r>
                  <w:r>
                    <w:rPr>
                      <w:rFonts w:hint="eastAsia" w:ascii="Times New Roman" w:hAnsi="Times New Roman" w:eastAsia="宋体" w:cs="Times New Roman"/>
                      <w:color w:val="auto"/>
                      <w:spacing w:val="0"/>
                      <w:w w:val="100"/>
                      <w:position w:val="0"/>
                      <w:szCs w:val="21"/>
                      <w:highlight w:val="none"/>
                      <w:lang w:val="en-US" w:eastAsia="zh-CN"/>
                    </w:rPr>
                    <w:t>篷布</w:t>
                  </w:r>
                  <w:r>
                    <w:rPr>
                      <w:rFonts w:hint="default" w:ascii="Times New Roman" w:hAnsi="Times New Roman" w:eastAsia="宋体" w:cs="Times New Roman"/>
                      <w:color w:val="auto"/>
                      <w:spacing w:val="0"/>
                      <w:w w:val="100"/>
                      <w:position w:val="0"/>
                      <w:szCs w:val="21"/>
                      <w:highlight w:val="none"/>
                    </w:rPr>
                    <w:t>苫盖等措施</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restart"/>
                  <w:vAlign w:val="center"/>
                </w:tcPr>
                <w:p w14:paraId="291AA5F5">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建设单位</w:t>
                  </w:r>
                </w:p>
              </w:tc>
              <w:tc>
                <w:tcPr>
                  <w:tcW w:w="2030" w:type="dxa"/>
                  <w:vMerge w:val="restart"/>
                  <w:vAlign w:val="center"/>
                </w:tcPr>
                <w:p w14:paraId="7E5D63F1">
                  <w:pPr>
                    <w:jc w:val="center"/>
                    <w:rPr>
                      <w:rFonts w:hint="default" w:ascii="Times New Roman" w:hAnsi="Times New Roman" w:eastAsia="宋体" w:cs="Times New Roman"/>
                      <w:color w:val="auto"/>
                      <w:spacing w:val="0"/>
                      <w:w w:val="100"/>
                      <w:position w:val="0"/>
                      <w:szCs w:val="21"/>
                      <w:highlight w:val="none"/>
                    </w:rPr>
                  </w:pPr>
                  <w:r>
                    <w:rPr>
                      <w:rFonts w:hint="eastAsia" w:ascii="Times New Roman" w:hAnsi="Times New Roman" w:eastAsia="宋体" w:cs="Times New Roman"/>
                      <w:color w:val="auto"/>
                      <w:spacing w:val="0"/>
                      <w:w w:val="100"/>
                      <w:position w:val="0"/>
                      <w:szCs w:val="21"/>
                      <w:highlight w:val="none"/>
                      <w:lang w:val="en-US" w:eastAsia="zh-CN"/>
                    </w:rPr>
                    <w:t>1、</w:t>
                  </w:r>
                  <w:r>
                    <w:rPr>
                      <w:rFonts w:hint="default" w:ascii="Times New Roman" w:hAnsi="Times New Roman" w:eastAsia="宋体" w:cs="Times New Roman"/>
                      <w:color w:val="auto"/>
                      <w:spacing w:val="0"/>
                      <w:w w:val="100"/>
                      <w:position w:val="0"/>
                      <w:szCs w:val="21"/>
                      <w:highlight w:val="none"/>
                    </w:rPr>
                    <w:t>建设单位将环境保护要求纳入施工承包合同中，应在施工场地派驻专人负责环境保护管理工作，监督各项环境保护措施的落实；</w:t>
                  </w:r>
                </w:p>
                <w:p w14:paraId="5FD020BD">
                  <w:pPr>
                    <w:jc w:val="center"/>
                    <w:rPr>
                      <w:rFonts w:hint="default" w:ascii="Times New Roman" w:hAnsi="Times New Roman" w:eastAsia="宋体" w:cs="Times New Roman"/>
                      <w:color w:val="auto"/>
                      <w:spacing w:val="0"/>
                      <w:w w:val="100"/>
                      <w:position w:val="0"/>
                      <w:szCs w:val="21"/>
                      <w:highlight w:val="none"/>
                    </w:rPr>
                  </w:pPr>
                  <w:r>
                    <w:rPr>
                      <w:rFonts w:hint="eastAsia" w:ascii="Times New Roman" w:hAnsi="Times New Roman" w:eastAsia="宋体" w:cs="Times New Roman"/>
                      <w:color w:val="auto"/>
                      <w:spacing w:val="0"/>
                      <w:w w:val="100"/>
                      <w:position w:val="0"/>
                      <w:szCs w:val="21"/>
                      <w:highlight w:val="none"/>
                      <w:lang w:val="en-US" w:eastAsia="zh-CN"/>
                    </w:rPr>
                    <w:t>2、</w:t>
                  </w:r>
                  <w:r>
                    <w:rPr>
                      <w:rFonts w:hint="default" w:ascii="Times New Roman" w:hAnsi="Times New Roman" w:eastAsia="宋体" w:cs="Times New Roman"/>
                      <w:color w:val="auto"/>
                      <w:spacing w:val="0"/>
                      <w:w w:val="100"/>
                      <w:position w:val="0"/>
                      <w:szCs w:val="21"/>
                      <w:highlight w:val="none"/>
                    </w:rPr>
                    <w:t>施工单位组织施工人员进行环境保护培训，加强环境保护意识，严格按照环环境影响评价及环境保护专项设计落实各项环保措施。</w:t>
                  </w:r>
                </w:p>
                <w:p w14:paraId="4E84ED2B">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3、施工结束后，建设单位组织项目进行竣工环境保护验收。</w:t>
                  </w:r>
                </w:p>
              </w:tc>
              <w:tc>
                <w:tcPr>
                  <w:tcW w:w="817" w:type="dxa"/>
                  <w:vAlign w:val="center"/>
                </w:tcPr>
                <w:p w14:paraId="5C8B63C9">
                  <w:pPr>
                    <w:jc w:val="center"/>
                    <w:rPr>
                      <w:rFonts w:hint="eastAsia" w:eastAsia="宋体"/>
                      <w:color w:val="auto"/>
                      <w:spacing w:val="-11"/>
                      <w:sz w:val="21"/>
                      <w:szCs w:val="21"/>
                      <w:highlight w:val="none"/>
                      <w:lang w:eastAsia="zh-CN"/>
                    </w:rPr>
                  </w:pPr>
                  <w:r>
                    <w:rPr>
                      <w:rFonts w:hint="eastAsia"/>
                      <w:color w:val="auto"/>
                      <w:sz w:val="21"/>
                      <w:szCs w:val="21"/>
                      <w:highlight w:val="none"/>
                      <w:lang w:val="en-US" w:eastAsia="zh-CN"/>
                    </w:rPr>
                    <w:t>*****</w:t>
                  </w:r>
                </w:p>
              </w:tc>
            </w:tr>
            <w:tr w14:paraId="4EAC4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Merge w:val="continue"/>
                  <w:vAlign w:val="center"/>
                </w:tcPr>
                <w:p w14:paraId="4A01D282">
                  <w:pPr>
                    <w:jc w:val="center"/>
                    <w:rPr>
                      <w:color w:val="auto"/>
                      <w:spacing w:val="-11"/>
                      <w:szCs w:val="21"/>
                      <w:highlight w:val="none"/>
                    </w:rPr>
                  </w:pPr>
                </w:p>
              </w:tc>
              <w:tc>
                <w:tcPr>
                  <w:tcW w:w="685" w:type="dxa"/>
                  <w:vMerge w:val="continue"/>
                  <w:vAlign w:val="center"/>
                </w:tcPr>
                <w:p w14:paraId="42F59014">
                  <w:pPr>
                    <w:jc w:val="center"/>
                    <w:rPr>
                      <w:color w:val="auto"/>
                      <w:spacing w:val="-11"/>
                      <w:szCs w:val="21"/>
                      <w:highlight w:val="none"/>
                    </w:rPr>
                  </w:pPr>
                </w:p>
              </w:tc>
              <w:tc>
                <w:tcPr>
                  <w:tcW w:w="914" w:type="dxa"/>
                  <w:vMerge w:val="continue"/>
                  <w:vAlign w:val="center"/>
                </w:tcPr>
                <w:p w14:paraId="61A53AB6">
                  <w:pPr>
                    <w:jc w:val="center"/>
                    <w:rPr>
                      <w:color w:val="auto"/>
                      <w:spacing w:val="-11"/>
                      <w:szCs w:val="21"/>
                      <w:highlight w:val="none"/>
                    </w:rPr>
                  </w:pPr>
                </w:p>
              </w:tc>
              <w:tc>
                <w:tcPr>
                  <w:tcW w:w="2750" w:type="dxa"/>
                  <w:vAlign w:val="center"/>
                </w:tcPr>
                <w:p w14:paraId="1ACA4417">
                  <w:pPr>
                    <w:jc w:val="center"/>
                    <w:rPr>
                      <w:rFonts w:hint="eastAsia" w:ascii="Times New Roman" w:hAnsi="Times New Roman" w:eastAsia="宋体" w:cs="Times New Roman"/>
                      <w:color w:val="auto"/>
                      <w:spacing w:val="0"/>
                      <w:w w:val="100"/>
                      <w:position w:val="0"/>
                      <w:szCs w:val="21"/>
                      <w:highlight w:val="none"/>
                      <w:lang w:eastAsia="zh-CN"/>
                    </w:rPr>
                  </w:pPr>
                  <w:r>
                    <w:rPr>
                      <w:rFonts w:hint="eastAsia" w:ascii="Times New Roman" w:hAnsi="Times New Roman" w:eastAsia="宋体" w:cs="Times New Roman"/>
                      <w:color w:val="auto"/>
                      <w:spacing w:val="0"/>
                      <w:w w:val="100"/>
                      <w:position w:val="0"/>
                      <w:szCs w:val="21"/>
                      <w:highlight w:val="none"/>
                    </w:rPr>
                    <w:t>生活污水</w:t>
                  </w:r>
                  <w:r>
                    <w:rPr>
                      <w:rFonts w:hint="default" w:ascii="Times New Roman" w:hAnsi="Times New Roman" w:eastAsia="宋体" w:cs="Times New Roman"/>
                      <w:color w:val="auto"/>
                      <w:spacing w:val="0"/>
                      <w:w w:val="100"/>
                      <w:position w:val="0"/>
                      <w:szCs w:val="21"/>
                      <w:highlight w:val="none"/>
                    </w:rPr>
                    <w:t>：</w:t>
                  </w:r>
                  <w:r>
                    <w:rPr>
                      <w:rFonts w:hint="eastAsia" w:ascii="Times New Roman" w:hAnsi="Times New Roman" w:eastAsia="宋体" w:cs="Times New Roman"/>
                      <w:color w:val="auto"/>
                      <w:spacing w:val="0"/>
                      <w:w w:val="100"/>
                      <w:position w:val="0"/>
                      <w:szCs w:val="21"/>
                      <w:highlight w:val="none"/>
                      <w:lang w:val="en-US" w:eastAsia="zh-CN"/>
                    </w:rPr>
                    <w:t>施工营地</w:t>
                  </w:r>
                  <w:r>
                    <w:rPr>
                      <w:rFonts w:hint="default" w:ascii="Times New Roman" w:hAnsi="Times New Roman" w:eastAsia="宋体" w:cs="Times New Roman"/>
                      <w:color w:val="auto"/>
                      <w:spacing w:val="0"/>
                      <w:w w:val="100"/>
                      <w:position w:val="0"/>
                      <w:szCs w:val="21"/>
                      <w:highlight w:val="none"/>
                    </w:rPr>
                    <w:t>设置化粪池</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continue"/>
                  <w:vAlign w:val="center"/>
                </w:tcPr>
                <w:p w14:paraId="5CA2F661">
                  <w:pPr>
                    <w:jc w:val="center"/>
                    <w:rPr>
                      <w:color w:val="auto"/>
                      <w:spacing w:val="-11"/>
                      <w:szCs w:val="21"/>
                      <w:highlight w:val="none"/>
                    </w:rPr>
                  </w:pPr>
                </w:p>
              </w:tc>
              <w:tc>
                <w:tcPr>
                  <w:tcW w:w="2030" w:type="dxa"/>
                  <w:vMerge w:val="continue"/>
                  <w:vAlign w:val="center"/>
                </w:tcPr>
                <w:p w14:paraId="72D2C0C6">
                  <w:pPr>
                    <w:jc w:val="center"/>
                    <w:rPr>
                      <w:color w:val="auto"/>
                      <w:spacing w:val="-11"/>
                      <w:szCs w:val="21"/>
                      <w:highlight w:val="none"/>
                    </w:rPr>
                  </w:pPr>
                </w:p>
              </w:tc>
              <w:tc>
                <w:tcPr>
                  <w:tcW w:w="817" w:type="dxa"/>
                  <w:vAlign w:val="center"/>
                </w:tcPr>
                <w:p w14:paraId="1A3A6E75">
                  <w:pPr>
                    <w:jc w:val="center"/>
                    <w:rPr>
                      <w:rFonts w:hint="eastAsia" w:eastAsia="宋体"/>
                      <w:color w:val="auto"/>
                      <w:spacing w:val="-11"/>
                      <w:sz w:val="21"/>
                      <w:szCs w:val="21"/>
                      <w:highlight w:val="none"/>
                      <w:lang w:eastAsia="zh-CN"/>
                    </w:rPr>
                  </w:pPr>
                  <w:r>
                    <w:rPr>
                      <w:rFonts w:hint="eastAsia"/>
                      <w:color w:val="auto"/>
                      <w:sz w:val="21"/>
                      <w:szCs w:val="21"/>
                      <w:highlight w:val="none"/>
                      <w:lang w:val="en-US" w:eastAsia="zh-CN"/>
                    </w:rPr>
                    <w:t>*****</w:t>
                  </w:r>
                </w:p>
              </w:tc>
            </w:tr>
            <w:tr w14:paraId="62B69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Merge w:val="continue"/>
                  <w:vAlign w:val="center"/>
                </w:tcPr>
                <w:p w14:paraId="41731FEC">
                  <w:pPr>
                    <w:jc w:val="center"/>
                    <w:rPr>
                      <w:color w:val="auto"/>
                      <w:spacing w:val="-11"/>
                      <w:szCs w:val="21"/>
                      <w:highlight w:val="none"/>
                    </w:rPr>
                  </w:pPr>
                </w:p>
              </w:tc>
              <w:tc>
                <w:tcPr>
                  <w:tcW w:w="685" w:type="dxa"/>
                  <w:vMerge w:val="continue"/>
                  <w:vAlign w:val="center"/>
                </w:tcPr>
                <w:p w14:paraId="789C7254">
                  <w:pPr>
                    <w:jc w:val="center"/>
                    <w:rPr>
                      <w:color w:val="auto"/>
                      <w:spacing w:val="-11"/>
                      <w:szCs w:val="21"/>
                      <w:highlight w:val="none"/>
                    </w:rPr>
                  </w:pPr>
                </w:p>
              </w:tc>
              <w:tc>
                <w:tcPr>
                  <w:tcW w:w="914" w:type="dxa"/>
                  <w:vMerge w:val="continue"/>
                  <w:vAlign w:val="center"/>
                </w:tcPr>
                <w:p w14:paraId="24DAF94D">
                  <w:pPr>
                    <w:jc w:val="center"/>
                    <w:rPr>
                      <w:color w:val="auto"/>
                      <w:spacing w:val="-11"/>
                      <w:szCs w:val="21"/>
                      <w:highlight w:val="none"/>
                    </w:rPr>
                  </w:pPr>
                </w:p>
              </w:tc>
              <w:tc>
                <w:tcPr>
                  <w:tcW w:w="2750" w:type="dxa"/>
                  <w:vAlign w:val="center"/>
                </w:tcPr>
                <w:p w14:paraId="7F9AD151">
                  <w:pPr>
                    <w:jc w:val="center"/>
                    <w:rPr>
                      <w:rFonts w:hint="eastAsia" w:ascii="Times New Roman" w:hAnsi="Times New Roman" w:eastAsia="宋体" w:cs="Times New Roman"/>
                      <w:color w:val="auto"/>
                      <w:spacing w:val="0"/>
                      <w:w w:val="100"/>
                      <w:position w:val="0"/>
                      <w:szCs w:val="21"/>
                      <w:highlight w:val="none"/>
                      <w:lang w:eastAsia="zh-CN"/>
                    </w:rPr>
                  </w:pPr>
                  <w:r>
                    <w:rPr>
                      <w:rFonts w:hint="default" w:ascii="Times New Roman" w:hAnsi="Times New Roman" w:eastAsia="宋体" w:cs="Times New Roman"/>
                      <w:color w:val="auto"/>
                      <w:spacing w:val="0"/>
                      <w:w w:val="100"/>
                      <w:position w:val="0"/>
                      <w:szCs w:val="21"/>
                      <w:highlight w:val="none"/>
                    </w:rPr>
                    <w:t>噪声：</w:t>
                  </w:r>
                  <w:r>
                    <w:rPr>
                      <w:rFonts w:hint="eastAsia" w:ascii="Times New Roman" w:hAnsi="Times New Roman" w:eastAsia="宋体" w:cs="Times New Roman"/>
                      <w:color w:val="auto"/>
                      <w:spacing w:val="0"/>
                      <w:w w:val="100"/>
                      <w:position w:val="0"/>
                      <w:szCs w:val="21"/>
                      <w:highlight w:val="none"/>
                    </w:rPr>
                    <w:t>变电站等设置</w:t>
                  </w:r>
                  <w:r>
                    <w:rPr>
                      <w:rFonts w:hint="eastAsia" w:ascii="Times New Roman" w:hAnsi="Times New Roman" w:eastAsia="宋体" w:cs="Times New Roman"/>
                      <w:color w:val="auto"/>
                      <w:spacing w:val="0"/>
                      <w:w w:val="100"/>
                      <w:position w:val="0"/>
                      <w:szCs w:val="21"/>
                      <w:highlight w:val="none"/>
                      <w:lang w:val="en-US" w:eastAsia="zh-CN"/>
                    </w:rPr>
                    <w:t>施工</w:t>
                  </w:r>
                  <w:r>
                    <w:rPr>
                      <w:rFonts w:hint="default" w:ascii="Times New Roman" w:hAnsi="Times New Roman" w:eastAsia="宋体" w:cs="Times New Roman"/>
                      <w:color w:val="auto"/>
                      <w:spacing w:val="0"/>
                      <w:w w:val="100"/>
                      <w:position w:val="0"/>
                      <w:szCs w:val="21"/>
                      <w:highlight w:val="none"/>
                    </w:rPr>
                    <w:t>围挡</w:t>
                  </w:r>
                  <w:r>
                    <w:rPr>
                      <w:rFonts w:hint="eastAsia" w:ascii="Times New Roman" w:hAnsi="Times New Roman" w:eastAsia="宋体" w:cs="Times New Roman"/>
                      <w:color w:val="auto"/>
                      <w:spacing w:val="0"/>
                      <w:w w:val="100"/>
                      <w:position w:val="0"/>
                      <w:szCs w:val="21"/>
                      <w:highlight w:val="none"/>
                      <w:lang w:eastAsia="zh-CN"/>
                    </w:rPr>
                    <w:t>，</w:t>
                  </w:r>
                  <w:r>
                    <w:rPr>
                      <w:rFonts w:hint="default" w:ascii="Times New Roman" w:hAnsi="Times New Roman" w:eastAsia="宋体" w:cs="Times New Roman"/>
                      <w:color w:val="auto"/>
                      <w:spacing w:val="0"/>
                      <w:w w:val="100"/>
                      <w:position w:val="0"/>
                      <w:szCs w:val="21"/>
                      <w:highlight w:val="none"/>
                    </w:rPr>
                    <w:t>选用低噪声设备，加强施工设备保养等措施</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continue"/>
                  <w:vAlign w:val="center"/>
                </w:tcPr>
                <w:p w14:paraId="715D022A">
                  <w:pPr>
                    <w:jc w:val="center"/>
                    <w:rPr>
                      <w:color w:val="auto"/>
                      <w:spacing w:val="-11"/>
                      <w:szCs w:val="21"/>
                      <w:highlight w:val="none"/>
                    </w:rPr>
                  </w:pPr>
                </w:p>
              </w:tc>
              <w:tc>
                <w:tcPr>
                  <w:tcW w:w="2030" w:type="dxa"/>
                  <w:vMerge w:val="continue"/>
                  <w:vAlign w:val="center"/>
                </w:tcPr>
                <w:p w14:paraId="1828FB46">
                  <w:pPr>
                    <w:jc w:val="center"/>
                    <w:rPr>
                      <w:color w:val="auto"/>
                      <w:spacing w:val="-11"/>
                      <w:szCs w:val="21"/>
                      <w:highlight w:val="none"/>
                    </w:rPr>
                  </w:pPr>
                </w:p>
              </w:tc>
              <w:tc>
                <w:tcPr>
                  <w:tcW w:w="817" w:type="dxa"/>
                  <w:vAlign w:val="center"/>
                </w:tcPr>
                <w:p w14:paraId="773C6333">
                  <w:pPr>
                    <w:jc w:val="center"/>
                    <w:rPr>
                      <w:color w:val="auto"/>
                      <w:spacing w:val="-11"/>
                      <w:sz w:val="21"/>
                      <w:szCs w:val="21"/>
                      <w:highlight w:val="none"/>
                    </w:rPr>
                  </w:pPr>
                  <w:r>
                    <w:rPr>
                      <w:rFonts w:hint="eastAsia"/>
                      <w:color w:val="auto"/>
                      <w:sz w:val="21"/>
                      <w:szCs w:val="21"/>
                      <w:highlight w:val="none"/>
                      <w:lang w:val="en-US" w:eastAsia="zh-CN"/>
                    </w:rPr>
                    <w:t>*****</w:t>
                  </w:r>
                </w:p>
              </w:tc>
            </w:tr>
            <w:tr w14:paraId="34696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Merge w:val="continue"/>
                  <w:vAlign w:val="center"/>
                </w:tcPr>
                <w:p w14:paraId="113C555F">
                  <w:pPr>
                    <w:jc w:val="center"/>
                    <w:rPr>
                      <w:color w:val="auto"/>
                      <w:spacing w:val="-11"/>
                      <w:szCs w:val="21"/>
                      <w:highlight w:val="none"/>
                    </w:rPr>
                  </w:pPr>
                </w:p>
              </w:tc>
              <w:tc>
                <w:tcPr>
                  <w:tcW w:w="685" w:type="dxa"/>
                  <w:vMerge w:val="continue"/>
                  <w:vAlign w:val="center"/>
                </w:tcPr>
                <w:p w14:paraId="52A3E3CB">
                  <w:pPr>
                    <w:jc w:val="center"/>
                    <w:rPr>
                      <w:color w:val="auto"/>
                      <w:spacing w:val="-11"/>
                      <w:szCs w:val="21"/>
                      <w:highlight w:val="none"/>
                    </w:rPr>
                  </w:pPr>
                </w:p>
              </w:tc>
              <w:tc>
                <w:tcPr>
                  <w:tcW w:w="914" w:type="dxa"/>
                  <w:vMerge w:val="continue"/>
                  <w:vAlign w:val="center"/>
                </w:tcPr>
                <w:p w14:paraId="7466CB1E">
                  <w:pPr>
                    <w:jc w:val="center"/>
                    <w:rPr>
                      <w:color w:val="auto"/>
                      <w:spacing w:val="-11"/>
                      <w:szCs w:val="21"/>
                      <w:highlight w:val="none"/>
                    </w:rPr>
                  </w:pPr>
                </w:p>
              </w:tc>
              <w:tc>
                <w:tcPr>
                  <w:tcW w:w="2750" w:type="dxa"/>
                  <w:vAlign w:val="center"/>
                </w:tcPr>
                <w:p w14:paraId="268B3F14">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固废：</w:t>
                  </w:r>
                  <w:r>
                    <w:rPr>
                      <w:rFonts w:hint="eastAsia" w:cs="Times New Roman"/>
                      <w:color w:val="auto"/>
                      <w:spacing w:val="0"/>
                      <w:w w:val="100"/>
                      <w:position w:val="0"/>
                      <w:szCs w:val="21"/>
                      <w:highlight w:val="none"/>
                      <w:lang w:val="en-US" w:eastAsia="zh-CN"/>
                    </w:rPr>
                    <w:t>施工营地</w:t>
                  </w:r>
                  <w:r>
                    <w:rPr>
                      <w:rFonts w:hint="default" w:ascii="Times New Roman" w:hAnsi="Times New Roman" w:cs="Times New Roman"/>
                      <w:color w:val="auto"/>
                      <w:szCs w:val="21"/>
                      <w:highlight w:val="none"/>
                    </w:rPr>
                    <w:t>施工人员产生的生活垃圾</w:t>
                  </w:r>
                  <w:r>
                    <w:rPr>
                      <w:rFonts w:hint="eastAsia" w:ascii="Times New Roman" w:hAnsi="Times New Roman" w:cs="Times New Roman"/>
                      <w:color w:val="auto"/>
                      <w:szCs w:val="21"/>
                      <w:highlight w:val="none"/>
                      <w:lang w:val="en-US" w:eastAsia="zh-CN"/>
                    </w:rPr>
                    <w:t>分类</w:t>
                  </w:r>
                  <w:r>
                    <w:rPr>
                      <w:rFonts w:hint="default" w:ascii="Times New Roman" w:hAnsi="Times New Roman" w:cs="Times New Roman"/>
                      <w:color w:val="auto"/>
                      <w:szCs w:val="21"/>
                      <w:highlight w:val="none"/>
                    </w:rPr>
                    <w:t>集中</w:t>
                  </w:r>
                  <w:r>
                    <w:rPr>
                      <w:rFonts w:hint="eastAsia" w:ascii="Times New Roman" w:hAnsi="Times New Roman" w:cs="Times New Roman"/>
                      <w:color w:val="auto"/>
                      <w:szCs w:val="21"/>
                      <w:highlight w:val="none"/>
                      <w:lang w:val="en-US" w:eastAsia="zh-CN"/>
                    </w:rPr>
                    <w:t>收集</w:t>
                  </w:r>
                  <w:r>
                    <w:rPr>
                      <w:rFonts w:hint="default" w:ascii="Times New Roman" w:hAnsi="Times New Roman" w:cs="Times New Roman"/>
                      <w:color w:val="auto"/>
                      <w:szCs w:val="21"/>
                      <w:highlight w:val="none"/>
                    </w:rPr>
                    <w:t>，定期运至附近垃圾收集点</w:t>
                  </w:r>
                  <w:r>
                    <w:rPr>
                      <w:rFonts w:hint="default" w:ascii="Times New Roman" w:hAnsi="Times New Roman" w:eastAsia="宋体" w:cs="Times New Roman"/>
                      <w:color w:val="auto"/>
                      <w:spacing w:val="0"/>
                      <w:w w:val="100"/>
                      <w:position w:val="0"/>
                      <w:highlight w:val="none"/>
                      <w:lang w:eastAsia="zh-CN"/>
                    </w:rPr>
                    <w:t>；</w:t>
                  </w:r>
                  <w:r>
                    <w:rPr>
                      <w:rFonts w:hint="default" w:ascii="Times New Roman" w:hAnsi="Times New Roman" w:cs="Times New Roman"/>
                      <w:color w:val="auto"/>
                      <w:highlight w:val="none"/>
                      <w:lang w:val="en-US" w:eastAsia="zh-CN"/>
                    </w:rPr>
                    <w:t>拆除的</w:t>
                  </w:r>
                  <w:r>
                    <w:rPr>
                      <w:rFonts w:hint="eastAsia" w:cs="Times New Roman"/>
                      <w:color w:val="auto"/>
                      <w:highlight w:val="none"/>
                      <w:lang w:val="en-US" w:eastAsia="zh-CN"/>
                    </w:rPr>
                    <w:t>施工电源线路</w:t>
                  </w:r>
                  <w:r>
                    <w:rPr>
                      <w:rFonts w:hint="default" w:ascii="Times New Roman" w:hAnsi="Times New Roman" w:cs="Times New Roman"/>
                      <w:color w:val="auto"/>
                      <w:highlight w:val="none"/>
                      <w:lang w:val="en-US" w:eastAsia="zh-CN"/>
                    </w:rPr>
                    <w:t>导线、</w:t>
                  </w:r>
                  <w:r>
                    <w:rPr>
                      <w:rFonts w:hint="eastAsia" w:cs="Times New Roman"/>
                      <w:color w:val="auto"/>
                      <w:highlight w:val="none"/>
                      <w:lang w:val="en-US" w:eastAsia="zh-CN"/>
                    </w:rPr>
                    <w:t>水泥杆等</w:t>
                  </w:r>
                  <w:r>
                    <w:rPr>
                      <w:rFonts w:hint="default" w:ascii="Times New Roman" w:hAnsi="Times New Roman" w:cs="Times New Roman"/>
                      <w:color w:val="auto"/>
                      <w:highlight w:val="none"/>
                      <w:lang w:val="en-US" w:eastAsia="zh-CN"/>
                    </w:rPr>
                    <w:t>能回收利用的利用；</w:t>
                  </w:r>
                  <w:r>
                    <w:rPr>
                      <w:rFonts w:hint="default" w:ascii="Times New Roman" w:hAnsi="Times New Roman" w:eastAsia="宋体" w:cs="Times New Roman"/>
                      <w:color w:val="auto"/>
                      <w:spacing w:val="0"/>
                      <w:w w:val="100"/>
                      <w:position w:val="0"/>
                      <w:highlight w:val="none"/>
                      <w:lang w:val="en-US" w:eastAsia="zh-CN"/>
                    </w:rPr>
                    <w:t>拆除的塔基</w:t>
                  </w:r>
                  <w:r>
                    <w:rPr>
                      <w:rFonts w:hint="eastAsia" w:ascii="Times New Roman" w:hAnsi="Times New Roman" w:eastAsia="宋体" w:cs="Times New Roman"/>
                      <w:color w:val="auto"/>
                      <w:spacing w:val="0"/>
                      <w:w w:val="100"/>
                      <w:position w:val="0"/>
                      <w:highlight w:val="none"/>
                      <w:lang w:val="en-US" w:eastAsia="zh-CN"/>
                    </w:rPr>
                    <w:t>基础</w:t>
                  </w:r>
                  <w:r>
                    <w:rPr>
                      <w:rFonts w:hint="default" w:ascii="Times New Roman" w:hAnsi="Times New Roman" w:eastAsia="宋体" w:cs="Times New Roman"/>
                      <w:color w:val="auto"/>
                      <w:spacing w:val="0"/>
                      <w:w w:val="100"/>
                      <w:position w:val="0"/>
                      <w:highlight w:val="none"/>
                      <w:lang w:val="en-US" w:eastAsia="zh-CN"/>
                    </w:rPr>
                    <w:t>、</w:t>
                  </w:r>
                  <w:r>
                    <w:rPr>
                      <w:rFonts w:hint="eastAsia" w:cs="Times New Roman"/>
                      <w:color w:val="auto"/>
                      <w:spacing w:val="0"/>
                      <w:w w:val="100"/>
                      <w:position w:val="0"/>
                      <w:highlight w:val="none"/>
                      <w:lang w:val="en-US" w:eastAsia="zh-CN"/>
                    </w:rPr>
                    <w:t>废包装材料</w:t>
                  </w:r>
                  <w:r>
                    <w:rPr>
                      <w:rFonts w:hint="default" w:ascii="Times New Roman" w:hAnsi="Times New Roman" w:eastAsia="宋体" w:cs="Times New Roman"/>
                      <w:color w:val="auto"/>
                      <w:spacing w:val="0"/>
                      <w:w w:val="100"/>
                      <w:position w:val="0"/>
                      <w:szCs w:val="21"/>
                      <w:highlight w:val="none"/>
                      <w:lang w:val="en-US" w:eastAsia="zh-CN"/>
                    </w:rPr>
                    <w:t>等建筑垃圾，施工单位应采取污染防治措施，运往政府部门指定的地点处置。</w:t>
                  </w:r>
                </w:p>
              </w:tc>
              <w:tc>
                <w:tcPr>
                  <w:tcW w:w="613" w:type="dxa"/>
                  <w:vMerge w:val="continue"/>
                  <w:vAlign w:val="center"/>
                </w:tcPr>
                <w:p w14:paraId="46FF9B70">
                  <w:pPr>
                    <w:jc w:val="center"/>
                    <w:rPr>
                      <w:color w:val="auto"/>
                      <w:spacing w:val="-11"/>
                      <w:szCs w:val="21"/>
                      <w:highlight w:val="none"/>
                    </w:rPr>
                  </w:pPr>
                </w:p>
              </w:tc>
              <w:tc>
                <w:tcPr>
                  <w:tcW w:w="2030" w:type="dxa"/>
                  <w:vMerge w:val="continue"/>
                  <w:vAlign w:val="center"/>
                </w:tcPr>
                <w:p w14:paraId="56FAE1DE">
                  <w:pPr>
                    <w:jc w:val="center"/>
                    <w:rPr>
                      <w:color w:val="auto"/>
                      <w:spacing w:val="-11"/>
                      <w:szCs w:val="21"/>
                      <w:highlight w:val="none"/>
                    </w:rPr>
                  </w:pPr>
                </w:p>
              </w:tc>
              <w:tc>
                <w:tcPr>
                  <w:tcW w:w="817" w:type="dxa"/>
                  <w:vAlign w:val="center"/>
                </w:tcPr>
                <w:p w14:paraId="71B7D4BE">
                  <w:pPr>
                    <w:jc w:val="center"/>
                    <w:rPr>
                      <w:color w:val="auto"/>
                      <w:spacing w:val="-11"/>
                      <w:sz w:val="21"/>
                      <w:szCs w:val="21"/>
                      <w:highlight w:val="none"/>
                    </w:rPr>
                  </w:pPr>
                  <w:r>
                    <w:rPr>
                      <w:rFonts w:hint="eastAsia"/>
                      <w:color w:val="auto"/>
                      <w:sz w:val="21"/>
                      <w:szCs w:val="21"/>
                      <w:highlight w:val="none"/>
                      <w:lang w:val="en-US" w:eastAsia="zh-CN"/>
                    </w:rPr>
                    <w:t>*****</w:t>
                  </w:r>
                </w:p>
              </w:tc>
            </w:tr>
            <w:tr w14:paraId="6380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Merge w:val="continue"/>
                  <w:vAlign w:val="center"/>
                </w:tcPr>
                <w:p w14:paraId="4ABCF0DC">
                  <w:pPr>
                    <w:jc w:val="center"/>
                    <w:rPr>
                      <w:color w:val="auto"/>
                      <w:spacing w:val="-11"/>
                      <w:szCs w:val="21"/>
                      <w:highlight w:val="none"/>
                    </w:rPr>
                  </w:pPr>
                </w:p>
              </w:tc>
              <w:tc>
                <w:tcPr>
                  <w:tcW w:w="685" w:type="dxa"/>
                  <w:vMerge w:val="continue"/>
                  <w:vAlign w:val="center"/>
                </w:tcPr>
                <w:p w14:paraId="4D70FACB">
                  <w:pPr>
                    <w:jc w:val="center"/>
                    <w:rPr>
                      <w:color w:val="auto"/>
                      <w:spacing w:val="-11"/>
                      <w:szCs w:val="21"/>
                      <w:highlight w:val="none"/>
                    </w:rPr>
                  </w:pPr>
                </w:p>
              </w:tc>
              <w:tc>
                <w:tcPr>
                  <w:tcW w:w="914" w:type="dxa"/>
                  <w:vMerge w:val="continue"/>
                  <w:vAlign w:val="center"/>
                </w:tcPr>
                <w:p w14:paraId="0252138B">
                  <w:pPr>
                    <w:jc w:val="center"/>
                    <w:rPr>
                      <w:color w:val="auto"/>
                      <w:spacing w:val="-11"/>
                      <w:szCs w:val="21"/>
                      <w:highlight w:val="none"/>
                    </w:rPr>
                  </w:pPr>
                </w:p>
              </w:tc>
              <w:tc>
                <w:tcPr>
                  <w:tcW w:w="2750" w:type="dxa"/>
                  <w:vAlign w:val="center"/>
                </w:tcPr>
                <w:p w14:paraId="21C46E26">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生态保护：</w:t>
                  </w:r>
                  <w:r>
                    <w:rPr>
                      <w:rFonts w:hint="eastAsia" w:ascii="Times New Roman" w:hAnsi="Times New Roman" w:eastAsia="宋体" w:cs="Times New Roman"/>
                      <w:color w:val="auto"/>
                      <w:spacing w:val="0"/>
                      <w:w w:val="100"/>
                      <w:position w:val="0"/>
                      <w:szCs w:val="21"/>
                      <w:highlight w:val="none"/>
                      <w:lang w:val="en-US" w:eastAsia="zh-CN"/>
                    </w:rPr>
                    <w:t>设置施工围栏，</w:t>
                  </w:r>
                  <w:r>
                    <w:rPr>
                      <w:rFonts w:hint="default" w:ascii="Times New Roman" w:hAnsi="Times New Roman" w:eastAsia="宋体" w:cs="Times New Roman"/>
                      <w:color w:val="auto"/>
                      <w:spacing w:val="0"/>
                      <w:w w:val="100"/>
                      <w:kern w:val="0"/>
                      <w:position w:val="0"/>
                      <w:szCs w:val="21"/>
                      <w:highlight w:val="none"/>
                    </w:rPr>
                    <w:t>表土剥离</w:t>
                  </w:r>
                  <w:r>
                    <w:rPr>
                      <w:rFonts w:hint="default" w:ascii="Times New Roman" w:hAnsi="Times New Roman" w:eastAsia="宋体" w:cs="Times New Roman"/>
                      <w:color w:val="auto"/>
                      <w:spacing w:val="0"/>
                      <w:w w:val="100"/>
                      <w:kern w:val="0"/>
                      <w:position w:val="0"/>
                      <w:szCs w:val="21"/>
                      <w:highlight w:val="none"/>
                      <w:lang w:eastAsia="zh-CN"/>
                    </w:rPr>
                    <w:t>、</w:t>
                  </w:r>
                  <w:r>
                    <w:rPr>
                      <w:rFonts w:hint="default" w:ascii="Times New Roman" w:hAnsi="Times New Roman" w:eastAsia="宋体" w:cs="Times New Roman"/>
                      <w:color w:val="auto"/>
                      <w:spacing w:val="0"/>
                      <w:w w:val="100"/>
                      <w:kern w:val="0"/>
                      <w:position w:val="0"/>
                      <w:szCs w:val="21"/>
                      <w:highlight w:val="none"/>
                      <w:lang w:val="en-US" w:eastAsia="zh-CN"/>
                    </w:rPr>
                    <w:t>苫盖</w:t>
                  </w:r>
                  <w:r>
                    <w:rPr>
                      <w:rFonts w:hint="default" w:ascii="Times New Roman" w:hAnsi="Times New Roman" w:eastAsia="宋体" w:cs="Times New Roman"/>
                      <w:color w:val="auto"/>
                      <w:spacing w:val="0"/>
                      <w:w w:val="100"/>
                      <w:kern w:val="0"/>
                      <w:position w:val="0"/>
                      <w:szCs w:val="21"/>
                      <w:highlight w:val="none"/>
                    </w:rPr>
                    <w:t>、表土回填，</w:t>
                  </w:r>
                  <w:r>
                    <w:rPr>
                      <w:rFonts w:hint="eastAsia" w:ascii="Times New Roman" w:hAnsi="Times New Roman" w:cs="Times New Roman"/>
                      <w:color w:val="auto"/>
                      <w:spacing w:val="-11"/>
                      <w:kern w:val="0"/>
                      <w:szCs w:val="21"/>
                      <w:highlight w:val="none"/>
                      <w:lang w:val="en-US" w:eastAsia="zh-CN"/>
                    </w:rPr>
                    <w:t>旱地</w:t>
                  </w:r>
                  <w:r>
                    <w:rPr>
                      <w:rFonts w:hint="default" w:ascii="Times New Roman" w:hAnsi="Times New Roman" w:cs="Times New Roman"/>
                      <w:color w:val="auto"/>
                      <w:spacing w:val="-11"/>
                      <w:kern w:val="0"/>
                      <w:szCs w:val="21"/>
                      <w:highlight w:val="none"/>
                      <w:lang w:val="en-US" w:eastAsia="zh-CN"/>
                    </w:rPr>
                    <w:t>、</w:t>
                  </w:r>
                  <w:r>
                    <w:rPr>
                      <w:rFonts w:hint="eastAsia" w:ascii="Times New Roman" w:hAnsi="Times New Roman" w:cs="Times New Roman"/>
                      <w:color w:val="auto"/>
                      <w:spacing w:val="-11"/>
                      <w:kern w:val="0"/>
                      <w:szCs w:val="21"/>
                      <w:highlight w:val="none"/>
                      <w:lang w:val="en-US" w:eastAsia="zh-CN"/>
                    </w:rPr>
                    <w:t>乔木林地、灌木林地、</w:t>
                  </w:r>
                  <w:r>
                    <w:rPr>
                      <w:rFonts w:hint="default" w:ascii="Times New Roman" w:hAnsi="Times New Roman" w:cs="Times New Roman"/>
                      <w:color w:val="auto"/>
                      <w:spacing w:val="-11"/>
                      <w:kern w:val="0"/>
                      <w:szCs w:val="21"/>
                      <w:highlight w:val="none"/>
                      <w:lang w:val="en-US" w:eastAsia="zh-CN"/>
                    </w:rPr>
                    <w:t>其他林地补偿、</w:t>
                  </w:r>
                  <w:r>
                    <w:rPr>
                      <w:rFonts w:hint="eastAsia" w:cs="Times New Roman"/>
                      <w:color w:val="auto"/>
                      <w:spacing w:val="0"/>
                      <w:w w:val="100"/>
                      <w:kern w:val="0"/>
                      <w:position w:val="0"/>
                      <w:szCs w:val="21"/>
                      <w:highlight w:val="none"/>
                      <w:lang w:val="en-US" w:eastAsia="zh-CN"/>
                    </w:rPr>
                    <w:t>林</w:t>
                  </w:r>
                  <w:r>
                    <w:rPr>
                      <w:rFonts w:hint="default" w:ascii="Times New Roman" w:hAnsi="Times New Roman" w:eastAsia="宋体" w:cs="Times New Roman"/>
                      <w:color w:val="auto"/>
                      <w:spacing w:val="0"/>
                      <w:w w:val="100"/>
                      <w:kern w:val="0"/>
                      <w:position w:val="0"/>
                      <w:szCs w:val="21"/>
                      <w:highlight w:val="none"/>
                      <w:lang w:val="en-US" w:eastAsia="zh-CN"/>
                    </w:rPr>
                    <w:t>木补植</w:t>
                  </w:r>
                  <w:r>
                    <w:rPr>
                      <w:rFonts w:hint="eastAsia" w:ascii="Times New Roman" w:hAnsi="Times New Roman" w:eastAsia="宋体" w:cs="Times New Roman"/>
                      <w:color w:val="auto"/>
                      <w:spacing w:val="0"/>
                      <w:w w:val="100"/>
                      <w:kern w:val="0"/>
                      <w:position w:val="0"/>
                      <w:szCs w:val="21"/>
                      <w:highlight w:val="none"/>
                      <w:lang w:val="en-US" w:eastAsia="zh-CN"/>
                    </w:rPr>
                    <w:t>，</w:t>
                  </w:r>
                  <w:r>
                    <w:rPr>
                      <w:rFonts w:hint="eastAsia" w:cs="Times New Roman"/>
                      <w:color w:val="auto"/>
                      <w:spacing w:val="0"/>
                      <w:w w:val="100"/>
                      <w:kern w:val="0"/>
                      <w:position w:val="0"/>
                      <w:szCs w:val="21"/>
                      <w:highlight w:val="none"/>
                      <w:lang w:val="en-US" w:eastAsia="zh-CN"/>
                    </w:rPr>
                    <w:t>天然牧草地、</w:t>
                  </w:r>
                  <w:r>
                    <w:rPr>
                      <w:rFonts w:hint="eastAsia" w:ascii="Times New Roman" w:hAnsi="Times New Roman" w:eastAsia="宋体" w:cs="Times New Roman"/>
                      <w:color w:val="auto"/>
                      <w:spacing w:val="0"/>
                      <w:w w:val="100"/>
                      <w:kern w:val="0"/>
                      <w:position w:val="0"/>
                      <w:szCs w:val="21"/>
                      <w:highlight w:val="none"/>
                      <w:lang w:val="en-US" w:eastAsia="zh-CN"/>
                    </w:rPr>
                    <w:t>其他草地</w:t>
                  </w:r>
                  <w:r>
                    <w:rPr>
                      <w:rFonts w:hint="default" w:ascii="Times New Roman" w:hAnsi="Times New Roman" w:eastAsia="宋体" w:cs="Times New Roman"/>
                      <w:color w:val="auto"/>
                      <w:spacing w:val="0"/>
                      <w:w w:val="100"/>
                      <w:kern w:val="0"/>
                      <w:position w:val="0"/>
                      <w:szCs w:val="21"/>
                      <w:highlight w:val="none"/>
                      <w:lang w:val="en-US" w:eastAsia="zh-CN"/>
                    </w:rPr>
                    <w:t>播撒草籽</w:t>
                  </w:r>
                  <w:r>
                    <w:rPr>
                      <w:rFonts w:hint="eastAsia" w:cs="Times New Roman"/>
                      <w:color w:val="auto"/>
                      <w:spacing w:val="0"/>
                      <w:w w:val="100"/>
                      <w:kern w:val="0"/>
                      <w:position w:val="0"/>
                      <w:szCs w:val="21"/>
                      <w:highlight w:val="none"/>
                      <w:lang w:val="en-US" w:eastAsia="zh-CN"/>
                    </w:rPr>
                    <w:t>，生态监测</w:t>
                  </w:r>
                  <w:r>
                    <w:rPr>
                      <w:rFonts w:hint="default" w:ascii="Times New Roman" w:hAnsi="Times New Roman" w:eastAsia="宋体" w:cs="Times New Roman"/>
                      <w:color w:val="auto"/>
                      <w:spacing w:val="0"/>
                      <w:w w:val="100"/>
                      <w:kern w:val="0"/>
                      <w:position w:val="0"/>
                      <w:szCs w:val="21"/>
                      <w:highlight w:val="none"/>
                    </w:rPr>
                    <w:t>等</w:t>
                  </w:r>
                  <w:r>
                    <w:rPr>
                      <w:rFonts w:hint="default" w:ascii="Times New Roman" w:hAnsi="Times New Roman" w:eastAsia="宋体" w:cs="Times New Roman"/>
                      <w:color w:val="auto"/>
                      <w:spacing w:val="0"/>
                      <w:w w:val="100"/>
                      <w:kern w:val="0"/>
                      <w:position w:val="0"/>
                      <w:szCs w:val="21"/>
                      <w:highlight w:val="none"/>
                      <w:lang w:eastAsia="zh-CN"/>
                    </w:rPr>
                    <w:t>。</w:t>
                  </w:r>
                </w:p>
              </w:tc>
              <w:tc>
                <w:tcPr>
                  <w:tcW w:w="613" w:type="dxa"/>
                  <w:vMerge w:val="continue"/>
                  <w:vAlign w:val="center"/>
                </w:tcPr>
                <w:p w14:paraId="07C2798F">
                  <w:pPr>
                    <w:jc w:val="center"/>
                    <w:rPr>
                      <w:color w:val="auto"/>
                      <w:spacing w:val="-11"/>
                      <w:szCs w:val="21"/>
                      <w:highlight w:val="none"/>
                    </w:rPr>
                  </w:pPr>
                </w:p>
              </w:tc>
              <w:tc>
                <w:tcPr>
                  <w:tcW w:w="2030" w:type="dxa"/>
                  <w:vMerge w:val="continue"/>
                  <w:vAlign w:val="center"/>
                </w:tcPr>
                <w:p w14:paraId="4ABE0D95">
                  <w:pPr>
                    <w:jc w:val="center"/>
                    <w:rPr>
                      <w:color w:val="auto"/>
                      <w:spacing w:val="-11"/>
                      <w:szCs w:val="21"/>
                      <w:highlight w:val="none"/>
                    </w:rPr>
                  </w:pPr>
                </w:p>
              </w:tc>
              <w:tc>
                <w:tcPr>
                  <w:tcW w:w="817" w:type="dxa"/>
                  <w:vAlign w:val="center"/>
                </w:tcPr>
                <w:p w14:paraId="781BF487">
                  <w:pPr>
                    <w:jc w:val="center"/>
                    <w:rPr>
                      <w:rFonts w:hint="default" w:eastAsia="宋体"/>
                      <w:color w:val="auto"/>
                      <w:spacing w:val="-11"/>
                      <w:sz w:val="21"/>
                      <w:szCs w:val="21"/>
                      <w:highlight w:val="none"/>
                      <w:lang w:val="en-US" w:eastAsia="zh-CN"/>
                    </w:rPr>
                  </w:pPr>
                  <w:r>
                    <w:rPr>
                      <w:rFonts w:hint="eastAsia"/>
                      <w:color w:val="auto"/>
                      <w:sz w:val="21"/>
                      <w:szCs w:val="21"/>
                      <w:highlight w:val="none"/>
                      <w:lang w:val="en-US" w:eastAsia="zh-CN"/>
                    </w:rPr>
                    <w:t>*****</w:t>
                  </w:r>
                </w:p>
              </w:tc>
            </w:tr>
            <w:tr w14:paraId="69009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5" w:type="dxa"/>
                  <w:vMerge w:val="continue"/>
                  <w:vAlign w:val="center"/>
                </w:tcPr>
                <w:p w14:paraId="6012DBE0">
                  <w:pPr>
                    <w:jc w:val="center"/>
                    <w:rPr>
                      <w:color w:val="auto"/>
                      <w:spacing w:val="-11"/>
                      <w:szCs w:val="21"/>
                      <w:highlight w:val="none"/>
                    </w:rPr>
                  </w:pPr>
                </w:p>
              </w:tc>
              <w:tc>
                <w:tcPr>
                  <w:tcW w:w="685" w:type="dxa"/>
                  <w:vMerge w:val="continue"/>
                  <w:vAlign w:val="center"/>
                </w:tcPr>
                <w:p w14:paraId="4E8A1304">
                  <w:pPr>
                    <w:jc w:val="center"/>
                    <w:rPr>
                      <w:color w:val="auto"/>
                      <w:spacing w:val="-11"/>
                      <w:szCs w:val="21"/>
                      <w:highlight w:val="none"/>
                    </w:rPr>
                  </w:pPr>
                </w:p>
              </w:tc>
              <w:tc>
                <w:tcPr>
                  <w:tcW w:w="914" w:type="dxa"/>
                  <w:vMerge w:val="continue"/>
                  <w:vAlign w:val="center"/>
                </w:tcPr>
                <w:p w14:paraId="220856D9">
                  <w:pPr>
                    <w:jc w:val="center"/>
                    <w:rPr>
                      <w:color w:val="auto"/>
                      <w:spacing w:val="-11"/>
                      <w:szCs w:val="21"/>
                      <w:highlight w:val="none"/>
                    </w:rPr>
                  </w:pPr>
                </w:p>
              </w:tc>
              <w:tc>
                <w:tcPr>
                  <w:tcW w:w="2750" w:type="dxa"/>
                  <w:vAlign w:val="center"/>
                </w:tcPr>
                <w:p w14:paraId="34F886DE">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其他：警示标志、竣工环保验收</w:t>
                  </w:r>
                </w:p>
              </w:tc>
              <w:tc>
                <w:tcPr>
                  <w:tcW w:w="613" w:type="dxa"/>
                  <w:vMerge w:val="continue"/>
                  <w:vAlign w:val="center"/>
                </w:tcPr>
                <w:p w14:paraId="3D5AC9CA">
                  <w:pPr>
                    <w:jc w:val="center"/>
                    <w:rPr>
                      <w:color w:val="auto"/>
                      <w:spacing w:val="-11"/>
                      <w:szCs w:val="21"/>
                      <w:highlight w:val="none"/>
                    </w:rPr>
                  </w:pPr>
                </w:p>
              </w:tc>
              <w:tc>
                <w:tcPr>
                  <w:tcW w:w="2030" w:type="dxa"/>
                  <w:vMerge w:val="continue"/>
                  <w:vAlign w:val="center"/>
                </w:tcPr>
                <w:p w14:paraId="5EFC2DBC">
                  <w:pPr>
                    <w:jc w:val="center"/>
                    <w:rPr>
                      <w:color w:val="auto"/>
                      <w:spacing w:val="-11"/>
                      <w:szCs w:val="21"/>
                      <w:highlight w:val="none"/>
                    </w:rPr>
                  </w:pPr>
                </w:p>
              </w:tc>
              <w:tc>
                <w:tcPr>
                  <w:tcW w:w="817" w:type="dxa"/>
                  <w:vAlign w:val="center"/>
                </w:tcPr>
                <w:p w14:paraId="0B737FF5">
                  <w:pPr>
                    <w:jc w:val="center"/>
                    <w:rPr>
                      <w:rFonts w:hint="default" w:eastAsia="宋体"/>
                      <w:color w:val="auto"/>
                      <w:spacing w:val="-11"/>
                      <w:sz w:val="21"/>
                      <w:szCs w:val="21"/>
                      <w:highlight w:val="none"/>
                      <w:lang w:val="en-US" w:eastAsia="zh-CN"/>
                    </w:rPr>
                  </w:pPr>
                  <w:r>
                    <w:rPr>
                      <w:rFonts w:hint="eastAsia"/>
                      <w:color w:val="auto"/>
                      <w:sz w:val="21"/>
                      <w:szCs w:val="21"/>
                      <w:highlight w:val="none"/>
                      <w:lang w:val="en-US" w:eastAsia="zh-CN"/>
                    </w:rPr>
                    <w:t>*****</w:t>
                  </w:r>
                </w:p>
              </w:tc>
            </w:tr>
            <w:tr w14:paraId="0F748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dxa"/>
                  <w:vMerge w:val="restart"/>
                  <w:vAlign w:val="center"/>
                </w:tcPr>
                <w:p w14:paraId="573D4277">
                  <w:pPr>
                    <w:jc w:val="center"/>
                    <w:rPr>
                      <w:color w:val="auto"/>
                      <w:spacing w:val="-11"/>
                      <w:szCs w:val="21"/>
                      <w:highlight w:val="none"/>
                    </w:rPr>
                  </w:pPr>
                  <w:r>
                    <w:rPr>
                      <w:color w:val="auto"/>
                      <w:spacing w:val="-11"/>
                      <w:szCs w:val="21"/>
                      <w:highlight w:val="none"/>
                    </w:rPr>
                    <w:t>3</w:t>
                  </w:r>
                </w:p>
              </w:tc>
              <w:tc>
                <w:tcPr>
                  <w:tcW w:w="685" w:type="dxa"/>
                  <w:vMerge w:val="restart"/>
                  <w:vAlign w:val="center"/>
                </w:tcPr>
                <w:p w14:paraId="642BA818">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运行期</w:t>
                  </w:r>
                </w:p>
              </w:tc>
              <w:tc>
                <w:tcPr>
                  <w:tcW w:w="914" w:type="dxa"/>
                  <w:vMerge w:val="restart"/>
                  <w:vAlign w:val="center"/>
                </w:tcPr>
                <w:p w14:paraId="0FEF4F87">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化粪池；事故油池、排油管、事故油坑及卵石；</w:t>
                  </w:r>
                  <w:r>
                    <w:rPr>
                      <w:rFonts w:hint="eastAsia" w:ascii="Times New Roman" w:hAnsi="Times New Roman" w:eastAsia="宋体" w:cs="Times New Roman"/>
                      <w:color w:val="auto"/>
                      <w:spacing w:val="0"/>
                      <w:w w:val="100"/>
                      <w:position w:val="0"/>
                      <w:szCs w:val="21"/>
                      <w:highlight w:val="none"/>
                      <w:lang w:val="en-US" w:eastAsia="zh-CN"/>
                    </w:rPr>
                    <w:t>垃圾桶</w:t>
                  </w:r>
                </w:p>
              </w:tc>
              <w:tc>
                <w:tcPr>
                  <w:tcW w:w="2750" w:type="dxa"/>
                  <w:vAlign w:val="center"/>
                </w:tcPr>
                <w:p w14:paraId="6ACAA57D">
                  <w:pPr>
                    <w:jc w:val="center"/>
                    <w:rPr>
                      <w:rFonts w:hint="eastAsia" w:ascii="Times New Roman" w:hAnsi="Times New Roman" w:eastAsia="宋体" w:cs="Times New Roman"/>
                      <w:color w:val="auto"/>
                      <w:spacing w:val="0"/>
                      <w:w w:val="100"/>
                      <w:position w:val="0"/>
                      <w:szCs w:val="21"/>
                      <w:highlight w:val="none"/>
                      <w:lang w:eastAsia="zh-CN"/>
                    </w:rPr>
                  </w:pPr>
                  <w:r>
                    <w:rPr>
                      <w:rFonts w:hint="default" w:ascii="Times New Roman" w:hAnsi="Times New Roman" w:eastAsia="宋体" w:cs="Times New Roman"/>
                      <w:color w:val="auto"/>
                      <w:spacing w:val="0"/>
                      <w:w w:val="100"/>
                      <w:position w:val="0"/>
                      <w:szCs w:val="21"/>
                      <w:highlight w:val="none"/>
                    </w:rPr>
                    <w:t>环境管理：①设置环境管理部门，制定环境监测计划、环境保护制度并实施；②检查环境保护设施运行情况，保证环保设施正常运行</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restart"/>
                  <w:vAlign w:val="center"/>
                </w:tcPr>
                <w:p w14:paraId="7B3B9621">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运</w:t>
                  </w:r>
                  <w:r>
                    <w:rPr>
                      <w:rFonts w:hint="eastAsia" w:ascii="Times New Roman" w:hAnsi="Times New Roman" w:eastAsia="宋体" w:cs="Times New Roman"/>
                      <w:color w:val="auto"/>
                      <w:spacing w:val="0"/>
                      <w:w w:val="100"/>
                      <w:position w:val="0"/>
                      <w:szCs w:val="21"/>
                      <w:highlight w:val="none"/>
                      <w:lang w:val="en-US" w:eastAsia="zh-CN"/>
                    </w:rPr>
                    <w:t>行</w:t>
                  </w:r>
                  <w:r>
                    <w:rPr>
                      <w:rFonts w:hint="default" w:ascii="Times New Roman" w:hAnsi="Times New Roman" w:eastAsia="宋体" w:cs="Times New Roman"/>
                      <w:color w:val="auto"/>
                      <w:spacing w:val="0"/>
                      <w:w w:val="100"/>
                      <w:position w:val="0"/>
                      <w:szCs w:val="21"/>
                      <w:highlight w:val="none"/>
                    </w:rPr>
                    <w:t>单位</w:t>
                  </w:r>
                </w:p>
              </w:tc>
              <w:tc>
                <w:tcPr>
                  <w:tcW w:w="2030" w:type="dxa"/>
                  <w:vAlign w:val="center"/>
                </w:tcPr>
                <w:p w14:paraId="37FB7B95">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运</w:t>
                  </w:r>
                  <w:r>
                    <w:rPr>
                      <w:rFonts w:hint="eastAsia" w:ascii="Times New Roman" w:hAnsi="Times New Roman" w:eastAsia="宋体" w:cs="Times New Roman"/>
                      <w:color w:val="auto"/>
                      <w:spacing w:val="0"/>
                      <w:w w:val="100"/>
                      <w:position w:val="0"/>
                      <w:szCs w:val="21"/>
                      <w:highlight w:val="none"/>
                      <w:lang w:val="en-US" w:eastAsia="zh-CN"/>
                    </w:rPr>
                    <w:t>行</w:t>
                  </w:r>
                  <w:r>
                    <w:rPr>
                      <w:rFonts w:hint="default" w:ascii="Times New Roman" w:hAnsi="Times New Roman" w:eastAsia="宋体" w:cs="Times New Roman"/>
                      <w:color w:val="auto"/>
                      <w:spacing w:val="0"/>
                      <w:w w:val="100"/>
                      <w:position w:val="0"/>
                      <w:szCs w:val="21"/>
                      <w:highlight w:val="none"/>
                    </w:rPr>
                    <w:t>单位设置环境管理部门，根据环境监测计划对项目进行运行期监测，保证输电设施正常运行。</w:t>
                  </w:r>
                </w:p>
              </w:tc>
              <w:tc>
                <w:tcPr>
                  <w:tcW w:w="817" w:type="dxa"/>
                  <w:vAlign w:val="center"/>
                </w:tcPr>
                <w:p w14:paraId="45C0C5E4">
                  <w:pPr>
                    <w:jc w:val="center"/>
                    <w:rPr>
                      <w:rFonts w:hint="eastAsia" w:eastAsia="宋体"/>
                      <w:color w:val="auto"/>
                      <w:spacing w:val="-11"/>
                      <w:sz w:val="21"/>
                      <w:szCs w:val="21"/>
                      <w:highlight w:val="none"/>
                      <w:lang w:eastAsia="zh-CN"/>
                    </w:rPr>
                  </w:pPr>
                  <w:r>
                    <w:rPr>
                      <w:rFonts w:hint="eastAsia"/>
                      <w:color w:val="auto"/>
                      <w:sz w:val="21"/>
                      <w:szCs w:val="21"/>
                      <w:highlight w:val="none"/>
                      <w:lang w:val="en-US" w:eastAsia="zh-CN"/>
                    </w:rPr>
                    <w:t>*****</w:t>
                  </w:r>
                </w:p>
              </w:tc>
            </w:tr>
            <w:tr w14:paraId="3B38E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dxa"/>
                  <w:vMerge w:val="continue"/>
                  <w:vAlign w:val="center"/>
                </w:tcPr>
                <w:p w14:paraId="1C22641E">
                  <w:pPr>
                    <w:jc w:val="center"/>
                    <w:rPr>
                      <w:color w:val="auto"/>
                      <w:spacing w:val="-11"/>
                      <w:szCs w:val="21"/>
                      <w:highlight w:val="none"/>
                    </w:rPr>
                  </w:pPr>
                </w:p>
              </w:tc>
              <w:tc>
                <w:tcPr>
                  <w:tcW w:w="685" w:type="dxa"/>
                  <w:vMerge w:val="continue"/>
                  <w:vAlign w:val="center"/>
                </w:tcPr>
                <w:p w14:paraId="601F6A86">
                  <w:pPr>
                    <w:jc w:val="center"/>
                    <w:rPr>
                      <w:rFonts w:hint="default" w:ascii="Times New Roman" w:hAnsi="Times New Roman" w:eastAsia="宋体" w:cs="Times New Roman"/>
                      <w:color w:val="auto"/>
                      <w:spacing w:val="0"/>
                      <w:w w:val="100"/>
                      <w:position w:val="0"/>
                      <w:szCs w:val="21"/>
                      <w:highlight w:val="none"/>
                    </w:rPr>
                  </w:pPr>
                </w:p>
              </w:tc>
              <w:tc>
                <w:tcPr>
                  <w:tcW w:w="914" w:type="dxa"/>
                  <w:vMerge w:val="continue"/>
                  <w:vAlign w:val="center"/>
                </w:tcPr>
                <w:p w14:paraId="34DC7C31">
                  <w:pPr>
                    <w:jc w:val="center"/>
                    <w:rPr>
                      <w:rFonts w:hint="default" w:ascii="Times New Roman" w:hAnsi="Times New Roman" w:eastAsia="宋体" w:cs="Times New Roman"/>
                      <w:color w:val="auto"/>
                      <w:spacing w:val="0"/>
                      <w:w w:val="100"/>
                      <w:position w:val="0"/>
                      <w:szCs w:val="21"/>
                      <w:highlight w:val="none"/>
                    </w:rPr>
                  </w:pPr>
                </w:p>
              </w:tc>
              <w:tc>
                <w:tcPr>
                  <w:tcW w:w="2750" w:type="dxa"/>
                  <w:vAlign w:val="center"/>
                </w:tcPr>
                <w:p w14:paraId="3B171246">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噪声：选用低噪声设备，加强设备保养等措施</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continue"/>
                  <w:vAlign w:val="center"/>
                </w:tcPr>
                <w:p w14:paraId="7688CCB5">
                  <w:pPr>
                    <w:jc w:val="center"/>
                    <w:rPr>
                      <w:rFonts w:hint="default" w:ascii="Times New Roman" w:hAnsi="Times New Roman" w:eastAsia="宋体" w:cs="Times New Roman"/>
                      <w:color w:val="auto"/>
                      <w:spacing w:val="0"/>
                      <w:w w:val="100"/>
                      <w:position w:val="0"/>
                      <w:szCs w:val="21"/>
                      <w:highlight w:val="none"/>
                    </w:rPr>
                  </w:pPr>
                </w:p>
              </w:tc>
              <w:tc>
                <w:tcPr>
                  <w:tcW w:w="2030" w:type="dxa"/>
                  <w:vMerge w:val="restart"/>
                  <w:vAlign w:val="center"/>
                </w:tcPr>
                <w:p w14:paraId="02C0207E">
                  <w:pPr>
                    <w:jc w:val="center"/>
                    <w:rPr>
                      <w:rFonts w:hint="eastAsia" w:ascii="Times New Roman" w:hAnsi="Times New Roman" w:eastAsia="宋体" w:cs="Times New Roman"/>
                      <w:color w:val="auto"/>
                      <w:spacing w:val="0"/>
                      <w:w w:val="100"/>
                      <w:position w:val="0"/>
                      <w:szCs w:val="21"/>
                      <w:highlight w:val="none"/>
                      <w:lang w:eastAsia="zh-CN"/>
                    </w:rPr>
                  </w:pPr>
                  <w:r>
                    <w:rPr>
                      <w:rFonts w:hint="default" w:ascii="Times New Roman" w:hAnsi="Times New Roman" w:eastAsia="宋体" w:cs="Times New Roman"/>
                      <w:color w:val="auto"/>
                      <w:spacing w:val="0"/>
                      <w:w w:val="100"/>
                      <w:position w:val="0"/>
                      <w:szCs w:val="21"/>
                      <w:highlight w:val="none"/>
                    </w:rPr>
                    <w:t>运行单位加强变电站环境保护设施的日常管理维护，保证环境保护设施的正常运行</w:t>
                  </w:r>
                  <w:r>
                    <w:rPr>
                      <w:rFonts w:hint="eastAsia" w:ascii="Times New Roman" w:hAnsi="Times New Roman" w:eastAsia="宋体" w:cs="Times New Roman"/>
                      <w:color w:val="auto"/>
                      <w:spacing w:val="0"/>
                      <w:w w:val="100"/>
                      <w:position w:val="0"/>
                      <w:szCs w:val="21"/>
                      <w:highlight w:val="none"/>
                      <w:lang w:eastAsia="zh-CN"/>
                    </w:rPr>
                    <w:t>。</w:t>
                  </w:r>
                </w:p>
              </w:tc>
              <w:tc>
                <w:tcPr>
                  <w:tcW w:w="817" w:type="dxa"/>
                  <w:vAlign w:val="center"/>
                </w:tcPr>
                <w:p w14:paraId="21B3209C">
                  <w:pPr>
                    <w:jc w:val="center"/>
                    <w:rPr>
                      <w:rFonts w:hint="eastAsia" w:eastAsia="宋体"/>
                      <w:color w:val="auto"/>
                      <w:spacing w:val="-11"/>
                      <w:sz w:val="21"/>
                      <w:szCs w:val="21"/>
                      <w:highlight w:val="none"/>
                      <w:lang w:val="en-US" w:eastAsia="zh-CN"/>
                    </w:rPr>
                  </w:pPr>
                  <w:r>
                    <w:rPr>
                      <w:rFonts w:hint="eastAsia"/>
                      <w:color w:val="auto"/>
                      <w:sz w:val="21"/>
                      <w:szCs w:val="21"/>
                      <w:highlight w:val="none"/>
                      <w:lang w:val="en-US" w:eastAsia="zh-CN"/>
                    </w:rPr>
                    <w:t>*****</w:t>
                  </w:r>
                </w:p>
              </w:tc>
            </w:tr>
            <w:tr w14:paraId="0CB37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95" w:type="dxa"/>
                  <w:vMerge w:val="continue"/>
                  <w:vAlign w:val="center"/>
                </w:tcPr>
                <w:p w14:paraId="03EDC0B6">
                  <w:pPr>
                    <w:jc w:val="center"/>
                    <w:rPr>
                      <w:color w:val="auto"/>
                      <w:spacing w:val="-11"/>
                      <w:szCs w:val="21"/>
                      <w:highlight w:val="none"/>
                    </w:rPr>
                  </w:pPr>
                </w:p>
              </w:tc>
              <w:tc>
                <w:tcPr>
                  <w:tcW w:w="685" w:type="dxa"/>
                  <w:vMerge w:val="continue"/>
                  <w:vAlign w:val="center"/>
                </w:tcPr>
                <w:p w14:paraId="282ACDFE">
                  <w:pPr>
                    <w:jc w:val="center"/>
                    <w:rPr>
                      <w:rFonts w:hint="default" w:ascii="Times New Roman" w:hAnsi="Times New Roman" w:eastAsia="宋体" w:cs="Times New Roman"/>
                      <w:color w:val="auto"/>
                      <w:spacing w:val="0"/>
                      <w:w w:val="100"/>
                      <w:position w:val="0"/>
                      <w:szCs w:val="21"/>
                      <w:highlight w:val="none"/>
                    </w:rPr>
                  </w:pPr>
                </w:p>
              </w:tc>
              <w:tc>
                <w:tcPr>
                  <w:tcW w:w="914" w:type="dxa"/>
                  <w:vMerge w:val="continue"/>
                  <w:vAlign w:val="center"/>
                </w:tcPr>
                <w:p w14:paraId="0D2D5F85">
                  <w:pPr>
                    <w:jc w:val="center"/>
                    <w:rPr>
                      <w:rFonts w:hint="default" w:ascii="Times New Roman" w:hAnsi="Times New Roman" w:eastAsia="宋体" w:cs="Times New Roman"/>
                      <w:color w:val="auto"/>
                      <w:spacing w:val="0"/>
                      <w:w w:val="100"/>
                      <w:position w:val="0"/>
                      <w:szCs w:val="21"/>
                      <w:highlight w:val="none"/>
                    </w:rPr>
                  </w:pPr>
                </w:p>
              </w:tc>
              <w:tc>
                <w:tcPr>
                  <w:tcW w:w="2750" w:type="dxa"/>
                  <w:vAlign w:val="center"/>
                </w:tcPr>
                <w:p w14:paraId="20B6276B">
                  <w:pPr>
                    <w:jc w:val="center"/>
                    <w:rPr>
                      <w:rFonts w:hint="eastAsia" w:ascii="Times New Roman" w:hAnsi="Times New Roman" w:eastAsia="宋体" w:cs="Times New Roman"/>
                      <w:color w:val="auto"/>
                      <w:spacing w:val="0"/>
                      <w:w w:val="100"/>
                      <w:position w:val="0"/>
                      <w:szCs w:val="21"/>
                      <w:highlight w:val="none"/>
                      <w:lang w:eastAsia="zh-CN"/>
                    </w:rPr>
                  </w:pPr>
                  <w:r>
                    <w:rPr>
                      <w:rFonts w:hint="eastAsia" w:ascii="Times New Roman" w:hAnsi="Times New Roman" w:cs="Times New Roman"/>
                      <w:color w:val="auto"/>
                      <w:szCs w:val="21"/>
                      <w:highlight w:val="none"/>
                      <w:lang w:val="en-US" w:eastAsia="zh-CN"/>
                    </w:rPr>
                    <w:t>生活</w:t>
                  </w:r>
                  <w:r>
                    <w:rPr>
                      <w:rFonts w:hint="default" w:ascii="Times New Roman" w:hAnsi="Times New Roman" w:cs="Times New Roman"/>
                      <w:color w:val="auto"/>
                      <w:szCs w:val="21"/>
                      <w:highlight w:val="none"/>
                    </w:rPr>
                    <w:t>污水：</w:t>
                  </w:r>
                  <w:r>
                    <w:rPr>
                      <w:rFonts w:hint="eastAsia" w:ascii="Times New Roman" w:hAnsi="Times New Roman" w:cs="Times New Roman"/>
                      <w:color w:val="auto"/>
                      <w:szCs w:val="21"/>
                      <w:highlight w:val="none"/>
                      <w:lang w:val="en-US" w:eastAsia="zh-CN"/>
                    </w:rPr>
                    <w:t>站内设置化粪池</w:t>
                  </w:r>
                  <w:r>
                    <w:rPr>
                      <w:rFonts w:hint="eastAsia" w:cs="Times New Roman" w:eastAsiaTheme="minorEastAsia"/>
                      <w:color w:val="auto"/>
                      <w:highlight w:val="none"/>
                      <w:lang w:val="en-US" w:eastAsia="zh-CN"/>
                    </w:rPr>
                    <w:t>。</w:t>
                  </w:r>
                </w:p>
              </w:tc>
              <w:tc>
                <w:tcPr>
                  <w:tcW w:w="613" w:type="dxa"/>
                  <w:vMerge w:val="continue"/>
                  <w:vAlign w:val="center"/>
                </w:tcPr>
                <w:p w14:paraId="0712ECE5">
                  <w:pPr>
                    <w:jc w:val="center"/>
                    <w:rPr>
                      <w:rFonts w:hint="default" w:ascii="Times New Roman" w:hAnsi="Times New Roman" w:eastAsia="宋体" w:cs="Times New Roman"/>
                      <w:color w:val="auto"/>
                      <w:spacing w:val="0"/>
                      <w:w w:val="100"/>
                      <w:position w:val="0"/>
                      <w:szCs w:val="21"/>
                      <w:highlight w:val="none"/>
                    </w:rPr>
                  </w:pPr>
                </w:p>
              </w:tc>
              <w:tc>
                <w:tcPr>
                  <w:tcW w:w="2030" w:type="dxa"/>
                  <w:vMerge w:val="continue"/>
                  <w:vAlign w:val="center"/>
                </w:tcPr>
                <w:p w14:paraId="7C16C96E">
                  <w:pPr>
                    <w:jc w:val="center"/>
                    <w:rPr>
                      <w:rFonts w:hint="eastAsia" w:ascii="Times New Roman" w:hAnsi="Times New Roman" w:eastAsia="宋体" w:cs="Times New Roman"/>
                      <w:color w:val="auto"/>
                      <w:spacing w:val="0"/>
                      <w:w w:val="100"/>
                      <w:position w:val="0"/>
                      <w:szCs w:val="21"/>
                      <w:highlight w:val="none"/>
                      <w:lang w:eastAsia="zh-CN"/>
                    </w:rPr>
                  </w:pPr>
                </w:p>
              </w:tc>
              <w:tc>
                <w:tcPr>
                  <w:tcW w:w="817" w:type="dxa"/>
                  <w:vAlign w:val="center"/>
                </w:tcPr>
                <w:p w14:paraId="113A82AA">
                  <w:pPr>
                    <w:jc w:val="center"/>
                    <w:rPr>
                      <w:rFonts w:hint="eastAsia" w:eastAsia="宋体"/>
                      <w:color w:val="auto"/>
                      <w:spacing w:val="-11"/>
                      <w:sz w:val="21"/>
                      <w:szCs w:val="21"/>
                      <w:highlight w:val="none"/>
                      <w:lang w:eastAsia="zh-CN"/>
                    </w:rPr>
                  </w:pPr>
                  <w:r>
                    <w:rPr>
                      <w:rFonts w:hint="eastAsia"/>
                      <w:color w:val="auto"/>
                      <w:sz w:val="21"/>
                      <w:szCs w:val="21"/>
                      <w:highlight w:val="none"/>
                      <w:lang w:val="en-US" w:eastAsia="zh-CN"/>
                    </w:rPr>
                    <w:t>*****</w:t>
                  </w:r>
                </w:p>
              </w:tc>
            </w:tr>
            <w:tr w14:paraId="6DC54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95" w:type="dxa"/>
                  <w:vMerge w:val="continue"/>
                  <w:vAlign w:val="center"/>
                </w:tcPr>
                <w:p w14:paraId="7BE354D0">
                  <w:pPr>
                    <w:jc w:val="center"/>
                    <w:rPr>
                      <w:color w:val="auto"/>
                      <w:spacing w:val="-11"/>
                      <w:szCs w:val="21"/>
                      <w:highlight w:val="none"/>
                    </w:rPr>
                  </w:pPr>
                </w:p>
              </w:tc>
              <w:tc>
                <w:tcPr>
                  <w:tcW w:w="685" w:type="dxa"/>
                  <w:vMerge w:val="continue"/>
                  <w:vAlign w:val="center"/>
                </w:tcPr>
                <w:p w14:paraId="0BC9D9AA">
                  <w:pPr>
                    <w:jc w:val="center"/>
                    <w:rPr>
                      <w:rFonts w:hint="default" w:ascii="Times New Roman" w:hAnsi="Times New Roman" w:eastAsia="宋体" w:cs="Times New Roman"/>
                      <w:color w:val="auto"/>
                      <w:spacing w:val="0"/>
                      <w:w w:val="100"/>
                      <w:position w:val="0"/>
                      <w:szCs w:val="21"/>
                      <w:highlight w:val="none"/>
                    </w:rPr>
                  </w:pPr>
                </w:p>
              </w:tc>
              <w:tc>
                <w:tcPr>
                  <w:tcW w:w="914" w:type="dxa"/>
                  <w:vMerge w:val="continue"/>
                  <w:vAlign w:val="center"/>
                </w:tcPr>
                <w:p w14:paraId="4879817D">
                  <w:pPr>
                    <w:jc w:val="center"/>
                    <w:rPr>
                      <w:rFonts w:hint="default" w:ascii="Times New Roman" w:hAnsi="Times New Roman" w:eastAsia="宋体" w:cs="Times New Roman"/>
                      <w:color w:val="auto"/>
                      <w:spacing w:val="0"/>
                      <w:w w:val="100"/>
                      <w:position w:val="0"/>
                      <w:szCs w:val="21"/>
                      <w:highlight w:val="none"/>
                    </w:rPr>
                  </w:pPr>
                </w:p>
              </w:tc>
              <w:tc>
                <w:tcPr>
                  <w:tcW w:w="2750" w:type="dxa"/>
                  <w:vAlign w:val="center"/>
                </w:tcPr>
                <w:p w14:paraId="2FAFAFB9">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生活垃圾：站内设置垃圾</w:t>
                  </w:r>
                  <w:r>
                    <w:rPr>
                      <w:rFonts w:hint="eastAsia" w:ascii="Times New Roman" w:hAnsi="Times New Roman" w:cs="Times New Roman"/>
                      <w:color w:val="auto"/>
                      <w:szCs w:val="21"/>
                      <w:highlight w:val="none"/>
                      <w:lang w:val="en-US" w:eastAsia="zh-CN"/>
                    </w:rPr>
                    <w:t>桶</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经站内垃圾</w:t>
                  </w:r>
                  <w:r>
                    <w:rPr>
                      <w:rFonts w:hint="eastAsia" w:ascii="Times New Roman" w:hAnsi="Times New Roman" w:cs="Times New Roman"/>
                      <w:color w:val="auto"/>
                      <w:szCs w:val="21"/>
                      <w:highlight w:val="none"/>
                      <w:lang w:val="en-US" w:eastAsia="zh-CN"/>
                    </w:rPr>
                    <w:t>桶</w:t>
                  </w:r>
                  <w:r>
                    <w:rPr>
                      <w:rFonts w:hint="default" w:ascii="Times New Roman" w:hAnsi="Times New Roman" w:cs="Times New Roman"/>
                      <w:color w:val="auto"/>
                      <w:szCs w:val="21"/>
                      <w:highlight w:val="none"/>
                    </w:rPr>
                    <w:t>收集后，定期运至附近垃圾收集点</w:t>
                  </w:r>
                  <w:r>
                    <w:rPr>
                      <w:rFonts w:hint="eastAsia" w:ascii="Times New Roman" w:hAnsi="Times New Roman" w:cs="Times New Roman"/>
                      <w:color w:val="auto"/>
                      <w:szCs w:val="21"/>
                      <w:highlight w:val="none"/>
                      <w:lang w:eastAsia="zh-CN"/>
                    </w:rPr>
                    <w:t>。</w:t>
                  </w:r>
                </w:p>
              </w:tc>
              <w:tc>
                <w:tcPr>
                  <w:tcW w:w="613" w:type="dxa"/>
                  <w:vMerge w:val="continue"/>
                  <w:vAlign w:val="center"/>
                </w:tcPr>
                <w:p w14:paraId="357257E4">
                  <w:pPr>
                    <w:jc w:val="center"/>
                    <w:rPr>
                      <w:rFonts w:hint="default" w:ascii="Times New Roman" w:hAnsi="Times New Roman" w:eastAsia="宋体" w:cs="Times New Roman"/>
                      <w:color w:val="auto"/>
                      <w:spacing w:val="0"/>
                      <w:w w:val="100"/>
                      <w:position w:val="0"/>
                      <w:szCs w:val="21"/>
                      <w:highlight w:val="none"/>
                    </w:rPr>
                  </w:pPr>
                </w:p>
              </w:tc>
              <w:tc>
                <w:tcPr>
                  <w:tcW w:w="2030" w:type="dxa"/>
                  <w:vMerge w:val="continue"/>
                  <w:vAlign w:val="center"/>
                </w:tcPr>
                <w:p w14:paraId="735F9A65">
                  <w:pPr>
                    <w:jc w:val="center"/>
                    <w:rPr>
                      <w:rFonts w:hint="default" w:ascii="Times New Roman" w:hAnsi="Times New Roman" w:eastAsia="宋体" w:cs="Times New Roman"/>
                      <w:color w:val="auto"/>
                      <w:spacing w:val="0"/>
                      <w:w w:val="100"/>
                      <w:position w:val="0"/>
                      <w:szCs w:val="21"/>
                      <w:highlight w:val="none"/>
                    </w:rPr>
                  </w:pPr>
                </w:p>
              </w:tc>
              <w:tc>
                <w:tcPr>
                  <w:tcW w:w="817" w:type="dxa"/>
                  <w:vAlign w:val="center"/>
                </w:tcPr>
                <w:p w14:paraId="6746C625">
                  <w:pPr>
                    <w:jc w:val="center"/>
                    <w:rPr>
                      <w:rFonts w:hint="default" w:eastAsia="宋体"/>
                      <w:color w:val="auto"/>
                      <w:spacing w:val="-11"/>
                      <w:sz w:val="21"/>
                      <w:szCs w:val="21"/>
                      <w:highlight w:val="none"/>
                      <w:lang w:val="en-US" w:eastAsia="zh-CN"/>
                    </w:rPr>
                  </w:pPr>
                  <w:r>
                    <w:rPr>
                      <w:rFonts w:hint="eastAsia"/>
                      <w:color w:val="auto"/>
                      <w:sz w:val="21"/>
                      <w:szCs w:val="21"/>
                      <w:highlight w:val="none"/>
                      <w:lang w:val="en-US" w:eastAsia="zh-CN"/>
                    </w:rPr>
                    <w:t>*****</w:t>
                  </w:r>
                </w:p>
              </w:tc>
            </w:tr>
            <w:tr w14:paraId="03838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95" w:type="dxa"/>
                  <w:vMerge w:val="continue"/>
                  <w:vAlign w:val="center"/>
                </w:tcPr>
                <w:p w14:paraId="5CF4200A">
                  <w:pPr>
                    <w:jc w:val="center"/>
                    <w:rPr>
                      <w:color w:val="auto"/>
                      <w:spacing w:val="-11"/>
                      <w:szCs w:val="21"/>
                      <w:highlight w:val="none"/>
                    </w:rPr>
                  </w:pPr>
                </w:p>
              </w:tc>
              <w:tc>
                <w:tcPr>
                  <w:tcW w:w="685" w:type="dxa"/>
                  <w:vMerge w:val="continue"/>
                  <w:vAlign w:val="center"/>
                </w:tcPr>
                <w:p w14:paraId="7F153F5D">
                  <w:pPr>
                    <w:jc w:val="center"/>
                    <w:rPr>
                      <w:rFonts w:hint="default" w:ascii="Times New Roman" w:hAnsi="Times New Roman" w:eastAsia="宋体" w:cs="Times New Roman"/>
                      <w:color w:val="auto"/>
                      <w:spacing w:val="0"/>
                      <w:w w:val="100"/>
                      <w:position w:val="0"/>
                      <w:szCs w:val="21"/>
                      <w:highlight w:val="none"/>
                    </w:rPr>
                  </w:pPr>
                </w:p>
              </w:tc>
              <w:tc>
                <w:tcPr>
                  <w:tcW w:w="914" w:type="dxa"/>
                  <w:vMerge w:val="continue"/>
                  <w:vAlign w:val="center"/>
                </w:tcPr>
                <w:p w14:paraId="6D2CCB91">
                  <w:pPr>
                    <w:jc w:val="center"/>
                    <w:rPr>
                      <w:rFonts w:hint="default" w:ascii="Times New Roman" w:hAnsi="Times New Roman" w:eastAsia="宋体" w:cs="Times New Roman"/>
                      <w:color w:val="auto"/>
                      <w:spacing w:val="0"/>
                      <w:w w:val="100"/>
                      <w:position w:val="0"/>
                      <w:szCs w:val="21"/>
                      <w:highlight w:val="none"/>
                    </w:rPr>
                  </w:pPr>
                </w:p>
              </w:tc>
              <w:tc>
                <w:tcPr>
                  <w:tcW w:w="2750" w:type="dxa"/>
                  <w:vAlign w:val="center"/>
                </w:tcPr>
                <w:p w14:paraId="6A8A7262">
                  <w:pPr>
                    <w:jc w:val="center"/>
                    <w:rPr>
                      <w:rFonts w:hint="eastAsia" w:ascii="Times New Roman" w:hAnsi="Times New Roman" w:eastAsia="宋体" w:cs="Times New Roman"/>
                      <w:color w:val="auto"/>
                      <w:spacing w:val="0"/>
                      <w:w w:val="100"/>
                      <w:position w:val="0"/>
                      <w:szCs w:val="21"/>
                      <w:highlight w:val="none"/>
                      <w:lang w:eastAsia="zh-CN"/>
                    </w:rPr>
                  </w:pPr>
                  <w:r>
                    <w:rPr>
                      <w:rFonts w:hint="eastAsia" w:ascii="Times New Roman" w:hAnsi="Times New Roman" w:eastAsia="宋体" w:cs="Times New Roman"/>
                      <w:color w:val="auto"/>
                      <w:spacing w:val="0"/>
                      <w:w w:val="100"/>
                      <w:position w:val="0"/>
                      <w:szCs w:val="21"/>
                      <w:highlight w:val="none"/>
                      <w:lang w:val="en-US" w:eastAsia="zh-CN"/>
                    </w:rPr>
                    <w:t>危废</w:t>
                  </w:r>
                  <w:r>
                    <w:rPr>
                      <w:rFonts w:hint="default" w:ascii="Times New Roman" w:hAnsi="Times New Roman" w:eastAsia="宋体" w:cs="Times New Roman"/>
                      <w:color w:val="auto"/>
                      <w:spacing w:val="0"/>
                      <w:w w:val="100"/>
                      <w:position w:val="0"/>
                      <w:szCs w:val="21"/>
                      <w:highlight w:val="none"/>
                    </w:rPr>
                    <w:t>：</w:t>
                  </w:r>
                  <w:r>
                    <w:rPr>
                      <w:rFonts w:hint="eastAsia" w:ascii="Times New Roman" w:hAnsi="Times New Roman" w:eastAsia="宋体" w:cs="Times New Roman"/>
                      <w:color w:val="auto"/>
                      <w:spacing w:val="0"/>
                      <w:w w:val="100"/>
                      <w:position w:val="0"/>
                      <w:szCs w:val="21"/>
                      <w:highlight w:val="none"/>
                      <w:lang w:val="en-US" w:eastAsia="zh-CN"/>
                    </w:rPr>
                    <w:t>站内</w:t>
                  </w:r>
                  <w:r>
                    <w:rPr>
                      <w:rFonts w:hint="default" w:ascii="Times New Roman" w:hAnsi="Times New Roman" w:eastAsia="宋体" w:cs="Times New Roman"/>
                      <w:color w:val="auto"/>
                      <w:spacing w:val="0"/>
                      <w:w w:val="100"/>
                      <w:position w:val="0"/>
                      <w:szCs w:val="21"/>
                      <w:highlight w:val="none"/>
                    </w:rPr>
                    <w:t>设置事故油池、</w:t>
                  </w:r>
                  <w:r>
                    <w:rPr>
                      <w:rFonts w:hint="eastAsia" w:ascii="Times New Roman" w:hAnsi="Times New Roman" w:eastAsia="宋体" w:cs="Times New Roman"/>
                      <w:color w:val="auto"/>
                      <w:spacing w:val="0"/>
                      <w:w w:val="100"/>
                      <w:position w:val="0"/>
                      <w:szCs w:val="21"/>
                      <w:highlight w:val="none"/>
                      <w:lang w:val="en-US" w:eastAsia="zh-CN"/>
                    </w:rPr>
                    <w:t>排油管、</w:t>
                  </w:r>
                  <w:r>
                    <w:rPr>
                      <w:rFonts w:hint="default" w:ascii="Times New Roman" w:hAnsi="Times New Roman" w:eastAsia="宋体" w:cs="Times New Roman"/>
                      <w:color w:val="auto"/>
                      <w:spacing w:val="0"/>
                      <w:w w:val="100"/>
                      <w:position w:val="0"/>
                      <w:szCs w:val="21"/>
                      <w:highlight w:val="none"/>
                    </w:rPr>
                    <w:t>事故油坑</w:t>
                  </w:r>
                  <w:r>
                    <w:rPr>
                      <w:rFonts w:hint="eastAsia" w:ascii="Times New Roman" w:hAnsi="Times New Roman" w:eastAsia="宋体" w:cs="Times New Roman"/>
                      <w:color w:val="auto"/>
                      <w:spacing w:val="0"/>
                      <w:w w:val="100"/>
                      <w:position w:val="0"/>
                      <w:szCs w:val="21"/>
                      <w:highlight w:val="none"/>
                      <w:lang w:eastAsia="zh-CN"/>
                    </w:rPr>
                    <w:t>。</w:t>
                  </w:r>
                </w:p>
              </w:tc>
              <w:tc>
                <w:tcPr>
                  <w:tcW w:w="613" w:type="dxa"/>
                  <w:vMerge w:val="continue"/>
                  <w:vAlign w:val="center"/>
                </w:tcPr>
                <w:p w14:paraId="5C530B6B">
                  <w:pPr>
                    <w:jc w:val="center"/>
                    <w:rPr>
                      <w:color w:val="auto"/>
                      <w:spacing w:val="-11"/>
                      <w:szCs w:val="21"/>
                      <w:highlight w:val="none"/>
                    </w:rPr>
                  </w:pPr>
                </w:p>
              </w:tc>
              <w:tc>
                <w:tcPr>
                  <w:tcW w:w="2030" w:type="dxa"/>
                  <w:vMerge w:val="continue"/>
                  <w:vAlign w:val="center"/>
                </w:tcPr>
                <w:p w14:paraId="78E9DE56">
                  <w:pPr>
                    <w:jc w:val="center"/>
                    <w:rPr>
                      <w:color w:val="auto"/>
                      <w:spacing w:val="-11"/>
                      <w:szCs w:val="21"/>
                      <w:highlight w:val="none"/>
                    </w:rPr>
                  </w:pPr>
                </w:p>
              </w:tc>
              <w:tc>
                <w:tcPr>
                  <w:tcW w:w="817" w:type="dxa"/>
                  <w:vAlign w:val="center"/>
                </w:tcPr>
                <w:p w14:paraId="3F037A9C">
                  <w:pPr>
                    <w:jc w:val="center"/>
                    <w:rPr>
                      <w:color w:val="auto"/>
                      <w:spacing w:val="-11"/>
                      <w:sz w:val="21"/>
                      <w:szCs w:val="21"/>
                      <w:highlight w:val="none"/>
                    </w:rPr>
                  </w:pPr>
                  <w:r>
                    <w:rPr>
                      <w:rFonts w:hint="eastAsia"/>
                      <w:color w:val="auto"/>
                      <w:sz w:val="21"/>
                      <w:szCs w:val="21"/>
                      <w:highlight w:val="none"/>
                      <w:lang w:val="en-US" w:eastAsia="zh-CN"/>
                    </w:rPr>
                    <w:t>*****</w:t>
                  </w:r>
                </w:p>
              </w:tc>
            </w:tr>
            <w:tr w14:paraId="78AA1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7" w:type="dxa"/>
                  <w:gridSpan w:val="6"/>
                  <w:vAlign w:val="center"/>
                </w:tcPr>
                <w:p w14:paraId="67AF9AE6">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环保投资合计</w:t>
                  </w:r>
                </w:p>
              </w:tc>
              <w:tc>
                <w:tcPr>
                  <w:tcW w:w="817" w:type="dxa"/>
                  <w:vAlign w:val="center"/>
                </w:tcPr>
                <w:p w14:paraId="56D65C92">
                  <w:pPr>
                    <w:jc w:val="center"/>
                    <w:rPr>
                      <w:rFonts w:hint="default" w:ascii="Times New Roman" w:hAnsi="Times New Roman" w:eastAsia="宋体" w:cs="Times New Roman"/>
                      <w:color w:val="auto"/>
                      <w:spacing w:val="-11"/>
                      <w:sz w:val="21"/>
                      <w:szCs w:val="21"/>
                      <w:highlight w:val="none"/>
                      <w:lang w:val="en-US" w:eastAsia="zh-CN"/>
                    </w:rPr>
                  </w:pPr>
                  <w:r>
                    <w:rPr>
                      <w:rFonts w:hint="eastAsia"/>
                      <w:color w:val="auto"/>
                      <w:sz w:val="21"/>
                      <w:szCs w:val="21"/>
                      <w:highlight w:val="none"/>
                      <w:lang w:val="en-US" w:eastAsia="zh-CN"/>
                    </w:rPr>
                    <w:t>*****</w:t>
                  </w:r>
                </w:p>
              </w:tc>
            </w:tr>
            <w:tr w14:paraId="049C8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87" w:type="dxa"/>
                  <w:gridSpan w:val="6"/>
                  <w:vAlign w:val="center"/>
                </w:tcPr>
                <w:p w14:paraId="31970370">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项目总投资</w:t>
                  </w:r>
                </w:p>
              </w:tc>
              <w:tc>
                <w:tcPr>
                  <w:tcW w:w="817" w:type="dxa"/>
                </w:tcPr>
                <w:p w14:paraId="096BB8C8">
                  <w:pPr>
                    <w:jc w:val="center"/>
                    <w:rPr>
                      <w:rFonts w:hint="default" w:ascii="Times New Roman" w:hAnsi="Times New Roman" w:eastAsia="宋体" w:cs="Times New Roman"/>
                      <w:color w:val="auto"/>
                      <w:spacing w:val="-11"/>
                      <w:sz w:val="21"/>
                      <w:szCs w:val="21"/>
                      <w:highlight w:val="none"/>
                      <w:lang w:val="en-US" w:eastAsia="zh-CN"/>
                    </w:rPr>
                  </w:pPr>
                  <w:r>
                    <w:rPr>
                      <w:rFonts w:hint="eastAsia"/>
                      <w:color w:val="auto"/>
                      <w:sz w:val="21"/>
                      <w:szCs w:val="21"/>
                      <w:highlight w:val="none"/>
                      <w:lang w:val="en-US" w:eastAsia="zh-CN"/>
                    </w:rPr>
                    <w:t>*****</w:t>
                  </w:r>
                </w:p>
              </w:tc>
            </w:tr>
            <w:tr w14:paraId="0303A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87" w:type="dxa"/>
                  <w:gridSpan w:val="6"/>
                  <w:vAlign w:val="center"/>
                </w:tcPr>
                <w:p w14:paraId="035ABFF8">
                  <w:pPr>
                    <w:jc w:val="center"/>
                    <w:rPr>
                      <w:rFonts w:hint="default" w:ascii="Times New Roman" w:hAnsi="Times New Roman" w:eastAsia="宋体" w:cs="Times New Roman"/>
                      <w:color w:val="auto"/>
                      <w:spacing w:val="0"/>
                      <w:w w:val="100"/>
                      <w:position w:val="0"/>
                      <w:szCs w:val="21"/>
                      <w:highlight w:val="none"/>
                    </w:rPr>
                  </w:pPr>
                  <w:r>
                    <w:rPr>
                      <w:rFonts w:hint="default" w:ascii="Times New Roman" w:hAnsi="Times New Roman" w:eastAsia="宋体" w:cs="Times New Roman"/>
                      <w:color w:val="auto"/>
                      <w:spacing w:val="0"/>
                      <w:w w:val="100"/>
                      <w:position w:val="0"/>
                      <w:szCs w:val="21"/>
                      <w:highlight w:val="none"/>
                    </w:rPr>
                    <w:t>环保投资比例</w:t>
                  </w:r>
                </w:p>
              </w:tc>
              <w:tc>
                <w:tcPr>
                  <w:tcW w:w="817" w:type="dxa"/>
                </w:tcPr>
                <w:p w14:paraId="4B833135">
                  <w:pPr>
                    <w:jc w:val="center"/>
                    <w:rPr>
                      <w:rFonts w:hint="eastAsia" w:ascii="Times New Roman" w:hAnsi="Times New Roman" w:eastAsia="宋体" w:cs="Times New Roman"/>
                      <w:color w:val="auto"/>
                      <w:spacing w:val="-11"/>
                      <w:sz w:val="21"/>
                      <w:szCs w:val="21"/>
                      <w:highlight w:val="none"/>
                    </w:rPr>
                  </w:pPr>
                  <w:r>
                    <w:rPr>
                      <w:rFonts w:hint="eastAsia"/>
                      <w:color w:val="auto"/>
                      <w:sz w:val="21"/>
                      <w:szCs w:val="21"/>
                      <w:highlight w:val="none"/>
                      <w:lang w:val="en-US" w:eastAsia="zh-CN"/>
                    </w:rPr>
                    <w:t>*****</w:t>
                  </w:r>
                </w:p>
              </w:tc>
            </w:tr>
          </w:tbl>
          <w:p w14:paraId="3F193DEC">
            <w:pPr>
              <w:spacing w:line="360" w:lineRule="auto"/>
              <w:rPr>
                <w:bCs/>
                <w:color w:val="auto"/>
                <w:spacing w:val="10"/>
                <w:szCs w:val="21"/>
                <w:highlight w:val="none"/>
              </w:rPr>
            </w:pPr>
            <w:r>
              <w:rPr>
                <w:rFonts w:eastAsia="黑体"/>
                <w:b/>
                <w:bCs/>
                <w:color w:val="auto"/>
                <w:sz w:val="24"/>
                <w:highlight w:val="none"/>
              </w:rPr>
              <w:t xml:space="preserve">                 </w:t>
            </w:r>
          </w:p>
        </w:tc>
      </w:tr>
    </w:tbl>
    <w:p w14:paraId="51EA6440">
      <w:pPr>
        <w:rPr>
          <w:color w:val="auto"/>
          <w:sz w:val="24"/>
          <w:highlight w:val="none"/>
        </w:rPr>
        <w:sectPr>
          <w:pgSz w:w="11907" w:h="16840"/>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2814D8A6">
      <w:pPr>
        <w:pStyle w:val="26"/>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45" w:name="_Toc2094"/>
      <w:r>
        <w:rPr>
          <w:rFonts w:ascii="Times New Roman" w:hAnsi="Times New Roman" w:eastAsia="黑体"/>
          <w:b/>
          <w:bCs/>
          <w:snapToGrid w:val="0"/>
          <w:color w:val="auto"/>
          <w:sz w:val="30"/>
          <w:szCs w:val="30"/>
          <w:highlight w:val="none"/>
        </w:rPr>
        <w:t>六、生态环境保护措施监督检查清单</w:t>
      </w:r>
      <w:bookmarkEnd w:id="45"/>
    </w:p>
    <w:tbl>
      <w:tblPr>
        <w:tblStyle w:val="28"/>
        <w:tblW w:w="55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659"/>
        <w:gridCol w:w="1272"/>
        <w:gridCol w:w="2169"/>
        <w:gridCol w:w="1508"/>
      </w:tblGrid>
      <w:tr w14:paraId="56378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Merge w:val="restart"/>
            <w:tcBorders>
              <w:tl2br w:val="single" w:color="auto" w:sz="4" w:space="0"/>
            </w:tcBorders>
          </w:tcPr>
          <w:p w14:paraId="42C81346">
            <w:pPr>
              <w:pStyle w:val="26"/>
              <w:adjustRightInd w:val="0"/>
              <w:snapToGrid w:val="0"/>
              <w:spacing w:before="0" w:beforeAutospacing="0" w:after="0" w:afterAutospacing="0"/>
              <w:jc w:val="center"/>
              <w:outlineLvl w:val="0"/>
              <w:rPr>
                <w:rFonts w:ascii="Times New Roman" w:hAnsi="Times New Roman"/>
                <w:color w:val="auto"/>
                <w:kern w:val="2"/>
                <w:highlight w:val="none"/>
              </w:rPr>
            </w:pPr>
            <w:r>
              <w:rPr>
                <w:rFonts w:ascii="Times New Roman" w:hAnsi="Times New Roman"/>
                <w:color w:val="auto"/>
                <w:kern w:val="2"/>
                <w:highlight w:val="none"/>
              </w:rPr>
              <w:t xml:space="preserve"> </w:t>
            </w:r>
            <w:bookmarkStart w:id="46" w:name="_Toc24994"/>
            <w:bookmarkStart w:id="47" w:name="_Toc5032"/>
            <w:r>
              <w:rPr>
                <w:rFonts w:ascii="Times New Roman" w:hAnsi="Times New Roman"/>
                <w:color w:val="auto"/>
                <w:kern w:val="2"/>
                <w:highlight w:val="none"/>
              </w:rPr>
              <w:t>内容</w:t>
            </w:r>
            <w:bookmarkEnd w:id="46"/>
            <w:bookmarkEnd w:id="47"/>
          </w:p>
          <w:p w14:paraId="10983C66">
            <w:pPr>
              <w:pStyle w:val="26"/>
              <w:adjustRightInd w:val="0"/>
              <w:snapToGrid w:val="0"/>
              <w:spacing w:before="120" w:beforeLines="50" w:beforeAutospacing="0" w:after="0" w:afterAutospacing="0"/>
              <w:outlineLvl w:val="0"/>
              <w:rPr>
                <w:rFonts w:ascii="Times New Roman" w:hAnsi="Times New Roman"/>
                <w:color w:val="auto"/>
                <w:kern w:val="2"/>
                <w:highlight w:val="none"/>
              </w:rPr>
            </w:pPr>
            <w:bookmarkStart w:id="48" w:name="_Toc15863"/>
            <w:bookmarkStart w:id="49" w:name="_Toc17312"/>
            <w:r>
              <w:rPr>
                <w:rFonts w:ascii="Times New Roman" w:hAnsi="Times New Roman"/>
                <w:color w:val="auto"/>
                <w:kern w:val="2"/>
                <w:highlight w:val="none"/>
              </w:rPr>
              <w:t>要素</w:t>
            </w:r>
            <w:bookmarkEnd w:id="48"/>
            <w:bookmarkEnd w:id="49"/>
          </w:p>
        </w:tc>
        <w:tc>
          <w:tcPr>
            <w:tcW w:w="2603" w:type="pct"/>
            <w:gridSpan w:val="2"/>
            <w:vAlign w:val="center"/>
          </w:tcPr>
          <w:p w14:paraId="3B51D1F9">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50" w:name="_Toc3990"/>
            <w:bookmarkStart w:id="51" w:name="_Toc32397"/>
            <w:r>
              <w:rPr>
                <w:rFonts w:ascii="Times New Roman" w:hAnsi="Times New Roman"/>
                <w:color w:val="auto"/>
                <w:kern w:val="2"/>
                <w:highlight w:val="none"/>
              </w:rPr>
              <w:t>施工期</w:t>
            </w:r>
            <w:bookmarkEnd w:id="50"/>
            <w:bookmarkEnd w:id="51"/>
          </w:p>
        </w:tc>
        <w:tc>
          <w:tcPr>
            <w:tcW w:w="1941" w:type="pct"/>
            <w:gridSpan w:val="2"/>
            <w:vAlign w:val="center"/>
          </w:tcPr>
          <w:p w14:paraId="4CF10AC8">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52" w:name="_Toc17613"/>
            <w:bookmarkStart w:id="53" w:name="_Toc32437"/>
            <w:r>
              <w:rPr>
                <w:rFonts w:ascii="Times New Roman" w:hAnsi="Times New Roman"/>
                <w:color w:val="auto"/>
                <w:kern w:val="2"/>
                <w:highlight w:val="none"/>
              </w:rPr>
              <w:t>运营期</w:t>
            </w:r>
            <w:bookmarkEnd w:id="52"/>
            <w:bookmarkEnd w:id="53"/>
          </w:p>
        </w:tc>
      </w:tr>
      <w:tr w14:paraId="6AADB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Merge w:val="continue"/>
          </w:tcPr>
          <w:p w14:paraId="2B17DFCE">
            <w:pPr>
              <w:pStyle w:val="26"/>
              <w:adjustRightInd w:val="0"/>
              <w:snapToGrid w:val="0"/>
              <w:spacing w:before="0" w:beforeAutospacing="0" w:after="0" w:afterAutospacing="0"/>
              <w:ind w:firstLine="840"/>
              <w:jc w:val="center"/>
              <w:outlineLvl w:val="0"/>
              <w:rPr>
                <w:rFonts w:ascii="Times New Roman" w:hAnsi="Times New Roman"/>
                <w:color w:val="auto"/>
                <w:kern w:val="2"/>
                <w:highlight w:val="none"/>
              </w:rPr>
            </w:pPr>
          </w:p>
        </w:tc>
        <w:tc>
          <w:tcPr>
            <w:tcW w:w="1932" w:type="pct"/>
            <w:vAlign w:val="center"/>
          </w:tcPr>
          <w:p w14:paraId="4DF1BE39">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54" w:name="_Toc19741"/>
            <w:bookmarkStart w:id="55" w:name="_Toc30497"/>
            <w:r>
              <w:rPr>
                <w:rFonts w:ascii="Times New Roman" w:hAnsi="Times New Roman"/>
                <w:color w:val="auto"/>
                <w:kern w:val="2"/>
                <w:highlight w:val="none"/>
              </w:rPr>
              <w:t>环境保护措施</w:t>
            </w:r>
            <w:bookmarkEnd w:id="54"/>
            <w:bookmarkEnd w:id="55"/>
          </w:p>
        </w:tc>
        <w:tc>
          <w:tcPr>
            <w:tcW w:w="671" w:type="pct"/>
            <w:vAlign w:val="center"/>
          </w:tcPr>
          <w:p w14:paraId="4E1B691F">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56" w:name="_Toc16421"/>
            <w:bookmarkStart w:id="57" w:name="_Toc2495"/>
            <w:r>
              <w:rPr>
                <w:rFonts w:ascii="Times New Roman" w:hAnsi="Times New Roman"/>
                <w:color w:val="auto"/>
                <w:kern w:val="2"/>
                <w:highlight w:val="none"/>
              </w:rPr>
              <w:t>验收要求</w:t>
            </w:r>
            <w:bookmarkEnd w:id="56"/>
            <w:bookmarkEnd w:id="57"/>
          </w:p>
        </w:tc>
        <w:tc>
          <w:tcPr>
            <w:tcW w:w="1145" w:type="pct"/>
            <w:vAlign w:val="center"/>
          </w:tcPr>
          <w:p w14:paraId="0C9CB0FE">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58" w:name="_Toc10963"/>
            <w:bookmarkStart w:id="59" w:name="_Toc14190"/>
            <w:r>
              <w:rPr>
                <w:rFonts w:ascii="Times New Roman" w:hAnsi="Times New Roman"/>
                <w:color w:val="auto"/>
                <w:kern w:val="2"/>
                <w:highlight w:val="none"/>
              </w:rPr>
              <w:t>环境保护措施</w:t>
            </w:r>
            <w:bookmarkEnd w:id="58"/>
            <w:bookmarkEnd w:id="59"/>
          </w:p>
        </w:tc>
        <w:tc>
          <w:tcPr>
            <w:tcW w:w="796" w:type="pct"/>
            <w:vAlign w:val="center"/>
          </w:tcPr>
          <w:p w14:paraId="723EB4DF">
            <w:pPr>
              <w:pStyle w:val="26"/>
              <w:adjustRightInd w:val="0"/>
              <w:snapToGrid w:val="0"/>
              <w:spacing w:before="0" w:beforeAutospacing="0" w:after="0" w:afterAutospacing="0"/>
              <w:jc w:val="center"/>
              <w:outlineLvl w:val="0"/>
              <w:rPr>
                <w:rFonts w:ascii="Times New Roman" w:hAnsi="Times New Roman"/>
                <w:color w:val="auto"/>
                <w:kern w:val="2"/>
                <w:highlight w:val="none"/>
              </w:rPr>
            </w:pPr>
            <w:bookmarkStart w:id="60" w:name="_Toc31645"/>
            <w:bookmarkStart w:id="61" w:name="_Toc24321"/>
            <w:r>
              <w:rPr>
                <w:rFonts w:ascii="Times New Roman" w:hAnsi="Times New Roman"/>
                <w:color w:val="auto"/>
                <w:kern w:val="2"/>
                <w:highlight w:val="none"/>
              </w:rPr>
              <w:t>验收要求</w:t>
            </w:r>
            <w:bookmarkEnd w:id="60"/>
            <w:bookmarkEnd w:id="61"/>
          </w:p>
        </w:tc>
      </w:tr>
      <w:tr w14:paraId="556A0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2624A310">
            <w:pPr>
              <w:adjustRightInd w:val="0"/>
              <w:snapToGrid w:val="0"/>
              <w:jc w:val="center"/>
              <w:rPr>
                <w:color w:val="auto"/>
                <w:sz w:val="24"/>
                <w:highlight w:val="none"/>
              </w:rPr>
            </w:pPr>
            <w:r>
              <w:rPr>
                <w:color w:val="auto"/>
                <w:sz w:val="24"/>
                <w:highlight w:val="none"/>
              </w:rPr>
              <w:t>陆生</w:t>
            </w:r>
          </w:p>
          <w:p w14:paraId="66905143">
            <w:pPr>
              <w:adjustRightInd w:val="0"/>
              <w:snapToGrid w:val="0"/>
              <w:jc w:val="center"/>
              <w:rPr>
                <w:color w:val="auto"/>
                <w:sz w:val="24"/>
                <w:highlight w:val="none"/>
              </w:rPr>
            </w:pPr>
            <w:r>
              <w:rPr>
                <w:color w:val="auto"/>
                <w:sz w:val="24"/>
                <w:highlight w:val="none"/>
              </w:rPr>
              <w:t>生态</w:t>
            </w:r>
          </w:p>
        </w:tc>
        <w:tc>
          <w:tcPr>
            <w:tcW w:w="1932" w:type="pct"/>
            <w:vAlign w:val="center"/>
          </w:tcPr>
          <w:p w14:paraId="3D004111">
            <w:pPr>
              <w:adjustRightInd w:val="0"/>
              <w:snapToGrid w:val="0"/>
              <w:jc w:val="left"/>
              <w:rPr>
                <w:color w:val="auto"/>
                <w:kern w:val="0"/>
                <w:sz w:val="24"/>
                <w:highlight w:val="none"/>
              </w:rPr>
            </w:pPr>
            <w:r>
              <w:rPr>
                <w:color w:val="auto"/>
                <w:sz w:val="24"/>
                <w:highlight w:val="none"/>
              </w:rPr>
              <w:t>①设置围挡</w:t>
            </w:r>
            <w:r>
              <w:rPr>
                <w:rFonts w:hint="eastAsia"/>
                <w:color w:val="auto"/>
                <w:sz w:val="24"/>
                <w:highlight w:val="none"/>
                <w:lang w:val="en-US" w:eastAsia="zh-CN"/>
              </w:rPr>
              <w:t>或围栏</w:t>
            </w:r>
            <w:r>
              <w:rPr>
                <w:color w:val="auto"/>
                <w:sz w:val="24"/>
                <w:highlight w:val="none"/>
              </w:rPr>
              <w:t>，控制施工作业范围</w:t>
            </w:r>
            <w:r>
              <w:rPr>
                <w:rFonts w:hint="eastAsia"/>
                <w:color w:val="auto"/>
                <w:sz w:val="24"/>
                <w:highlight w:val="none"/>
                <w:lang w:eastAsia="zh-CN"/>
              </w:rPr>
              <w:t>。</w:t>
            </w:r>
            <w:r>
              <w:rPr>
                <w:color w:val="auto"/>
                <w:sz w:val="24"/>
                <w:highlight w:val="none"/>
              </w:rPr>
              <w:t>②严格按照设计施工，减少基础开挖量，临时堆土进行苫盖</w:t>
            </w:r>
            <w:r>
              <w:rPr>
                <w:rFonts w:hint="eastAsia"/>
                <w:color w:val="auto"/>
                <w:sz w:val="24"/>
                <w:highlight w:val="none"/>
                <w:lang w:eastAsia="zh-CN"/>
              </w:rPr>
              <w:t>。</w:t>
            </w:r>
            <w:r>
              <w:rPr>
                <w:color w:val="auto"/>
                <w:sz w:val="24"/>
                <w:highlight w:val="none"/>
              </w:rPr>
              <w:t>③变电站建成后，站内空闲场地铺设方砖</w:t>
            </w:r>
            <w:r>
              <w:rPr>
                <w:rFonts w:hint="eastAsia"/>
                <w:color w:val="auto"/>
                <w:sz w:val="24"/>
                <w:highlight w:val="none"/>
                <w:lang w:eastAsia="zh-CN"/>
              </w:rPr>
              <w:t>，</w:t>
            </w:r>
            <w:r>
              <w:rPr>
                <w:rFonts w:hint="eastAsia"/>
                <w:color w:val="auto"/>
                <w:sz w:val="24"/>
                <w:highlight w:val="none"/>
                <w:lang w:val="en-US" w:eastAsia="zh-CN"/>
              </w:rPr>
              <w:t>站内道路做硬化处理</w:t>
            </w:r>
            <w:r>
              <w:rPr>
                <w:rFonts w:hint="eastAsia"/>
                <w:color w:val="auto"/>
                <w:sz w:val="24"/>
                <w:highlight w:val="none"/>
                <w:lang w:eastAsia="zh-CN"/>
              </w:rPr>
              <w:t>。</w:t>
            </w:r>
            <w:r>
              <w:rPr>
                <w:color w:val="auto"/>
                <w:sz w:val="24"/>
                <w:highlight w:val="none"/>
              </w:rPr>
              <w:t>④</w:t>
            </w:r>
            <w:r>
              <w:rPr>
                <w:rFonts w:hint="eastAsia"/>
                <w:color w:val="auto"/>
                <w:sz w:val="24"/>
                <w:highlight w:val="none"/>
              </w:rPr>
              <w:t>尽量</w:t>
            </w:r>
            <w:r>
              <w:rPr>
                <w:color w:val="auto"/>
                <w:sz w:val="24"/>
                <w:highlight w:val="none"/>
              </w:rPr>
              <w:t>利用现有道路，</w:t>
            </w:r>
            <w:r>
              <w:rPr>
                <w:rFonts w:hint="default" w:ascii="Times New Roman" w:hAnsi="Times New Roman" w:cs="Times New Roman"/>
                <w:color w:val="auto"/>
                <w:sz w:val="24"/>
                <w:szCs w:val="24"/>
                <w:highlight w:val="none"/>
              </w:rPr>
              <w:t>减少临时</w:t>
            </w:r>
            <w:r>
              <w:rPr>
                <w:rFonts w:hint="eastAsia" w:ascii="Times New Roman" w:hAnsi="Times New Roman" w:cs="Times New Roman"/>
                <w:color w:val="auto"/>
                <w:sz w:val="24"/>
                <w:szCs w:val="24"/>
                <w:highlight w:val="none"/>
                <w:lang w:val="en-US" w:eastAsia="zh-CN"/>
              </w:rPr>
              <w:t>施工</w:t>
            </w:r>
            <w:r>
              <w:rPr>
                <w:rFonts w:hint="default" w:ascii="Times New Roman" w:hAnsi="Times New Roman" w:cs="Times New Roman"/>
                <w:color w:val="auto"/>
                <w:sz w:val="24"/>
                <w:szCs w:val="24"/>
                <w:highlight w:val="none"/>
              </w:rPr>
              <w:t>便道的开辟</w:t>
            </w:r>
            <w:r>
              <w:rPr>
                <w:rFonts w:hint="eastAsia" w:cs="Times New Roman"/>
                <w:color w:val="auto"/>
                <w:sz w:val="24"/>
                <w:szCs w:val="24"/>
                <w:highlight w:val="none"/>
                <w:lang w:eastAsia="zh-CN"/>
              </w:rPr>
              <w:t>；</w:t>
            </w:r>
            <w:r>
              <w:rPr>
                <w:color w:val="auto"/>
                <w:sz w:val="24"/>
                <w:highlight w:val="none"/>
              </w:rPr>
              <w:t>临时施工场地布置在植被较少的区域</w:t>
            </w:r>
            <w:r>
              <w:rPr>
                <w:rFonts w:hint="eastAsia"/>
                <w:color w:val="auto"/>
                <w:sz w:val="24"/>
                <w:highlight w:val="none"/>
                <w:lang w:eastAsia="zh-CN"/>
              </w:rPr>
              <w:t>。</w:t>
            </w:r>
            <w:r>
              <w:rPr>
                <w:color w:val="auto"/>
                <w:sz w:val="24"/>
                <w:highlight w:val="none"/>
              </w:rPr>
              <w:t>⑤</w:t>
            </w:r>
            <w:r>
              <w:rPr>
                <w:rFonts w:hint="default" w:ascii="Times New Roman" w:hAnsi="Times New Roman" w:eastAsia="宋体" w:cs="Times New Roman"/>
                <w:color w:val="auto"/>
                <w:kern w:val="0"/>
                <w:sz w:val="24"/>
                <w:szCs w:val="24"/>
                <w:highlight w:val="none"/>
                <w:lang w:val="en-US" w:eastAsia="zh-CN" w:bidi="ar"/>
              </w:rPr>
              <w:t>山区应采用全方位长短腿与不等高基础设计，以减少土石方开挖。</w:t>
            </w:r>
            <w:r>
              <w:rPr>
                <w:color w:val="auto"/>
                <w:sz w:val="24"/>
                <w:highlight w:val="none"/>
              </w:rPr>
              <w:t>⑥</w:t>
            </w:r>
            <w:r>
              <w:rPr>
                <w:rFonts w:hint="default" w:ascii="Times New Roman" w:hAnsi="Times New Roman" w:cs="Times New Roman"/>
                <w:color w:val="auto"/>
                <w:sz w:val="24"/>
                <w:highlight w:val="none"/>
              </w:rPr>
              <w:t>线路选线尽量利用荒地、劣地，少占用耕地特别是基本农田；线路塔基确实无法避让永久基本农田的，应当在不妨碍机械化耕作的前提下，尽可能沿田间道路、沟渠、田坎铺设。</w:t>
            </w:r>
            <w:r>
              <w:rPr>
                <w:color w:val="auto"/>
                <w:sz w:val="24"/>
                <w:highlight w:val="none"/>
              </w:rPr>
              <w:t>⑦施工结束后通过撒播草籽、补植树木</w:t>
            </w:r>
            <w:r>
              <w:rPr>
                <w:rFonts w:hint="eastAsia"/>
                <w:color w:val="auto"/>
                <w:sz w:val="24"/>
                <w:highlight w:val="none"/>
              </w:rPr>
              <w:t>、复耕</w:t>
            </w:r>
            <w:r>
              <w:rPr>
                <w:color w:val="auto"/>
                <w:sz w:val="24"/>
                <w:highlight w:val="none"/>
              </w:rPr>
              <w:t>等恢复方式及时进行植被恢复</w:t>
            </w:r>
            <w:r>
              <w:rPr>
                <w:rFonts w:hint="eastAsia"/>
                <w:color w:val="auto"/>
                <w:sz w:val="24"/>
                <w:highlight w:val="none"/>
                <w:lang w:eastAsia="zh-CN"/>
              </w:rPr>
              <w:t>。</w:t>
            </w:r>
            <w:r>
              <w:rPr>
                <w:color w:val="auto"/>
                <w:sz w:val="24"/>
                <w:highlight w:val="none"/>
              </w:rPr>
              <w:t>⑧挖出的土方集中堆放，以减少对附近植被的覆盖，线路基坑开挖完工后，尽快浇注商品混凝土，并对其表层进行碾压，缩短裸露时间。</w:t>
            </w:r>
            <w:r>
              <w:rPr>
                <w:rFonts w:hint="eastAsia"/>
                <w:color w:val="auto"/>
                <w:sz w:val="24"/>
                <w:highlight w:val="none"/>
                <w:lang w:val="en-US" w:eastAsia="zh-CN"/>
              </w:rPr>
              <w:t>⑨</w:t>
            </w:r>
            <w:r>
              <w:rPr>
                <w:color w:val="auto"/>
                <w:sz w:val="24"/>
                <w:highlight w:val="none"/>
              </w:rPr>
              <w:t>进行表土剥离，并单独存放，用于临时占地植被恢复</w:t>
            </w:r>
            <w:r>
              <w:rPr>
                <w:rFonts w:hint="eastAsia"/>
                <w:color w:val="auto"/>
                <w:sz w:val="24"/>
                <w:highlight w:val="none"/>
                <w:lang w:eastAsia="zh-CN"/>
              </w:rPr>
              <w:t>；</w:t>
            </w:r>
            <w:r>
              <w:rPr>
                <w:rFonts w:hint="eastAsia" w:cs="Times New Roman"/>
                <w:color w:val="auto"/>
                <w:sz w:val="24"/>
                <w:szCs w:val="24"/>
                <w:highlight w:val="none"/>
                <w:lang w:val="en-US" w:eastAsia="zh-CN"/>
              </w:rPr>
              <w:t>牵张场设置地表隔离设施，经过耕地施工便道采取铺设钢板措施</w:t>
            </w:r>
            <w:r>
              <w:rPr>
                <w:rFonts w:hint="eastAsia"/>
                <w:color w:val="auto"/>
                <w:sz w:val="24"/>
                <w:highlight w:val="none"/>
                <w:lang w:eastAsia="zh-CN"/>
              </w:rPr>
              <w:t>。</w:t>
            </w:r>
            <w:r>
              <w:rPr>
                <w:rFonts w:hint="eastAsia"/>
                <w:color w:val="auto"/>
                <w:sz w:val="24"/>
                <w:highlight w:val="none"/>
                <w:lang w:val="en-US" w:eastAsia="zh-CN"/>
              </w:rPr>
              <w:t>⑩</w:t>
            </w:r>
            <w:r>
              <w:rPr>
                <w:color w:val="auto"/>
                <w:sz w:val="24"/>
                <w:highlight w:val="none"/>
              </w:rPr>
              <w:t>对施工人员进行环保知识宣传，提高施工人员的环保意识，</w:t>
            </w:r>
            <w:r>
              <w:rPr>
                <w:color w:val="auto"/>
                <w:kern w:val="0"/>
                <w:sz w:val="24"/>
                <w:highlight w:val="none"/>
              </w:rPr>
              <w:t>严禁捕猎野生动物，合理安排施工时间和作业工序，避免在晨昏和正午进行高噪声施工作业。</w:t>
            </w:r>
          </w:p>
          <w:p w14:paraId="498A56E0">
            <w:pPr>
              <w:adjustRightInd w:val="0"/>
              <w:snapToGrid w:val="0"/>
              <w:jc w:val="left"/>
              <w:rPr>
                <w:rFonts w:hint="default" w:eastAsia="宋体"/>
                <w:color w:val="auto"/>
                <w:sz w:val="24"/>
                <w:highlight w:val="none"/>
                <w:lang w:val="en-US" w:eastAsia="zh-CN"/>
              </w:rPr>
            </w:pPr>
            <w:r>
              <w:rPr>
                <w:rFonts w:hint="eastAsia"/>
                <w:b/>
                <w:bCs/>
                <w:color w:val="auto"/>
                <w:kern w:val="0"/>
                <w:sz w:val="24"/>
                <w:highlight w:val="none"/>
                <w:lang w:val="en-US" w:eastAsia="zh-CN"/>
              </w:rPr>
              <w:t>生态保护红线：</w:t>
            </w:r>
            <w:r>
              <w:rPr>
                <w:rFonts w:hint="default" w:ascii="Times New Roman" w:hAnsi="Times New Roman" w:eastAsia="宋体" w:cs="Times New Roman"/>
                <w:b w:val="0"/>
                <w:bCs/>
                <w:color w:val="auto"/>
                <w:spacing w:val="0"/>
                <w:w w:val="100"/>
                <w:position w:val="0"/>
                <w:sz w:val="24"/>
                <w:szCs w:val="24"/>
                <w:highlight w:val="none"/>
              </w:rPr>
              <w:t>本项目</w:t>
            </w:r>
            <w:r>
              <w:rPr>
                <w:rFonts w:hint="default" w:ascii="Times New Roman" w:hAnsi="Times New Roman" w:eastAsia="宋体" w:cs="Times New Roman"/>
                <w:b w:val="0"/>
                <w:bCs/>
                <w:color w:val="auto"/>
                <w:spacing w:val="0"/>
                <w:w w:val="100"/>
                <w:position w:val="0"/>
                <w:sz w:val="24"/>
                <w:szCs w:val="24"/>
                <w:highlight w:val="none"/>
                <w:lang w:val="en-US" w:eastAsia="zh-CN"/>
              </w:rPr>
              <w:t>输电线路一档跨越******，跨越线路长度约13m，最近铁塔距离该生态保护红线约46m</w:t>
            </w:r>
            <w:r>
              <w:rPr>
                <w:rFonts w:hint="eastAsia" w:cs="Times New Roman"/>
                <w:b w:val="0"/>
                <w:bCs/>
                <w:color w:val="auto"/>
                <w:spacing w:val="0"/>
                <w:w w:val="100"/>
                <w:position w:val="0"/>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施工期应加强管理，</w:t>
            </w:r>
            <w:r>
              <w:rPr>
                <w:rFonts w:hint="eastAsia" w:cs="Times New Roman"/>
                <w:b w:val="0"/>
                <w:bCs/>
                <w:color w:val="auto"/>
                <w:sz w:val="24"/>
                <w:szCs w:val="24"/>
                <w:highlight w:val="none"/>
                <w:lang w:val="en-US" w:eastAsia="zh-CN"/>
              </w:rPr>
              <w:t>塔基</w:t>
            </w:r>
            <w:r>
              <w:rPr>
                <w:rFonts w:hint="eastAsia" w:cs="Times New Roman"/>
                <w:color w:val="auto"/>
                <w:sz w:val="24"/>
                <w:highlight w:val="none"/>
                <w:lang w:val="en-US" w:eastAsia="zh-CN"/>
              </w:rPr>
              <w:t>靠近生态保护红线一侧设置施工围挡，</w:t>
            </w:r>
            <w:r>
              <w:rPr>
                <w:rFonts w:hint="default" w:ascii="Times New Roman" w:hAnsi="Times New Roman" w:eastAsia="宋体" w:cs="Times New Roman"/>
                <w:b w:val="0"/>
                <w:bCs/>
                <w:color w:val="auto"/>
                <w:sz w:val="24"/>
                <w:szCs w:val="24"/>
                <w:highlight w:val="none"/>
                <w:lang w:val="en-US" w:eastAsia="zh-CN"/>
              </w:rPr>
              <w:t>禁止施工车辆及人员进入</w:t>
            </w:r>
            <w:r>
              <w:rPr>
                <w:rFonts w:hint="eastAsia" w:ascii="Times New Roman" w:hAnsi="Times New Roman" w:cs="Times New Roman"/>
                <w:b w:val="0"/>
                <w:bCs/>
                <w:color w:val="auto"/>
                <w:sz w:val="24"/>
                <w:szCs w:val="24"/>
                <w:highlight w:val="none"/>
                <w:lang w:val="en-US" w:eastAsia="zh-CN"/>
              </w:rPr>
              <w:t>生态保护红线</w:t>
            </w:r>
            <w:r>
              <w:rPr>
                <w:rFonts w:hint="default" w:ascii="Times New Roman" w:hAnsi="Times New Roman" w:eastAsia="宋体" w:cs="Times New Roman"/>
                <w:b w:val="0"/>
                <w:bCs/>
                <w:color w:val="auto"/>
                <w:sz w:val="24"/>
                <w:szCs w:val="24"/>
                <w:highlight w:val="none"/>
                <w:lang w:val="en-US" w:eastAsia="zh-CN"/>
              </w:rPr>
              <w:t>内，禁止弃置固废、废水等</w:t>
            </w:r>
            <w:r>
              <w:rPr>
                <w:rFonts w:hint="eastAsia"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施工结束后，及时对临近</w:t>
            </w:r>
            <w:r>
              <w:rPr>
                <w:rFonts w:hint="eastAsia" w:ascii="Times New Roman" w:hAnsi="Times New Roman" w:cs="Times New Roman"/>
                <w:b w:val="0"/>
                <w:bCs/>
                <w:color w:val="auto"/>
                <w:sz w:val="24"/>
                <w:szCs w:val="24"/>
                <w:highlight w:val="none"/>
                <w:lang w:val="en-US" w:eastAsia="zh-CN"/>
              </w:rPr>
              <w:t>生态保护红线</w:t>
            </w:r>
            <w:r>
              <w:rPr>
                <w:rFonts w:hint="default" w:ascii="Times New Roman" w:hAnsi="Times New Roman" w:eastAsia="宋体" w:cs="Times New Roman"/>
                <w:b w:val="0"/>
                <w:bCs/>
                <w:color w:val="auto"/>
                <w:sz w:val="24"/>
                <w:szCs w:val="24"/>
                <w:highlight w:val="none"/>
                <w:lang w:val="en-US" w:eastAsia="zh-CN"/>
              </w:rPr>
              <w:t>施工作业区域进行清理，做到工完、料尽、场清、整洁，并恢复原有地貌。</w:t>
            </w:r>
          </w:p>
        </w:tc>
        <w:tc>
          <w:tcPr>
            <w:tcW w:w="671" w:type="pct"/>
            <w:vAlign w:val="center"/>
          </w:tcPr>
          <w:p w14:paraId="5B33998D">
            <w:pPr>
              <w:adjustRightInd w:val="0"/>
              <w:snapToGrid w:val="0"/>
              <w:jc w:val="center"/>
              <w:rPr>
                <w:color w:val="auto"/>
                <w:sz w:val="24"/>
                <w:highlight w:val="none"/>
              </w:rPr>
            </w:pPr>
            <w:r>
              <w:rPr>
                <w:color w:val="auto"/>
                <w:sz w:val="24"/>
                <w:highlight w:val="none"/>
              </w:rPr>
              <w:t>临时占地因地制宜恢复原有土地功能</w:t>
            </w:r>
          </w:p>
        </w:tc>
        <w:tc>
          <w:tcPr>
            <w:tcW w:w="1145" w:type="pct"/>
            <w:vAlign w:val="center"/>
          </w:tcPr>
          <w:p w14:paraId="6596AFAE">
            <w:pPr>
              <w:adjustRightInd w:val="0"/>
              <w:snapToGrid w:val="0"/>
              <w:jc w:val="left"/>
              <w:rPr>
                <w:color w:val="auto"/>
                <w:sz w:val="24"/>
                <w:highlight w:val="none"/>
              </w:rPr>
            </w:pPr>
            <w:r>
              <w:rPr>
                <w:color w:val="auto"/>
                <w:sz w:val="24"/>
                <w:highlight w:val="none"/>
              </w:rPr>
              <w:t>①线路巡检人员，沿固定巡检道路行驶，减少运行期对生态环境的影响。②定期对沿线生态保护和防护措施进行检查。</w:t>
            </w:r>
          </w:p>
        </w:tc>
        <w:tc>
          <w:tcPr>
            <w:tcW w:w="796" w:type="pct"/>
            <w:vAlign w:val="center"/>
          </w:tcPr>
          <w:p w14:paraId="60DE90E8">
            <w:pPr>
              <w:adjustRightInd w:val="0"/>
              <w:snapToGrid w:val="0"/>
              <w:jc w:val="center"/>
              <w:rPr>
                <w:color w:val="auto"/>
                <w:sz w:val="24"/>
                <w:highlight w:val="none"/>
              </w:rPr>
            </w:pPr>
            <w:r>
              <w:rPr>
                <w:color w:val="auto"/>
                <w:sz w:val="24"/>
                <w:highlight w:val="none"/>
              </w:rPr>
              <w:t>按要求落实</w:t>
            </w:r>
          </w:p>
        </w:tc>
      </w:tr>
      <w:tr w14:paraId="172F3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5FA6C17A">
            <w:pPr>
              <w:adjustRightInd w:val="0"/>
              <w:snapToGrid w:val="0"/>
              <w:jc w:val="center"/>
              <w:rPr>
                <w:color w:val="auto"/>
                <w:sz w:val="24"/>
                <w:highlight w:val="none"/>
              </w:rPr>
            </w:pPr>
            <w:r>
              <w:rPr>
                <w:color w:val="auto"/>
                <w:sz w:val="24"/>
                <w:highlight w:val="none"/>
              </w:rPr>
              <w:t>水生</w:t>
            </w:r>
          </w:p>
          <w:p w14:paraId="1B59617B">
            <w:pPr>
              <w:adjustRightInd w:val="0"/>
              <w:snapToGrid w:val="0"/>
              <w:jc w:val="center"/>
              <w:rPr>
                <w:color w:val="auto"/>
                <w:sz w:val="24"/>
                <w:highlight w:val="none"/>
              </w:rPr>
            </w:pPr>
            <w:r>
              <w:rPr>
                <w:color w:val="auto"/>
                <w:sz w:val="24"/>
                <w:highlight w:val="none"/>
              </w:rPr>
              <w:t>生态</w:t>
            </w:r>
          </w:p>
        </w:tc>
        <w:tc>
          <w:tcPr>
            <w:tcW w:w="1932" w:type="pct"/>
            <w:vAlign w:val="center"/>
          </w:tcPr>
          <w:p w14:paraId="4EFD5E56">
            <w:pPr>
              <w:adjustRightInd w:val="0"/>
              <w:snapToGrid w:val="0"/>
              <w:jc w:val="center"/>
              <w:rPr>
                <w:color w:val="auto"/>
                <w:sz w:val="24"/>
                <w:highlight w:val="none"/>
              </w:rPr>
            </w:pPr>
            <w:r>
              <w:rPr>
                <w:color w:val="auto"/>
                <w:sz w:val="24"/>
                <w:highlight w:val="none"/>
              </w:rPr>
              <w:t>/</w:t>
            </w:r>
          </w:p>
        </w:tc>
        <w:tc>
          <w:tcPr>
            <w:tcW w:w="671" w:type="pct"/>
            <w:vAlign w:val="center"/>
          </w:tcPr>
          <w:p w14:paraId="6918DAFD">
            <w:pPr>
              <w:adjustRightInd w:val="0"/>
              <w:snapToGrid w:val="0"/>
              <w:jc w:val="center"/>
              <w:rPr>
                <w:color w:val="auto"/>
                <w:sz w:val="24"/>
                <w:highlight w:val="none"/>
              </w:rPr>
            </w:pPr>
            <w:r>
              <w:rPr>
                <w:color w:val="auto"/>
                <w:sz w:val="24"/>
                <w:highlight w:val="none"/>
              </w:rPr>
              <w:t>/</w:t>
            </w:r>
          </w:p>
        </w:tc>
        <w:tc>
          <w:tcPr>
            <w:tcW w:w="1145" w:type="pct"/>
            <w:vAlign w:val="center"/>
          </w:tcPr>
          <w:p w14:paraId="7995FC44">
            <w:pPr>
              <w:adjustRightInd w:val="0"/>
              <w:snapToGrid w:val="0"/>
              <w:jc w:val="center"/>
              <w:rPr>
                <w:color w:val="auto"/>
                <w:sz w:val="24"/>
                <w:highlight w:val="none"/>
              </w:rPr>
            </w:pPr>
            <w:r>
              <w:rPr>
                <w:color w:val="auto"/>
                <w:sz w:val="24"/>
                <w:highlight w:val="none"/>
              </w:rPr>
              <w:t>/</w:t>
            </w:r>
          </w:p>
        </w:tc>
        <w:tc>
          <w:tcPr>
            <w:tcW w:w="796" w:type="pct"/>
            <w:vAlign w:val="center"/>
          </w:tcPr>
          <w:p w14:paraId="09FBAD2D">
            <w:pPr>
              <w:adjustRightInd w:val="0"/>
              <w:snapToGrid w:val="0"/>
              <w:jc w:val="center"/>
              <w:rPr>
                <w:color w:val="auto"/>
                <w:sz w:val="24"/>
                <w:highlight w:val="none"/>
              </w:rPr>
            </w:pPr>
            <w:r>
              <w:rPr>
                <w:color w:val="auto"/>
                <w:sz w:val="24"/>
                <w:highlight w:val="none"/>
              </w:rPr>
              <w:t>/</w:t>
            </w:r>
          </w:p>
        </w:tc>
      </w:tr>
      <w:tr w14:paraId="60D8B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0A4B29DD">
            <w:pPr>
              <w:adjustRightInd w:val="0"/>
              <w:snapToGrid w:val="0"/>
              <w:jc w:val="center"/>
              <w:rPr>
                <w:color w:val="auto"/>
                <w:sz w:val="24"/>
                <w:highlight w:val="none"/>
              </w:rPr>
            </w:pPr>
            <w:r>
              <w:rPr>
                <w:color w:val="auto"/>
                <w:sz w:val="24"/>
                <w:highlight w:val="none"/>
              </w:rPr>
              <w:t>地表水环境</w:t>
            </w:r>
          </w:p>
        </w:tc>
        <w:tc>
          <w:tcPr>
            <w:tcW w:w="1932" w:type="pct"/>
            <w:vAlign w:val="center"/>
          </w:tcPr>
          <w:p w14:paraId="0091CB72">
            <w:pPr>
              <w:adjustRightInd w:val="0"/>
              <w:snapToGrid w:val="0"/>
              <w:jc w:val="left"/>
              <w:rPr>
                <w:rFonts w:hint="eastAsia" w:eastAsia="宋体"/>
                <w:color w:val="auto"/>
                <w:sz w:val="24"/>
                <w:highlight w:val="none"/>
                <w:lang w:val="en-US" w:eastAsia="zh-CN"/>
              </w:rPr>
            </w:pPr>
            <w:r>
              <w:rPr>
                <w:color w:val="auto"/>
                <w:sz w:val="24"/>
                <w:highlight w:val="none"/>
              </w:rPr>
              <w:t>①变电站和输电线路均采用商品混凝土</w:t>
            </w:r>
            <w:r>
              <w:rPr>
                <w:rFonts w:hint="eastAsia"/>
                <w:color w:val="auto"/>
                <w:sz w:val="24"/>
                <w:highlight w:val="none"/>
                <w:lang w:val="en-US" w:eastAsia="zh-CN"/>
              </w:rPr>
              <w:t>无施工废水产生</w:t>
            </w:r>
            <w:r>
              <w:rPr>
                <w:rFonts w:hint="eastAsia"/>
                <w:color w:val="auto"/>
                <w:sz w:val="24"/>
                <w:highlight w:val="none"/>
                <w:lang w:eastAsia="zh-CN"/>
              </w:rPr>
              <w:t>。</w:t>
            </w:r>
            <w:r>
              <w:rPr>
                <w:color w:val="auto"/>
                <w:sz w:val="24"/>
                <w:highlight w:val="none"/>
              </w:rPr>
              <w:t>②施工期施工营地设置化粪池，化粪池要求采取防渗措施，化粪池</w:t>
            </w:r>
            <w:r>
              <w:rPr>
                <w:bCs/>
                <w:color w:val="auto"/>
                <w:sz w:val="24"/>
                <w:highlight w:val="none"/>
              </w:rPr>
              <w:t>定期委托环卫部门进行清掏</w:t>
            </w:r>
            <w:r>
              <w:rPr>
                <w:color w:val="auto"/>
                <w:sz w:val="24"/>
                <w:highlight w:val="none"/>
              </w:rPr>
              <w:t>。</w:t>
            </w:r>
            <w:r>
              <w:rPr>
                <w:rFonts w:hint="eastAsia"/>
                <w:color w:val="auto"/>
                <w:sz w:val="24"/>
                <w:highlight w:val="none"/>
                <w:lang w:val="en-US" w:eastAsia="zh-CN"/>
              </w:rPr>
              <w:t>③跨越庙沟、筛子河及其他冲沟等水体时：不在水中立塔；</w:t>
            </w:r>
            <w:r>
              <w:rPr>
                <w:rFonts w:hint="default" w:ascii="Times New Roman" w:hAnsi="Times New Roman" w:cs="Times New Roman"/>
                <w:color w:val="auto"/>
                <w:sz w:val="24"/>
                <w:szCs w:val="24"/>
                <w:highlight w:val="none"/>
                <w:lang w:val="en-US" w:eastAsia="zh-CN"/>
              </w:rPr>
              <w:t>禁止向水体中倾倒施工废水、固体废弃物</w:t>
            </w:r>
            <w:r>
              <w:rPr>
                <w:rFonts w:hint="default" w:ascii="Times New Roman" w:hAnsi="Times New Roman" w:eastAsia="宋体" w:cs="Times New Roman"/>
                <w:b w:val="0"/>
                <w:bCs w:val="0"/>
                <w:color w:val="auto"/>
                <w:spacing w:val="0"/>
                <w:w w:val="100"/>
                <w:position w:val="0"/>
                <w:sz w:val="24"/>
                <w:szCs w:val="24"/>
                <w:highlight w:val="none"/>
                <w:lang w:val="en-US" w:eastAsia="zh-CN"/>
              </w:rPr>
              <w:t>；合理安排施工期，避免雨季、雨天施工，施工结束后及时进行植被恢复，避免雨水冲刷横流。</w:t>
            </w:r>
          </w:p>
        </w:tc>
        <w:tc>
          <w:tcPr>
            <w:tcW w:w="671" w:type="pct"/>
            <w:vAlign w:val="center"/>
          </w:tcPr>
          <w:p w14:paraId="743684D1">
            <w:pPr>
              <w:adjustRightInd w:val="0"/>
              <w:snapToGrid w:val="0"/>
              <w:jc w:val="center"/>
              <w:rPr>
                <w:color w:val="auto"/>
                <w:sz w:val="24"/>
                <w:highlight w:val="none"/>
              </w:rPr>
            </w:pPr>
            <w:r>
              <w:rPr>
                <w:color w:val="auto"/>
                <w:sz w:val="24"/>
                <w:highlight w:val="none"/>
              </w:rPr>
              <w:t>废（污）水不外排</w:t>
            </w:r>
          </w:p>
        </w:tc>
        <w:tc>
          <w:tcPr>
            <w:tcW w:w="1145" w:type="pct"/>
            <w:vAlign w:val="center"/>
          </w:tcPr>
          <w:p w14:paraId="6A922CCD">
            <w:pPr>
              <w:adjustRightInd w:val="0"/>
              <w:snapToGrid w:val="0"/>
              <w:jc w:val="left"/>
              <w:rPr>
                <w:color w:val="auto"/>
                <w:sz w:val="24"/>
                <w:highlight w:val="none"/>
              </w:rPr>
            </w:pPr>
            <w:r>
              <w:rPr>
                <w:rFonts w:hint="default" w:ascii="Times New Roman" w:hAnsi="Times New Roman" w:cs="Times New Roman"/>
                <w:color w:val="auto"/>
                <w:sz w:val="24"/>
                <w:szCs w:val="24"/>
                <w:highlight w:val="none"/>
              </w:rPr>
              <w:t>生活污水经站区</w:t>
            </w:r>
            <w:r>
              <w:rPr>
                <w:rFonts w:hint="default" w:ascii="Times New Roman" w:hAnsi="Times New Roman" w:cs="Times New Roman"/>
                <w:color w:val="auto"/>
                <w:sz w:val="24"/>
                <w:szCs w:val="24"/>
                <w:highlight w:val="none"/>
                <w:lang w:val="en-US" w:eastAsia="zh-CN"/>
              </w:rPr>
              <w:t>化粪池处理</w:t>
            </w:r>
            <w:r>
              <w:rPr>
                <w:rFonts w:hint="eastAsia" w:ascii="Times New Roman" w:hAnsi="Times New Roman" w:cs="Times New Roman"/>
                <w:color w:val="auto"/>
                <w:sz w:val="24"/>
                <w:szCs w:val="24"/>
                <w:highlight w:val="none"/>
                <w:lang w:val="en-US" w:eastAsia="zh-CN"/>
              </w:rPr>
              <w:t>，化粪池定期清掏，不外排</w:t>
            </w:r>
            <w:r>
              <w:rPr>
                <w:rFonts w:hint="eastAsia" w:ascii="Times New Roman" w:hAnsi="Times New Roman" w:cs="Times New Roman"/>
                <w:color w:val="auto"/>
                <w:sz w:val="24"/>
                <w:highlight w:val="none"/>
                <w:lang w:val="en-US" w:eastAsia="zh-CN"/>
              </w:rPr>
              <w:t>。</w:t>
            </w:r>
          </w:p>
        </w:tc>
        <w:tc>
          <w:tcPr>
            <w:tcW w:w="796" w:type="pct"/>
            <w:vAlign w:val="center"/>
          </w:tcPr>
          <w:p w14:paraId="04CDA8FD">
            <w:pPr>
              <w:adjustRightInd w:val="0"/>
              <w:snapToGrid w:val="0"/>
              <w:jc w:val="center"/>
              <w:rPr>
                <w:color w:val="auto"/>
                <w:sz w:val="24"/>
                <w:highlight w:val="none"/>
              </w:rPr>
            </w:pPr>
            <w:r>
              <w:rPr>
                <w:color w:val="auto"/>
                <w:sz w:val="24"/>
                <w:highlight w:val="none"/>
              </w:rPr>
              <w:t>污水不外排</w:t>
            </w:r>
          </w:p>
        </w:tc>
      </w:tr>
      <w:tr w14:paraId="078402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74E59AC2">
            <w:pPr>
              <w:adjustRightInd w:val="0"/>
              <w:snapToGrid w:val="0"/>
              <w:jc w:val="center"/>
              <w:rPr>
                <w:color w:val="auto"/>
                <w:sz w:val="24"/>
                <w:highlight w:val="none"/>
              </w:rPr>
            </w:pPr>
            <w:r>
              <w:rPr>
                <w:color w:val="auto"/>
                <w:sz w:val="24"/>
                <w:highlight w:val="none"/>
              </w:rPr>
              <w:t>地下水及土壤环境</w:t>
            </w:r>
          </w:p>
        </w:tc>
        <w:tc>
          <w:tcPr>
            <w:tcW w:w="1932" w:type="pct"/>
            <w:vAlign w:val="center"/>
          </w:tcPr>
          <w:p w14:paraId="276F0B59">
            <w:pPr>
              <w:adjustRightInd w:val="0"/>
              <w:snapToGrid w:val="0"/>
              <w:jc w:val="center"/>
              <w:rPr>
                <w:color w:val="auto"/>
                <w:sz w:val="24"/>
                <w:highlight w:val="none"/>
              </w:rPr>
            </w:pPr>
            <w:r>
              <w:rPr>
                <w:color w:val="auto"/>
                <w:sz w:val="24"/>
                <w:highlight w:val="none"/>
              </w:rPr>
              <w:t>/</w:t>
            </w:r>
          </w:p>
        </w:tc>
        <w:tc>
          <w:tcPr>
            <w:tcW w:w="671" w:type="pct"/>
            <w:vAlign w:val="center"/>
          </w:tcPr>
          <w:p w14:paraId="6A132D5F">
            <w:pPr>
              <w:adjustRightInd w:val="0"/>
              <w:snapToGrid w:val="0"/>
              <w:jc w:val="center"/>
              <w:rPr>
                <w:color w:val="auto"/>
                <w:sz w:val="24"/>
                <w:highlight w:val="none"/>
              </w:rPr>
            </w:pPr>
            <w:r>
              <w:rPr>
                <w:color w:val="auto"/>
                <w:sz w:val="24"/>
                <w:highlight w:val="none"/>
              </w:rPr>
              <w:t>/</w:t>
            </w:r>
          </w:p>
        </w:tc>
        <w:tc>
          <w:tcPr>
            <w:tcW w:w="1145" w:type="pct"/>
            <w:vAlign w:val="center"/>
          </w:tcPr>
          <w:p w14:paraId="7CC07FC2">
            <w:pPr>
              <w:adjustRightInd w:val="0"/>
              <w:snapToGrid w:val="0"/>
              <w:jc w:val="center"/>
              <w:rPr>
                <w:color w:val="auto"/>
                <w:sz w:val="24"/>
                <w:highlight w:val="none"/>
              </w:rPr>
            </w:pPr>
            <w:r>
              <w:rPr>
                <w:bCs/>
                <w:color w:val="auto"/>
                <w:sz w:val="24"/>
                <w:highlight w:val="none"/>
              </w:rPr>
              <w:t>/</w:t>
            </w:r>
          </w:p>
        </w:tc>
        <w:tc>
          <w:tcPr>
            <w:tcW w:w="796" w:type="pct"/>
            <w:vAlign w:val="center"/>
          </w:tcPr>
          <w:p w14:paraId="7FF2250B">
            <w:pPr>
              <w:adjustRightInd w:val="0"/>
              <w:snapToGrid w:val="0"/>
              <w:jc w:val="center"/>
              <w:rPr>
                <w:color w:val="auto"/>
                <w:sz w:val="24"/>
                <w:highlight w:val="none"/>
              </w:rPr>
            </w:pPr>
            <w:r>
              <w:rPr>
                <w:color w:val="auto"/>
                <w:sz w:val="24"/>
                <w:highlight w:val="none"/>
              </w:rPr>
              <w:t>/</w:t>
            </w:r>
          </w:p>
        </w:tc>
      </w:tr>
      <w:tr w14:paraId="78425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6E6734B5">
            <w:pPr>
              <w:adjustRightInd w:val="0"/>
              <w:snapToGrid w:val="0"/>
              <w:jc w:val="center"/>
              <w:rPr>
                <w:color w:val="auto"/>
                <w:sz w:val="24"/>
                <w:highlight w:val="none"/>
              </w:rPr>
            </w:pPr>
            <w:r>
              <w:rPr>
                <w:color w:val="auto"/>
                <w:sz w:val="24"/>
                <w:highlight w:val="none"/>
              </w:rPr>
              <w:t>声环境</w:t>
            </w:r>
          </w:p>
        </w:tc>
        <w:tc>
          <w:tcPr>
            <w:tcW w:w="1932" w:type="pct"/>
            <w:vAlign w:val="center"/>
          </w:tcPr>
          <w:p w14:paraId="085DF4C0">
            <w:pPr>
              <w:adjustRightInd w:val="0"/>
              <w:snapToGrid w:val="0"/>
              <w:jc w:val="left"/>
              <w:rPr>
                <w:color w:val="auto"/>
                <w:sz w:val="24"/>
                <w:highlight w:val="none"/>
              </w:rPr>
            </w:pPr>
            <w:r>
              <w:rPr>
                <w:color w:val="auto"/>
                <w:sz w:val="24"/>
                <w:highlight w:val="none"/>
              </w:rPr>
              <w:t>①</w:t>
            </w:r>
            <w:r>
              <w:rPr>
                <w:rFonts w:hint="default" w:ascii="Times New Roman" w:hAnsi="Times New Roman" w:cs="Times New Roman"/>
                <w:color w:val="auto"/>
                <w:kern w:val="0"/>
                <w:sz w:val="24"/>
                <w:szCs w:val="24"/>
                <w:highlight w:val="none"/>
                <w:lang w:val="en-US" w:eastAsia="zh-CN" w:bidi="ar"/>
              </w:rPr>
              <w:t>变电站围墙采用装配式围墙，</w:t>
            </w:r>
            <w:r>
              <w:rPr>
                <w:rFonts w:hint="eastAsia" w:cs="Times New Roman"/>
                <w:color w:val="auto"/>
                <w:kern w:val="0"/>
                <w:sz w:val="24"/>
                <w:szCs w:val="24"/>
                <w:highlight w:val="none"/>
                <w:lang w:val="en-US" w:eastAsia="zh-CN" w:bidi="ar"/>
              </w:rPr>
              <w:t>配电装置室</w:t>
            </w:r>
            <w:r>
              <w:rPr>
                <w:rFonts w:hint="default" w:ascii="Times New Roman" w:hAnsi="Times New Roman" w:cs="Times New Roman"/>
                <w:color w:val="auto"/>
                <w:kern w:val="0"/>
                <w:sz w:val="24"/>
                <w:szCs w:val="24"/>
                <w:highlight w:val="none"/>
                <w:lang w:val="en-US" w:eastAsia="zh-CN" w:bidi="ar"/>
              </w:rPr>
              <w:t>采用装配式钢框架结构；</w:t>
            </w:r>
            <w:r>
              <w:rPr>
                <w:rFonts w:hint="default" w:ascii="Times New Roman" w:hAnsi="Times New Roman" w:cs="Times New Roman"/>
                <w:color w:val="auto"/>
                <w:sz w:val="24"/>
                <w:szCs w:val="24"/>
              </w:rPr>
              <w:t>变电站、</w:t>
            </w:r>
            <w:r>
              <w:rPr>
                <w:rFonts w:hint="eastAsia" w:ascii="Times New Roman" w:hAnsi="Times New Roman" w:cs="Times New Roman"/>
                <w:color w:val="auto"/>
                <w:sz w:val="24"/>
                <w:szCs w:val="24"/>
                <w:lang w:val="en-US" w:eastAsia="zh-CN"/>
              </w:rPr>
              <w:t>施工营地、</w:t>
            </w:r>
            <w:r>
              <w:rPr>
                <w:rFonts w:hint="default" w:ascii="Times New Roman" w:hAnsi="Times New Roman" w:cs="Times New Roman"/>
                <w:color w:val="auto"/>
                <w:sz w:val="24"/>
                <w:szCs w:val="24"/>
              </w:rPr>
              <w:t>站外供水</w:t>
            </w:r>
            <w:r>
              <w:rPr>
                <w:rFonts w:hint="eastAsia" w:ascii="Times New Roman" w:hAnsi="Times New Roman" w:cs="Times New Roman"/>
                <w:color w:val="auto"/>
                <w:sz w:val="24"/>
                <w:szCs w:val="24"/>
                <w:lang w:val="en-US" w:eastAsia="zh-CN"/>
              </w:rPr>
              <w:t>及排</w:t>
            </w:r>
            <w:r>
              <w:rPr>
                <w:rFonts w:hint="default" w:ascii="Times New Roman" w:hAnsi="Times New Roman" w:cs="Times New Roman"/>
                <w:color w:val="auto"/>
                <w:sz w:val="24"/>
                <w:szCs w:val="24"/>
              </w:rPr>
              <w:t>水管线</w:t>
            </w:r>
            <w:r>
              <w:rPr>
                <w:rFonts w:hint="eastAsia" w:cs="Times New Roman"/>
                <w:color w:val="auto"/>
                <w:sz w:val="24"/>
                <w:szCs w:val="24"/>
                <w:lang w:val="en-US" w:eastAsia="zh-CN"/>
              </w:rPr>
              <w:t>等</w:t>
            </w:r>
            <w:r>
              <w:rPr>
                <w:rFonts w:hint="default" w:ascii="Times New Roman" w:hAnsi="Times New Roman" w:cs="Times New Roman"/>
                <w:color w:val="auto"/>
                <w:sz w:val="24"/>
                <w:szCs w:val="24"/>
              </w:rPr>
              <w:t>施工时应设置施工围挡</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会对施工</w:t>
            </w:r>
            <w:r>
              <w:rPr>
                <w:rFonts w:hint="eastAsia" w:ascii="Times New Roman" w:hAnsi="Times New Roman" w:cs="Times New Roman"/>
                <w:color w:val="auto"/>
                <w:sz w:val="24"/>
                <w:szCs w:val="24"/>
                <w:lang w:val="en-US" w:eastAsia="zh-CN"/>
              </w:rPr>
              <w:t>噪声</w:t>
            </w:r>
            <w:r>
              <w:rPr>
                <w:rFonts w:hint="default" w:ascii="Times New Roman" w:hAnsi="Times New Roman" w:cs="Times New Roman"/>
                <w:color w:val="auto"/>
                <w:sz w:val="24"/>
                <w:szCs w:val="24"/>
              </w:rPr>
              <w:t>起到一定的</w:t>
            </w:r>
            <w:r>
              <w:rPr>
                <w:rFonts w:hint="eastAsia" w:ascii="Times New Roman" w:hAnsi="Times New Roman" w:cs="Times New Roman"/>
                <w:color w:val="auto"/>
                <w:sz w:val="24"/>
                <w:szCs w:val="24"/>
                <w:lang w:val="en-US" w:eastAsia="zh-CN"/>
              </w:rPr>
              <w:t>隔声</w:t>
            </w:r>
            <w:r>
              <w:rPr>
                <w:rFonts w:hint="default" w:ascii="Times New Roman" w:hAnsi="Times New Roman" w:cs="Times New Roman"/>
                <w:color w:val="auto"/>
                <w:sz w:val="24"/>
                <w:szCs w:val="24"/>
              </w:rPr>
              <w:t>作用</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highlight w:val="none"/>
              </w:rPr>
              <w:t>②避免多台高噪声施工机械同时进行施工</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③施工过程中选用低噪声的施工设备，加强设备维护保养</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④</w:t>
            </w:r>
            <w:r>
              <w:rPr>
                <w:rFonts w:hint="default" w:ascii="Times New Roman" w:hAnsi="Times New Roman" w:cs="Times New Roman"/>
                <w:color w:val="auto"/>
                <w:sz w:val="24"/>
                <w:szCs w:val="24"/>
                <w:highlight w:val="none"/>
              </w:rPr>
              <w:t>严格控制施工作业时间，因特殊需要必须连续施工作业的，应当取得地方人民政府住房和城乡建设、生态环境主管部门或者地方人民政府指定的部门的证明，并在施工现场显著位置公示。</w:t>
            </w:r>
          </w:p>
        </w:tc>
        <w:tc>
          <w:tcPr>
            <w:tcW w:w="671" w:type="pct"/>
            <w:vAlign w:val="center"/>
          </w:tcPr>
          <w:p w14:paraId="178319EF">
            <w:pPr>
              <w:adjustRightInd w:val="0"/>
              <w:snapToGrid w:val="0"/>
              <w:jc w:val="center"/>
              <w:rPr>
                <w:color w:val="auto"/>
                <w:sz w:val="24"/>
                <w:highlight w:val="none"/>
              </w:rPr>
            </w:pPr>
            <w:r>
              <w:rPr>
                <w:color w:val="auto"/>
                <w:sz w:val="24"/>
                <w:highlight w:val="none"/>
              </w:rPr>
              <w:t>满足《建筑施工噪声排放标准》（GB12523-20</w:t>
            </w:r>
            <w:r>
              <w:rPr>
                <w:rFonts w:hint="eastAsia"/>
                <w:color w:val="auto"/>
                <w:sz w:val="24"/>
                <w:highlight w:val="none"/>
                <w:lang w:val="en-US" w:eastAsia="zh-CN"/>
              </w:rPr>
              <w:t>25</w:t>
            </w:r>
            <w:r>
              <w:rPr>
                <w:color w:val="auto"/>
                <w:sz w:val="24"/>
                <w:highlight w:val="none"/>
              </w:rPr>
              <w:t>）</w:t>
            </w:r>
          </w:p>
        </w:tc>
        <w:tc>
          <w:tcPr>
            <w:tcW w:w="1145" w:type="pct"/>
            <w:vAlign w:val="center"/>
          </w:tcPr>
          <w:p w14:paraId="1B86916F">
            <w:pPr>
              <w:adjustRightInd w:val="0"/>
              <w:snapToGrid w:val="0"/>
              <w:jc w:val="left"/>
              <w:rPr>
                <w:color w:val="auto"/>
                <w:sz w:val="24"/>
                <w:highlight w:val="none"/>
              </w:rPr>
            </w:pPr>
            <w:r>
              <w:rPr>
                <w:rFonts w:hint="default" w:ascii="Times New Roman" w:hAnsi="Times New Roman" w:cs="Times New Roman"/>
                <w:color w:val="auto"/>
                <w:sz w:val="24"/>
                <w:szCs w:val="24"/>
                <w:highlight w:val="none"/>
              </w:rPr>
              <w:t>①在满足经济和技术的条件下选用低噪声设备，合理安排设备布局，按时维护</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②加强项目日常监督管理及运营期噪声的监测工作。</w:t>
            </w:r>
          </w:p>
        </w:tc>
        <w:tc>
          <w:tcPr>
            <w:tcW w:w="796" w:type="pct"/>
            <w:vAlign w:val="center"/>
          </w:tcPr>
          <w:p w14:paraId="14861E3A">
            <w:pPr>
              <w:adjustRightInd w:val="0"/>
              <w:snapToGrid w:val="0"/>
              <w:jc w:val="center"/>
              <w:rPr>
                <w:color w:val="auto"/>
                <w:sz w:val="24"/>
                <w:highlight w:val="none"/>
              </w:rPr>
            </w:pPr>
            <w:r>
              <w:rPr>
                <w:color w:val="auto"/>
                <w:sz w:val="24"/>
                <w:highlight w:val="none"/>
              </w:rPr>
              <w:t>满足《工业企业厂界环境噪声排放标准》（GB12348-2008）及《声环境质量标准》（GB3096-2008）相应标准限值</w:t>
            </w:r>
          </w:p>
        </w:tc>
      </w:tr>
      <w:tr w14:paraId="7655B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23BC7CD1">
            <w:pPr>
              <w:adjustRightInd w:val="0"/>
              <w:snapToGrid w:val="0"/>
              <w:jc w:val="center"/>
              <w:rPr>
                <w:color w:val="auto"/>
                <w:sz w:val="24"/>
                <w:highlight w:val="none"/>
              </w:rPr>
            </w:pPr>
            <w:r>
              <w:rPr>
                <w:color w:val="auto"/>
                <w:sz w:val="24"/>
                <w:highlight w:val="none"/>
              </w:rPr>
              <w:t>振动</w:t>
            </w:r>
          </w:p>
        </w:tc>
        <w:tc>
          <w:tcPr>
            <w:tcW w:w="1932" w:type="pct"/>
            <w:vAlign w:val="center"/>
          </w:tcPr>
          <w:p w14:paraId="110D1BE5">
            <w:pPr>
              <w:adjustRightInd w:val="0"/>
              <w:snapToGrid w:val="0"/>
              <w:jc w:val="center"/>
              <w:rPr>
                <w:color w:val="auto"/>
                <w:sz w:val="24"/>
                <w:highlight w:val="none"/>
              </w:rPr>
            </w:pPr>
            <w:r>
              <w:rPr>
                <w:color w:val="auto"/>
                <w:sz w:val="24"/>
                <w:highlight w:val="none"/>
              </w:rPr>
              <w:t>/</w:t>
            </w:r>
          </w:p>
        </w:tc>
        <w:tc>
          <w:tcPr>
            <w:tcW w:w="671" w:type="pct"/>
            <w:vAlign w:val="center"/>
          </w:tcPr>
          <w:p w14:paraId="3EF3DBFC">
            <w:pPr>
              <w:adjustRightInd w:val="0"/>
              <w:snapToGrid w:val="0"/>
              <w:jc w:val="center"/>
              <w:rPr>
                <w:color w:val="auto"/>
                <w:sz w:val="24"/>
                <w:highlight w:val="none"/>
              </w:rPr>
            </w:pPr>
            <w:r>
              <w:rPr>
                <w:color w:val="auto"/>
                <w:sz w:val="24"/>
                <w:highlight w:val="none"/>
              </w:rPr>
              <w:t>/</w:t>
            </w:r>
          </w:p>
        </w:tc>
        <w:tc>
          <w:tcPr>
            <w:tcW w:w="1145" w:type="pct"/>
            <w:vAlign w:val="center"/>
          </w:tcPr>
          <w:p w14:paraId="2C4B2A70">
            <w:pPr>
              <w:adjustRightInd w:val="0"/>
              <w:snapToGrid w:val="0"/>
              <w:jc w:val="center"/>
              <w:rPr>
                <w:color w:val="auto"/>
                <w:sz w:val="24"/>
                <w:highlight w:val="none"/>
              </w:rPr>
            </w:pPr>
            <w:r>
              <w:rPr>
                <w:color w:val="auto"/>
                <w:sz w:val="24"/>
                <w:highlight w:val="none"/>
              </w:rPr>
              <w:t>/</w:t>
            </w:r>
          </w:p>
        </w:tc>
        <w:tc>
          <w:tcPr>
            <w:tcW w:w="796" w:type="pct"/>
            <w:vAlign w:val="center"/>
          </w:tcPr>
          <w:p w14:paraId="5AA7E6FF">
            <w:pPr>
              <w:adjustRightInd w:val="0"/>
              <w:snapToGrid w:val="0"/>
              <w:jc w:val="center"/>
              <w:rPr>
                <w:color w:val="auto"/>
                <w:sz w:val="24"/>
                <w:highlight w:val="none"/>
              </w:rPr>
            </w:pPr>
            <w:r>
              <w:rPr>
                <w:color w:val="auto"/>
                <w:sz w:val="24"/>
                <w:highlight w:val="none"/>
              </w:rPr>
              <w:t>/</w:t>
            </w:r>
          </w:p>
        </w:tc>
      </w:tr>
      <w:tr w14:paraId="1B288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522B4C43">
            <w:pPr>
              <w:adjustRightInd w:val="0"/>
              <w:snapToGrid w:val="0"/>
              <w:jc w:val="center"/>
              <w:rPr>
                <w:color w:val="auto"/>
                <w:sz w:val="24"/>
                <w:highlight w:val="none"/>
              </w:rPr>
            </w:pPr>
            <w:r>
              <w:rPr>
                <w:color w:val="auto"/>
                <w:sz w:val="24"/>
                <w:highlight w:val="none"/>
              </w:rPr>
              <w:t>大气</w:t>
            </w:r>
          </w:p>
          <w:p w14:paraId="62198114">
            <w:pPr>
              <w:adjustRightInd w:val="0"/>
              <w:snapToGrid w:val="0"/>
              <w:jc w:val="center"/>
              <w:rPr>
                <w:color w:val="auto"/>
                <w:sz w:val="24"/>
                <w:highlight w:val="none"/>
              </w:rPr>
            </w:pPr>
            <w:r>
              <w:rPr>
                <w:color w:val="auto"/>
                <w:sz w:val="24"/>
                <w:highlight w:val="none"/>
              </w:rPr>
              <w:t>环境</w:t>
            </w:r>
          </w:p>
        </w:tc>
        <w:tc>
          <w:tcPr>
            <w:tcW w:w="1932" w:type="pct"/>
            <w:vAlign w:val="center"/>
          </w:tcPr>
          <w:p w14:paraId="0779B4D6">
            <w:pPr>
              <w:adjustRightInd w:val="0"/>
              <w:snapToGrid w:val="0"/>
              <w:jc w:val="left"/>
              <w:rPr>
                <w:color w:val="auto"/>
                <w:sz w:val="24"/>
                <w:highlight w:val="none"/>
              </w:rPr>
            </w:pPr>
            <w:r>
              <w:rPr>
                <w:rFonts w:hint="eastAsia" w:ascii="Times New Roman" w:hAnsi="Times New Roman" w:cs="Times New Roman"/>
                <w:color w:val="auto"/>
                <w:kern w:val="0"/>
                <w:sz w:val="24"/>
                <w:szCs w:val="24"/>
                <w:highlight w:val="none"/>
                <w:lang w:val="en-US" w:eastAsia="zh-CN" w:bidi="ar"/>
              </w:rPr>
              <w:t>①</w:t>
            </w:r>
            <w:r>
              <w:rPr>
                <w:rFonts w:hint="default" w:ascii="Times New Roman" w:hAnsi="Times New Roman" w:cs="Times New Roman"/>
                <w:color w:val="auto"/>
                <w:kern w:val="0"/>
                <w:sz w:val="24"/>
                <w:szCs w:val="24"/>
                <w:highlight w:val="none"/>
                <w:lang w:val="en-US" w:eastAsia="zh-CN" w:bidi="ar"/>
              </w:rPr>
              <w:t>变电站围墙采用装配式围墙，</w:t>
            </w:r>
            <w:r>
              <w:rPr>
                <w:rFonts w:hint="eastAsia" w:cs="Times New Roman"/>
                <w:color w:val="auto"/>
                <w:kern w:val="0"/>
                <w:sz w:val="24"/>
                <w:szCs w:val="24"/>
                <w:highlight w:val="none"/>
                <w:lang w:val="en-US" w:eastAsia="zh-CN" w:bidi="ar"/>
              </w:rPr>
              <w:t>配电装置室</w:t>
            </w:r>
            <w:r>
              <w:rPr>
                <w:rFonts w:hint="default" w:ascii="Times New Roman" w:hAnsi="Times New Roman" w:cs="Times New Roman"/>
                <w:color w:val="auto"/>
                <w:kern w:val="0"/>
                <w:sz w:val="24"/>
                <w:szCs w:val="24"/>
                <w:highlight w:val="none"/>
                <w:lang w:val="en-US" w:eastAsia="zh-CN" w:bidi="ar"/>
              </w:rPr>
              <w:t>采用装配式钢框架结构；</w:t>
            </w:r>
            <w:r>
              <w:rPr>
                <w:rFonts w:hint="default" w:ascii="Times New Roman" w:hAnsi="Times New Roman" w:cs="Times New Roman"/>
                <w:color w:val="auto"/>
                <w:sz w:val="24"/>
                <w:szCs w:val="24"/>
                <w:highlight w:val="none"/>
              </w:rPr>
              <w:t>变电站、</w:t>
            </w:r>
            <w:r>
              <w:rPr>
                <w:rFonts w:hint="eastAsia" w:ascii="Times New Roman" w:hAnsi="Times New Roman" w:cs="Times New Roman"/>
                <w:color w:val="auto"/>
                <w:sz w:val="24"/>
                <w:szCs w:val="24"/>
                <w:highlight w:val="none"/>
                <w:lang w:val="en-US" w:eastAsia="zh-CN"/>
              </w:rPr>
              <w:t>施工营地、</w:t>
            </w:r>
            <w:r>
              <w:rPr>
                <w:rFonts w:hint="default" w:ascii="Times New Roman" w:hAnsi="Times New Roman" w:cs="Times New Roman"/>
                <w:color w:val="auto"/>
                <w:sz w:val="24"/>
                <w:szCs w:val="24"/>
                <w:highlight w:val="none"/>
              </w:rPr>
              <w:t>站外供水</w:t>
            </w:r>
            <w:r>
              <w:rPr>
                <w:rFonts w:hint="eastAsia" w:ascii="Times New Roman" w:hAnsi="Times New Roman" w:cs="Times New Roman"/>
                <w:color w:val="auto"/>
                <w:sz w:val="24"/>
                <w:szCs w:val="24"/>
                <w:highlight w:val="none"/>
                <w:lang w:val="en-US" w:eastAsia="zh-CN"/>
              </w:rPr>
              <w:t>及排</w:t>
            </w:r>
            <w:r>
              <w:rPr>
                <w:rFonts w:hint="default" w:ascii="Times New Roman" w:hAnsi="Times New Roman" w:cs="Times New Roman"/>
                <w:color w:val="auto"/>
                <w:sz w:val="24"/>
                <w:szCs w:val="24"/>
                <w:highlight w:val="none"/>
              </w:rPr>
              <w:t>水管线</w:t>
            </w:r>
            <w:r>
              <w:rPr>
                <w:rFonts w:hint="eastAsia"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施工时应设置施工围挡</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会对施工扬尘起到一定的阻隔作用</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②土石方及时回填</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③站外供水</w:t>
            </w:r>
            <w:r>
              <w:rPr>
                <w:rFonts w:hint="eastAsia" w:ascii="Times New Roman" w:hAnsi="Times New Roman" w:cs="Times New Roman"/>
                <w:color w:val="auto"/>
                <w:sz w:val="24"/>
                <w:szCs w:val="24"/>
                <w:highlight w:val="none"/>
                <w:lang w:val="en-US" w:eastAsia="zh-CN"/>
              </w:rPr>
              <w:t>及排水</w:t>
            </w:r>
            <w:r>
              <w:rPr>
                <w:rFonts w:hint="default" w:ascii="Times New Roman" w:hAnsi="Times New Roman" w:cs="Times New Roman"/>
                <w:color w:val="auto"/>
                <w:sz w:val="24"/>
                <w:szCs w:val="24"/>
                <w:highlight w:val="none"/>
              </w:rPr>
              <w:t>管线</w:t>
            </w:r>
            <w:r>
              <w:rPr>
                <w:rFonts w:hint="default" w:ascii="Times New Roman" w:hAnsi="Times New Roman" w:cs="Times New Roman"/>
                <w:color w:val="auto"/>
                <w:kern w:val="0"/>
                <w:sz w:val="24"/>
                <w:szCs w:val="24"/>
                <w:highlight w:val="none"/>
              </w:rPr>
              <w:t>采取分段施工、分段回填、及时清运的施工方式，减少土壤裸露时间和裸露面积</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④施工场地适时洒水</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⑤</w:t>
            </w:r>
            <w:r>
              <w:rPr>
                <w:rFonts w:hint="default" w:ascii="Times New Roman" w:hAnsi="Times New Roman" w:cs="Times New Roman"/>
                <w:color w:val="auto"/>
                <w:sz w:val="24"/>
                <w:szCs w:val="24"/>
                <w:highlight w:val="none"/>
              </w:rPr>
              <w:t>尽量不在大风天施工作业，尤其是引起地面扰动的作业等防尘措施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⑥</w:t>
            </w:r>
            <w:r>
              <w:rPr>
                <w:rFonts w:hint="default" w:ascii="Times New Roman" w:hAnsi="Times New Roman" w:cs="Times New Roman"/>
                <w:color w:val="auto"/>
                <w:sz w:val="24"/>
                <w:szCs w:val="24"/>
                <w:highlight w:val="none"/>
              </w:rPr>
              <w:t>物料堆放等采取密目网遮盖</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⑦运输车辆采取篷布苫盖，封闭运输，防止飞散、掉落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⑧出入车辆除泥清洗</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⑨施工现场禁止将包装物、可燃垃圾等固体废弃物就地焚烧</w:t>
            </w:r>
            <w:r>
              <w:rPr>
                <w:rFonts w:hint="eastAsia"/>
                <w:color w:val="auto"/>
                <w:sz w:val="24"/>
                <w:highlight w:val="none"/>
              </w:rPr>
              <w:t>。</w:t>
            </w:r>
          </w:p>
        </w:tc>
        <w:tc>
          <w:tcPr>
            <w:tcW w:w="671" w:type="pct"/>
            <w:vAlign w:val="center"/>
          </w:tcPr>
          <w:p w14:paraId="631B1DAD">
            <w:pPr>
              <w:adjustRightInd w:val="0"/>
              <w:snapToGrid w:val="0"/>
              <w:jc w:val="center"/>
              <w:rPr>
                <w:color w:val="auto"/>
                <w:sz w:val="24"/>
                <w:highlight w:val="none"/>
              </w:rPr>
            </w:pPr>
            <w:r>
              <w:rPr>
                <w:color w:val="auto"/>
                <w:sz w:val="24"/>
                <w:highlight w:val="none"/>
              </w:rPr>
              <w:t>按要求落实</w:t>
            </w:r>
          </w:p>
        </w:tc>
        <w:tc>
          <w:tcPr>
            <w:tcW w:w="1145" w:type="pct"/>
            <w:vAlign w:val="center"/>
          </w:tcPr>
          <w:p w14:paraId="224E6EEF">
            <w:pPr>
              <w:adjustRightInd w:val="0"/>
              <w:snapToGrid w:val="0"/>
              <w:jc w:val="center"/>
              <w:rPr>
                <w:color w:val="auto"/>
                <w:sz w:val="24"/>
                <w:highlight w:val="none"/>
              </w:rPr>
            </w:pPr>
            <w:r>
              <w:rPr>
                <w:color w:val="auto"/>
                <w:sz w:val="24"/>
                <w:highlight w:val="none"/>
              </w:rPr>
              <w:t>/</w:t>
            </w:r>
          </w:p>
        </w:tc>
        <w:tc>
          <w:tcPr>
            <w:tcW w:w="796" w:type="pct"/>
            <w:vAlign w:val="center"/>
          </w:tcPr>
          <w:p w14:paraId="36028EAE">
            <w:pPr>
              <w:adjustRightInd w:val="0"/>
              <w:snapToGrid w:val="0"/>
              <w:jc w:val="center"/>
              <w:rPr>
                <w:color w:val="auto"/>
                <w:sz w:val="24"/>
                <w:highlight w:val="none"/>
              </w:rPr>
            </w:pPr>
            <w:r>
              <w:rPr>
                <w:color w:val="auto"/>
                <w:sz w:val="24"/>
                <w:highlight w:val="none"/>
              </w:rPr>
              <w:t>/</w:t>
            </w:r>
          </w:p>
        </w:tc>
      </w:tr>
      <w:tr w14:paraId="3743C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7D54EE96">
            <w:pPr>
              <w:adjustRightInd w:val="0"/>
              <w:snapToGrid w:val="0"/>
              <w:jc w:val="center"/>
              <w:rPr>
                <w:color w:val="auto"/>
                <w:sz w:val="24"/>
                <w:highlight w:val="none"/>
              </w:rPr>
            </w:pPr>
            <w:r>
              <w:rPr>
                <w:color w:val="auto"/>
                <w:sz w:val="24"/>
                <w:highlight w:val="none"/>
              </w:rPr>
              <w:t>固体</w:t>
            </w:r>
          </w:p>
          <w:p w14:paraId="3E51FE42">
            <w:pPr>
              <w:adjustRightInd w:val="0"/>
              <w:snapToGrid w:val="0"/>
              <w:jc w:val="center"/>
              <w:rPr>
                <w:color w:val="auto"/>
                <w:sz w:val="24"/>
                <w:highlight w:val="none"/>
              </w:rPr>
            </w:pPr>
            <w:r>
              <w:rPr>
                <w:color w:val="auto"/>
                <w:sz w:val="24"/>
                <w:highlight w:val="none"/>
              </w:rPr>
              <w:t>废物</w:t>
            </w:r>
          </w:p>
        </w:tc>
        <w:tc>
          <w:tcPr>
            <w:tcW w:w="1932" w:type="pct"/>
            <w:vAlign w:val="center"/>
          </w:tcPr>
          <w:p w14:paraId="6A93F6ED">
            <w:pPr>
              <w:pStyle w:val="8"/>
              <w:spacing w:after="0"/>
              <w:ind w:left="0" w:leftChars="0" w:firstLine="0"/>
              <w:jc w:val="left"/>
              <w:rPr>
                <w:color w:val="auto"/>
                <w:sz w:val="24"/>
                <w:highlight w:val="none"/>
              </w:rPr>
            </w:pPr>
            <w:r>
              <w:rPr>
                <w:color w:val="auto"/>
                <w:sz w:val="24"/>
                <w:highlight w:val="none"/>
              </w:rPr>
              <w:t>①本项目挖填平衡，无弃土产生。②建筑垃圾分类收集</w:t>
            </w:r>
            <w:r>
              <w:rPr>
                <w:rFonts w:hint="eastAsia"/>
                <w:lang w:eastAsia="zh-CN"/>
              </w:rPr>
              <w:t>，</w:t>
            </w:r>
            <w:r>
              <w:rPr>
                <w:rFonts w:hint="eastAsia" w:cs="Times New Roman"/>
                <w:color w:val="auto"/>
                <w:sz w:val="24"/>
                <w:highlight w:val="none"/>
                <w:lang w:val="en-US" w:eastAsia="zh-CN"/>
              </w:rPr>
              <w:t>拆除10千伏的水泥杆、导线等可回收建材由建设单位及时回收处置；施工结束后</w:t>
            </w:r>
            <w:r>
              <w:rPr>
                <w:rFonts w:hint="default" w:ascii="Times New Roman" w:hAnsi="Times New Roman" w:eastAsia="宋体" w:cs="Times New Roman"/>
                <w:color w:val="auto"/>
                <w:sz w:val="24"/>
                <w:highlight w:val="none"/>
                <w:lang w:val="en-US" w:eastAsia="zh-CN"/>
              </w:rPr>
              <w:t>10千伏临时电源线路拆除的塔基基础、废包装材料等</w:t>
            </w:r>
            <w:r>
              <w:rPr>
                <w:rFonts w:hint="default" w:ascii="Times New Roman" w:hAnsi="Times New Roman" w:eastAsia="宋体" w:cs="Times New Roman"/>
                <w:color w:val="auto"/>
                <w:sz w:val="24"/>
                <w:highlight w:val="none"/>
                <w:lang w:eastAsia="zh-CN"/>
              </w:rPr>
              <w:t>建筑</w:t>
            </w:r>
            <w:r>
              <w:rPr>
                <w:rFonts w:hint="default" w:ascii="Times New Roman" w:hAnsi="Times New Roman" w:eastAsia="宋体" w:cs="Times New Roman"/>
                <w:color w:val="auto"/>
                <w:sz w:val="24"/>
                <w:highlight w:val="none"/>
              </w:rPr>
              <w:t>垃圾</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szCs w:val="24"/>
                <w:highlight w:val="none"/>
                <w:lang w:val="en-US" w:eastAsia="zh-CN"/>
              </w:rPr>
              <w:t>拟运至</w:t>
            </w:r>
            <w:r>
              <w:rPr>
                <w:rFonts w:hint="eastAsia" w:cs="Times New Roman"/>
                <w:color w:val="auto"/>
                <w:sz w:val="24"/>
                <w:szCs w:val="24"/>
                <w:highlight w:val="none"/>
                <w:lang w:val="en-US" w:eastAsia="zh-CN"/>
              </w:rPr>
              <w:t>政府部门指定的地点处置</w:t>
            </w:r>
            <w:r>
              <w:rPr>
                <w:rFonts w:hint="eastAsia" w:ascii="Times New Roman" w:hAnsi="Times New Roman" w:cs="Times New Roman"/>
                <w:color w:val="auto"/>
                <w:sz w:val="24"/>
                <w:szCs w:val="24"/>
                <w:highlight w:val="none"/>
                <w:lang w:eastAsia="zh-CN"/>
              </w:rPr>
              <w:t>。</w:t>
            </w:r>
            <w:r>
              <w:rPr>
                <w:color w:val="auto"/>
                <w:sz w:val="24"/>
                <w:highlight w:val="none"/>
              </w:rPr>
              <w:fldChar w:fldCharType="begin"/>
            </w:r>
            <w:r>
              <w:rPr>
                <w:color w:val="auto"/>
                <w:sz w:val="24"/>
                <w:highlight w:val="none"/>
              </w:rPr>
              <w:instrText xml:space="preserve"> = 3 \* GB3 \* MERGEFORMAT </w:instrText>
            </w:r>
            <w:r>
              <w:rPr>
                <w:color w:val="auto"/>
                <w:sz w:val="24"/>
                <w:highlight w:val="none"/>
              </w:rPr>
              <w:fldChar w:fldCharType="separate"/>
            </w:r>
            <w:r>
              <w:rPr>
                <w:color w:val="auto"/>
                <w:sz w:val="24"/>
                <w:highlight w:val="none"/>
              </w:rPr>
              <w:t>③</w:t>
            </w:r>
            <w:r>
              <w:rPr>
                <w:color w:val="auto"/>
                <w:sz w:val="24"/>
                <w:highlight w:val="none"/>
              </w:rPr>
              <w:fldChar w:fldCharType="end"/>
            </w:r>
            <w:r>
              <w:rPr>
                <w:color w:val="auto"/>
                <w:sz w:val="24"/>
                <w:highlight w:val="none"/>
              </w:rPr>
              <w:t>生活垃圾集中堆放，定期运至附近垃圾收集点，由当地环卫部门统一清运处置，严禁随意丢弃和堆放</w:t>
            </w:r>
            <w:r>
              <w:rPr>
                <w:rFonts w:hint="eastAsia"/>
                <w:color w:val="auto"/>
                <w:sz w:val="24"/>
                <w:highlight w:val="none"/>
              </w:rPr>
              <w:t>。</w:t>
            </w:r>
          </w:p>
        </w:tc>
        <w:tc>
          <w:tcPr>
            <w:tcW w:w="671" w:type="pct"/>
            <w:vAlign w:val="center"/>
          </w:tcPr>
          <w:p w14:paraId="4974D0D7">
            <w:pPr>
              <w:adjustRightInd w:val="0"/>
              <w:snapToGrid w:val="0"/>
              <w:jc w:val="center"/>
              <w:rPr>
                <w:color w:val="auto"/>
                <w:sz w:val="24"/>
                <w:highlight w:val="none"/>
              </w:rPr>
            </w:pPr>
            <w:r>
              <w:rPr>
                <w:color w:val="auto"/>
                <w:sz w:val="24"/>
                <w:highlight w:val="none"/>
              </w:rPr>
              <w:t>按要求处置</w:t>
            </w:r>
          </w:p>
        </w:tc>
        <w:tc>
          <w:tcPr>
            <w:tcW w:w="1145" w:type="pct"/>
            <w:vAlign w:val="center"/>
          </w:tcPr>
          <w:p w14:paraId="217CB3C8">
            <w:pPr>
              <w:adjustRightInd w:val="0"/>
              <w:snapToGrid w:val="0"/>
              <w:jc w:val="left"/>
              <w:rPr>
                <w:color w:val="auto"/>
                <w:sz w:val="24"/>
                <w:highlight w:val="none"/>
              </w:rPr>
            </w:pPr>
            <w:r>
              <w:rPr>
                <w:color w:val="auto"/>
                <w:sz w:val="24"/>
                <w:highlight w:val="none"/>
              </w:rPr>
              <w:t>①</w:t>
            </w:r>
            <w:r>
              <w:rPr>
                <w:rFonts w:hint="default" w:ascii="Times New Roman" w:hAnsi="Times New Roman" w:cs="Times New Roman"/>
                <w:color w:val="auto"/>
                <w:sz w:val="24"/>
                <w:highlight w:val="none"/>
                <w:lang w:val="en-US" w:eastAsia="zh-CN"/>
              </w:rPr>
              <w:t>少量生活垃圾经站内垃圾桶分类集中收集，定期清运至附近垃圾收集点，由环卫部门统一清运</w:t>
            </w:r>
            <w:r>
              <w:rPr>
                <w:rFonts w:hint="eastAsia" w:cs="Times New Roman"/>
                <w:color w:val="auto"/>
                <w:sz w:val="24"/>
                <w:highlight w:val="none"/>
                <w:lang w:val="en-US" w:eastAsia="zh-CN"/>
              </w:rPr>
              <w:t>处置。②</w:t>
            </w:r>
            <w:r>
              <w:rPr>
                <w:rFonts w:hint="default" w:ascii="Times New Roman" w:hAnsi="Times New Roman" w:cs="Times New Roman"/>
                <w:color w:val="auto"/>
                <w:sz w:val="24"/>
                <w:szCs w:val="24"/>
                <w:highlight w:val="none"/>
              </w:rPr>
              <w:t>事故油经</w:t>
            </w:r>
            <w:r>
              <w:rPr>
                <w:rFonts w:hint="eastAsia" w:cs="Times New Roman"/>
                <w:color w:val="auto"/>
                <w:sz w:val="24"/>
                <w:szCs w:val="24"/>
                <w:highlight w:val="none"/>
                <w:lang w:val="en-US" w:eastAsia="zh-CN"/>
              </w:rPr>
              <w:t>事故油坑、排油管、</w:t>
            </w:r>
            <w:r>
              <w:rPr>
                <w:rFonts w:hint="default" w:ascii="Times New Roman" w:hAnsi="Times New Roman" w:cs="Times New Roman"/>
                <w:color w:val="auto"/>
                <w:sz w:val="24"/>
                <w:szCs w:val="24"/>
                <w:highlight w:val="none"/>
              </w:rPr>
              <w:t>事故油池收集后交有危险废物处理资质的单位回收处置</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③报废的免维护蓄电池交有危险废物处理资质的单位置换后直接回收</w:t>
            </w:r>
            <w:r>
              <w:rPr>
                <w:color w:val="auto"/>
                <w:sz w:val="24"/>
                <w:highlight w:val="none"/>
              </w:rPr>
              <w:t>。</w:t>
            </w:r>
          </w:p>
        </w:tc>
        <w:tc>
          <w:tcPr>
            <w:tcW w:w="796" w:type="pct"/>
            <w:vAlign w:val="center"/>
          </w:tcPr>
          <w:p w14:paraId="4809B3CE">
            <w:pPr>
              <w:adjustRightInd w:val="0"/>
              <w:snapToGrid w:val="0"/>
              <w:jc w:val="center"/>
              <w:rPr>
                <w:color w:val="auto"/>
                <w:sz w:val="24"/>
                <w:highlight w:val="none"/>
              </w:rPr>
            </w:pPr>
            <w:r>
              <w:rPr>
                <w:color w:val="auto"/>
                <w:sz w:val="24"/>
                <w:highlight w:val="none"/>
              </w:rPr>
              <w:t>按要求处置</w:t>
            </w:r>
          </w:p>
        </w:tc>
      </w:tr>
      <w:tr w14:paraId="2B5F3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3F8A0596">
            <w:pPr>
              <w:adjustRightInd w:val="0"/>
              <w:snapToGrid w:val="0"/>
              <w:jc w:val="center"/>
              <w:rPr>
                <w:color w:val="auto"/>
                <w:sz w:val="24"/>
                <w:highlight w:val="none"/>
              </w:rPr>
            </w:pPr>
            <w:r>
              <w:rPr>
                <w:color w:val="auto"/>
                <w:sz w:val="24"/>
                <w:highlight w:val="none"/>
              </w:rPr>
              <w:t>电磁</w:t>
            </w:r>
          </w:p>
          <w:p w14:paraId="2D051D17">
            <w:pPr>
              <w:adjustRightInd w:val="0"/>
              <w:snapToGrid w:val="0"/>
              <w:jc w:val="center"/>
              <w:rPr>
                <w:color w:val="auto"/>
                <w:sz w:val="24"/>
                <w:highlight w:val="none"/>
              </w:rPr>
            </w:pPr>
            <w:r>
              <w:rPr>
                <w:color w:val="auto"/>
                <w:sz w:val="24"/>
                <w:highlight w:val="none"/>
              </w:rPr>
              <w:t>环境</w:t>
            </w:r>
          </w:p>
        </w:tc>
        <w:tc>
          <w:tcPr>
            <w:tcW w:w="1932" w:type="pct"/>
            <w:vAlign w:val="center"/>
          </w:tcPr>
          <w:p w14:paraId="3839CDC7">
            <w:pPr>
              <w:adjustRightInd w:val="0"/>
              <w:snapToGrid w:val="0"/>
              <w:jc w:val="center"/>
              <w:rPr>
                <w:color w:val="auto"/>
                <w:sz w:val="24"/>
                <w:highlight w:val="none"/>
              </w:rPr>
            </w:pPr>
            <w:r>
              <w:rPr>
                <w:color w:val="auto"/>
                <w:sz w:val="24"/>
                <w:highlight w:val="none"/>
              </w:rPr>
              <w:t>/</w:t>
            </w:r>
          </w:p>
        </w:tc>
        <w:tc>
          <w:tcPr>
            <w:tcW w:w="671" w:type="pct"/>
            <w:vAlign w:val="center"/>
          </w:tcPr>
          <w:p w14:paraId="1C981DA4">
            <w:pPr>
              <w:adjustRightInd w:val="0"/>
              <w:snapToGrid w:val="0"/>
              <w:jc w:val="center"/>
              <w:rPr>
                <w:color w:val="auto"/>
                <w:sz w:val="24"/>
                <w:highlight w:val="none"/>
              </w:rPr>
            </w:pPr>
            <w:r>
              <w:rPr>
                <w:color w:val="auto"/>
                <w:sz w:val="24"/>
                <w:highlight w:val="none"/>
              </w:rPr>
              <w:t>/</w:t>
            </w:r>
          </w:p>
        </w:tc>
        <w:tc>
          <w:tcPr>
            <w:tcW w:w="1145" w:type="pct"/>
            <w:vAlign w:val="center"/>
          </w:tcPr>
          <w:p w14:paraId="12B5E7F6">
            <w:pPr>
              <w:adjustRightInd w:val="0"/>
              <w:snapToGrid w:val="0"/>
              <w:jc w:val="left"/>
              <w:rPr>
                <w:color w:val="auto"/>
                <w:sz w:val="24"/>
                <w:highlight w:val="none"/>
              </w:rPr>
            </w:pPr>
            <w:r>
              <w:rPr>
                <w:rFonts w:hint="default" w:ascii="Times New Roman" w:hAnsi="Times New Roman" w:cs="Times New Roman"/>
                <w:color w:val="auto"/>
                <w:sz w:val="24"/>
                <w:szCs w:val="24"/>
                <w:highlight w:val="none"/>
              </w:rPr>
              <w:t>①合理安排设备布局，按时维护</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②加强项目日常监督管理及运营期工频电场、工频磁场的监测工作。</w:t>
            </w:r>
          </w:p>
        </w:tc>
        <w:tc>
          <w:tcPr>
            <w:tcW w:w="796" w:type="pct"/>
            <w:vAlign w:val="center"/>
          </w:tcPr>
          <w:p w14:paraId="67907180">
            <w:pPr>
              <w:adjustRightInd w:val="0"/>
              <w:snapToGrid w:val="0"/>
              <w:jc w:val="center"/>
              <w:rPr>
                <w:color w:val="auto"/>
                <w:sz w:val="24"/>
                <w:highlight w:val="none"/>
              </w:rPr>
            </w:pPr>
            <w:r>
              <w:rPr>
                <w:color w:val="auto"/>
                <w:sz w:val="24"/>
                <w:highlight w:val="none"/>
              </w:rPr>
              <w:t>满足《电磁环境控制限值》（GB8702-2014）相应标准限值</w:t>
            </w:r>
          </w:p>
        </w:tc>
      </w:tr>
      <w:tr w14:paraId="19ACB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7DE72C8D">
            <w:pPr>
              <w:adjustRightInd w:val="0"/>
              <w:snapToGrid w:val="0"/>
              <w:jc w:val="center"/>
              <w:rPr>
                <w:color w:val="auto"/>
                <w:sz w:val="24"/>
                <w:highlight w:val="none"/>
              </w:rPr>
            </w:pPr>
            <w:r>
              <w:rPr>
                <w:color w:val="auto"/>
                <w:sz w:val="24"/>
                <w:highlight w:val="none"/>
              </w:rPr>
              <w:t>环境</w:t>
            </w:r>
          </w:p>
          <w:p w14:paraId="28A52AD7">
            <w:pPr>
              <w:adjustRightInd w:val="0"/>
              <w:snapToGrid w:val="0"/>
              <w:jc w:val="center"/>
              <w:rPr>
                <w:color w:val="auto"/>
                <w:sz w:val="24"/>
                <w:highlight w:val="none"/>
              </w:rPr>
            </w:pPr>
            <w:r>
              <w:rPr>
                <w:color w:val="auto"/>
                <w:sz w:val="24"/>
                <w:highlight w:val="none"/>
              </w:rPr>
              <w:t>风险</w:t>
            </w:r>
          </w:p>
        </w:tc>
        <w:tc>
          <w:tcPr>
            <w:tcW w:w="1932" w:type="pct"/>
            <w:vAlign w:val="center"/>
          </w:tcPr>
          <w:p w14:paraId="63693945">
            <w:pPr>
              <w:adjustRightInd w:val="0"/>
              <w:snapToGrid w:val="0"/>
              <w:jc w:val="center"/>
              <w:rPr>
                <w:color w:val="auto"/>
                <w:sz w:val="24"/>
                <w:highlight w:val="none"/>
              </w:rPr>
            </w:pPr>
            <w:r>
              <w:rPr>
                <w:color w:val="auto"/>
                <w:sz w:val="24"/>
                <w:highlight w:val="none"/>
              </w:rPr>
              <w:t>/</w:t>
            </w:r>
          </w:p>
        </w:tc>
        <w:tc>
          <w:tcPr>
            <w:tcW w:w="671" w:type="pct"/>
            <w:vAlign w:val="center"/>
          </w:tcPr>
          <w:p w14:paraId="56C6EAA0">
            <w:pPr>
              <w:adjustRightInd w:val="0"/>
              <w:snapToGrid w:val="0"/>
              <w:jc w:val="center"/>
              <w:rPr>
                <w:color w:val="auto"/>
                <w:sz w:val="24"/>
                <w:highlight w:val="none"/>
              </w:rPr>
            </w:pPr>
            <w:r>
              <w:rPr>
                <w:color w:val="auto"/>
                <w:sz w:val="24"/>
                <w:highlight w:val="none"/>
              </w:rPr>
              <w:t>/</w:t>
            </w:r>
          </w:p>
        </w:tc>
        <w:tc>
          <w:tcPr>
            <w:tcW w:w="1145" w:type="pct"/>
            <w:vAlign w:val="center"/>
          </w:tcPr>
          <w:p w14:paraId="2823DECF">
            <w:pPr>
              <w:adjustRightInd w:val="0"/>
              <w:snapToGrid w:val="0"/>
              <w:jc w:val="left"/>
              <w:rPr>
                <w:color w:val="auto"/>
                <w:sz w:val="24"/>
                <w:highlight w:val="none"/>
              </w:rPr>
            </w:pPr>
            <w:r>
              <w:rPr>
                <w:color w:val="auto"/>
                <w:sz w:val="24"/>
                <w:highlight w:val="none"/>
              </w:rPr>
              <w:t>变电站设置事故油池（容积为</w:t>
            </w:r>
            <w:r>
              <w:rPr>
                <w:rFonts w:hint="eastAsia"/>
                <w:color w:val="auto"/>
                <w:sz w:val="24"/>
                <w:highlight w:val="none"/>
                <w:lang w:val="en-US" w:eastAsia="zh-CN"/>
              </w:rPr>
              <w:t>25</w:t>
            </w:r>
            <w:r>
              <w:rPr>
                <w:color w:val="auto"/>
                <w:sz w:val="24"/>
                <w:highlight w:val="none"/>
              </w:rPr>
              <w:t>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主变下设置</w:t>
            </w:r>
            <w:r>
              <w:rPr>
                <w:color w:val="auto"/>
                <w:sz w:val="24"/>
                <w:highlight w:val="none"/>
              </w:rPr>
              <w:t>事故油坑</w:t>
            </w:r>
            <w:r>
              <w:rPr>
                <w:rFonts w:hint="eastAsia"/>
                <w:color w:val="auto"/>
                <w:sz w:val="24"/>
                <w:szCs w:val="24"/>
                <w:highlight w:val="none"/>
                <w:lang w:val="en-US" w:eastAsia="zh-CN"/>
              </w:rPr>
              <w:t>（容积为</w:t>
            </w:r>
            <w:r>
              <w:rPr>
                <w:rFonts w:hint="eastAsia" w:cs="Times New Roman"/>
                <w:b w:val="0"/>
                <w:bCs w:val="0"/>
                <w:color w:val="auto"/>
                <w:sz w:val="24"/>
                <w:szCs w:val="24"/>
                <w:highlight w:val="none"/>
                <w:lang w:val="en-US" w:eastAsia="zh-CN"/>
              </w:rPr>
              <w:t>18</w:t>
            </w:r>
            <w:r>
              <w:rPr>
                <w:rFonts w:hint="eastAsia" w:ascii="Times New Roman" w:hAnsi="Times New Roman" w:cs="Times New Roman"/>
                <w:b w:val="0"/>
                <w:bCs w:val="0"/>
                <w:color w:val="auto"/>
                <w:sz w:val="24"/>
                <w:szCs w:val="24"/>
                <w:highlight w:val="none"/>
                <w:lang w:val="en-US" w:eastAsia="zh-CN"/>
              </w:rPr>
              <w:t>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color w:val="auto"/>
                <w:sz w:val="24"/>
                <w:szCs w:val="24"/>
                <w:highlight w:val="none"/>
                <w:lang w:val="en-US" w:eastAsia="zh-CN"/>
              </w:rPr>
              <w:t>）</w:t>
            </w:r>
            <w:r>
              <w:rPr>
                <w:color w:val="auto"/>
                <w:sz w:val="24"/>
                <w:highlight w:val="none"/>
              </w:rPr>
              <w:t>，事故油坑及事故油池防渗层为至少1m厚黏土层</w:t>
            </w:r>
            <w:r>
              <w:rPr>
                <w:rFonts w:hint="default" w:ascii="Times New Roman" w:hAnsi="Times New Roman" w:cs="Times New Roman"/>
                <w:color w:val="auto"/>
                <w:sz w:val="24"/>
                <w:szCs w:val="24"/>
                <w:highlight w:val="none"/>
              </w:rPr>
              <w:t>（渗透系数≤10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cm/s）</w:t>
            </w:r>
            <w:r>
              <w:rPr>
                <w:color w:val="auto"/>
                <w:sz w:val="24"/>
                <w:highlight w:val="none"/>
              </w:rPr>
              <w:t>或至少2mm厚高密度聚乙烯，或至少2mm厚的其他人工材料。定期对电气设备进行检修、维护，制定事故应急预案。</w:t>
            </w:r>
          </w:p>
        </w:tc>
        <w:tc>
          <w:tcPr>
            <w:tcW w:w="796" w:type="pct"/>
            <w:vAlign w:val="center"/>
          </w:tcPr>
          <w:p w14:paraId="03276725">
            <w:pPr>
              <w:adjustRightInd w:val="0"/>
              <w:snapToGrid w:val="0"/>
              <w:jc w:val="center"/>
              <w:rPr>
                <w:color w:val="auto"/>
                <w:sz w:val="24"/>
                <w:highlight w:val="none"/>
              </w:rPr>
            </w:pPr>
            <w:r>
              <w:rPr>
                <w:color w:val="auto"/>
                <w:sz w:val="24"/>
                <w:highlight w:val="none"/>
              </w:rPr>
              <w:t>按要求处置</w:t>
            </w:r>
          </w:p>
        </w:tc>
      </w:tr>
      <w:tr w14:paraId="1277F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11CB595B">
            <w:pPr>
              <w:adjustRightInd w:val="0"/>
              <w:snapToGrid w:val="0"/>
              <w:jc w:val="center"/>
              <w:rPr>
                <w:color w:val="auto"/>
                <w:sz w:val="24"/>
                <w:highlight w:val="none"/>
              </w:rPr>
            </w:pPr>
            <w:r>
              <w:rPr>
                <w:color w:val="auto"/>
                <w:sz w:val="24"/>
                <w:highlight w:val="none"/>
              </w:rPr>
              <w:t>环境</w:t>
            </w:r>
          </w:p>
          <w:p w14:paraId="412FBAE5">
            <w:pPr>
              <w:adjustRightInd w:val="0"/>
              <w:snapToGrid w:val="0"/>
              <w:jc w:val="center"/>
              <w:rPr>
                <w:color w:val="auto"/>
                <w:sz w:val="24"/>
                <w:highlight w:val="none"/>
              </w:rPr>
            </w:pPr>
            <w:r>
              <w:rPr>
                <w:color w:val="auto"/>
                <w:sz w:val="24"/>
                <w:highlight w:val="none"/>
              </w:rPr>
              <w:t>监测</w:t>
            </w:r>
          </w:p>
        </w:tc>
        <w:tc>
          <w:tcPr>
            <w:tcW w:w="1932" w:type="pct"/>
            <w:vAlign w:val="center"/>
          </w:tcPr>
          <w:p w14:paraId="5F21BDEE">
            <w:pPr>
              <w:adjustRightInd w:val="0"/>
              <w:snapToGrid w:val="0"/>
              <w:jc w:val="center"/>
              <w:rPr>
                <w:color w:val="auto"/>
                <w:sz w:val="24"/>
                <w:highlight w:val="none"/>
              </w:rPr>
            </w:pPr>
            <w:r>
              <w:rPr>
                <w:color w:val="auto"/>
                <w:sz w:val="24"/>
                <w:highlight w:val="none"/>
              </w:rPr>
              <w:t>/</w:t>
            </w:r>
          </w:p>
        </w:tc>
        <w:tc>
          <w:tcPr>
            <w:tcW w:w="671" w:type="pct"/>
            <w:vAlign w:val="center"/>
          </w:tcPr>
          <w:p w14:paraId="2C802C07">
            <w:pPr>
              <w:adjustRightInd w:val="0"/>
              <w:snapToGrid w:val="0"/>
              <w:jc w:val="center"/>
              <w:rPr>
                <w:color w:val="auto"/>
                <w:sz w:val="24"/>
                <w:highlight w:val="none"/>
              </w:rPr>
            </w:pPr>
            <w:r>
              <w:rPr>
                <w:color w:val="auto"/>
                <w:sz w:val="24"/>
                <w:highlight w:val="none"/>
              </w:rPr>
              <w:t>/</w:t>
            </w:r>
          </w:p>
        </w:tc>
        <w:tc>
          <w:tcPr>
            <w:tcW w:w="1145" w:type="pct"/>
            <w:vAlign w:val="center"/>
          </w:tcPr>
          <w:p w14:paraId="4C25D6D8">
            <w:pPr>
              <w:adjustRightInd w:val="0"/>
              <w:snapToGrid w:val="0"/>
              <w:jc w:val="left"/>
              <w:rPr>
                <w:rFonts w:hint="eastAsia" w:eastAsia="宋体"/>
                <w:color w:val="auto"/>
                <w:sz w:val="24"/>
                <w:highlight w:val="none"/>
                <w:lang w:eastAsia="zh-CN"/>
              </w:rPr>
            </w:pPr>
            <w:r>
              <w:rPr>
                <w:color w:val="auto"/>
                <w:sz w:val="24"/>
                <w:highlight w:val="none"/>
              </w:rPr>
              <w:t>按照运行期环境监测计划对项目进行电磁环境、声环境监测</w:t>
            </w:r>
            <w:r>
              <w:rPr>
                <w:rFonts w:hint="eastAsia"/>
                <w:color w:val="auto"/>
                <w:sz w:val="24"/>
                <w:highlight w:val="none"/>
                <w:lang w:eastAsia="zh-CN"/>
              </w:rPr>
              <w:t>。</w:t>
            </w:r>
          </w:p>
        </w:tc>
        <w:tc>
          <w:tcPr>
            <w:tcW w:w="796" w:type="pct"/>
            <w:vAlign w:val="center"/>
          </w:tcPr>
          <w:p w14:paraId="62AFEF30">
            <w:pPr>
              <w:adjustRightInd w:val="0"/>
              <w:snapToGrid w:val="0"/>
              <w:jc w:val="center"/>
              <w:rPr>
                <w:color w:val="auto"/>
                <w:sz w:val="24"/>
                <w:highlight w:val="none"/>
              </w:rPr>
            </w:pPr>
            <w:r>
              <w:rPr>
                <w:color w:val="auto"/>
                <w:sz w:val="24"/>
                <w:highlight w:val="none"/>
              </w:rPr>
              <w:t>满足《电磁环境控制限值》（GB8702-2014）相应标准限值；《工业企业厂界环境噪声排放标准》（GB12348-2008）及《声环境质量标准》（GB3096-2008）相应标准限值</w:t>
            </w:r>
          </w:p>
        </w:tc>
      </w:tr>
      <w:tr w14:paraId="33109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pct"/>
            <w:vAlign w:val="center"/>
          </w:tcPr>
          <w:p w14:paraId="1EA4F84A">
            <w:pPr>
              <w:adjustRightInd w:val="0"/>
              <w:snapToGrid w:val="0"/>
              <w:jc w:val="center"/>
              <w:rPr>
                <w:color w:val="auto"/>
                <w:sz w:val="24"/>
                <w:highlight w:val="none"/>
              </w:rPr>
            </w:pPr>
            <w:r>
              <w:rPr>
                <w:color w:val="auto"/>
                <w:sz w:val="24"/>
                <w:highlight w:val="none"/>
              </w:rPr>
              <w:t>其他</w:t>
            </w:r>
          </w:p>
        </w:tc>
        <w:tc>
          <w:tcPr>
            <w:tcW w:w="1932" w:type="pct"/>
            <w:vAlign w:val="center"/>
          </w:tcPr>
          <w:p w14:paraId="39D5FFE2">
            <w:pPr>
              <w:adjustRightInd w:val="0"/>
              <w:snapToGrid w:val="0"/>
              <w:jc w:val="center"/>
              <w:rPr>
                <w:color w:val="auto"/>
                <w:sz w:val="24"/>
                <w:highlight w:val="none"/>
              </w:rPr>
            </w:pPr>
            <w:r>
              <w:rPr>
                <w:color w:val="auto"/>
                <w:sz w:val="24"/>
                <w:highlight w:val="none"/>
              </w:rPr>
              <w:t>/</w:t>
            </w:r>
          </w:p>
        </w:tc>
        <w:tc>
          <w:tcPr>
            <w:tcW w:w="671" w:type="pct"/>
            <w:vAlign w:val="center"/>
          </w:tcPr>
          <w:p w14:paraId="61C64223">
            <w:pPr>
              <w:adjustRightInd w:val="0"/>
              <w:snapToGrid w:val="0"/>
              <w:jc w:val="center"/>
              <w:rPr>
                <w:color w:val="auto"/>
                <w:sz w:val="24"/>
                <w:highlight w:val="none"/>
              </w:rPr>
            </w:pPr>
            <w:r>
              <w:rPr>
                <w:color w:val="auto"/>
                <w:sz w:val="24"/>
                <w:highlight w:val="none"/>
              </w:rPr>
              <w:t>/</w:t>
            </w:r>
          </w:p>
        </w:tc>
        <w:tc>
          <w:tcPr>
            <w:tcW w:w="1145" w:type="pct"/>
            <w:vAlign w:val="center"/>
          </w:tcPr>
          <w:p w14:paraId="0DE42C08">
            <w:pPr>
              <w:adjustRightInd w:val="0"/>
              <w:snapToGrid w:val="0"/>
              <w:jc w:val="center"/>
              <w:rPr>
                <w:color w:val="auto"/>
                <w:sz w:val="24"/>
                <w:highlight w:val="none"/>
              </w:rPr>
            </w:pPr>
            <w:r>
              <w:rPr>
                <w:color w:val="auto"/>
                <w:sz w:val="24"/>
                <w:highlight w:val="none"/>
              </w:rPr>
              <w:t>/</w:t>
            </w:r>
          </w:p>
        </w:tc>
        <w:tc>
          <w:tcPr>
            <w:tcW w:w="796" w:type="pct"/>
            <w:vAlign w:val="center"/>
          </w:tcPr>
          <w:p w14:paraId="0579F74A">
            <w:pPr>
              <w:adjustRightInd w:val="0"/>
              <w:snapToGrid w:val="0"/>
              <w:jc w:val="center"/>
              <w:rPr>
                <w:color w:val="auto"/>
                <w:sz w:val="24"/>
                <w:highlight w:val="none"/>
              </w:rPr>
            </w:pPr>
            <w:r>
              <w:rPr>
                <w:color w:val="auto"/>
                <w:sz w:val="24"/>
                <w:highlight w:val="none"/>
              </w:rPr>
              <w:t>/</w:t>
            </w:r>
          </w:p>
        </w:tc>
      </w:tr>
    </w:tbl>
    <w:p w14:paraId="1E850D51">
      <w:pPr>
        <w:pStyle w:val="26"/>
        <w:spacing w:before="0" w:beforeAutospacing="0" w:line="14" w:lineRule="auto"/>
        <w:jc w:val="center"/>
        <w:outlineLvl w:val="0"/>
        <w:rPr>
          <w:rFonts w:ascii="Times New Roman" w:hAnsi="Times New Roman" w:eastAsia="黑体"/>
          <w:snapToGrid w:val="0"/>
          <w:color w:val="auto"/>
          <w:sz w:val="30"/>
          <w:szCs w:val="30"/>
          <w:highlight w:val="none"/>
        </w:rPr>
        <w:sectPr>
          <w:footerReference r:id="rId4"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15CA015">
      <w:pPr>
        <w:pStyle w:val="26"/>
        <w:spacing w:before="0" w:beforeAutospacing="0" w:after="0" w:afterAutospacing="0" w:line="360" w:lineRule="auto"/>
        <w:jc w:val="center"/>
        <w:outlineLvl w:val="0"/>
        <w:rPr>
          <w:rFonts w:ascii="Times New Roman" w:hAnsi="Times New Roman" w:eastAsia="黑体"/>
          <w:snapToGrid w:val="0"/>
          <w:color w:val="auto"/>
          <w:sz w:val="30"/>
          <w:szCs w:val="30"/>
          <w:highlight w:val="none"/>
        </w:rPr>
      </w:pPr>
      <w:bookmarkStart w:id="62" w:name="_Toc612"/>
      <w:r>
        <w:rPr>
          <w:rFonts w:ascii="Times New Roman" w:hAnsi="Times New Roman" w:eastAsia="黑体"/>
          <w:b/>
          <w:bCs/>
          <w:snapToGrid w:val="0"/>
          <w:color w:val="auto"/>
          <w:sz w:val="30"/>
          <w:szCs w:val="30"/>
          <w:highlight w:val="none"/>
        </w:rPr>
        <w:t>七、结论</w:t>
      </w:r>
      <w:bookmarkEnd w:id="62"/>
    </w:p>
    <w:tbl>
      <w:tblPr>
        <w:tblStyle w:val="28"/>
        <w:tblW w:w="95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05"/>
      </w:tblGrid>
      <w:tr w14:paraId="56E3B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9505" w:type="dxa"/>
          </w:tcPr>
          <w:p w14:paraId="097646A9">
            <w:pPr>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lang w:val="en-US" w:eastAsia="zh-CN"/>
              </w:rPr>
              <w:t>位于宁夏回族自治区固原市隆德县境内，项目的建设</w:t>
            </w:r>
            <w:r>
              <w:rPr>
                <w:color w:val="auto"/>
                <w:sz w:val="24"/>
                <w:highlight w:val="none"/>
              </w:rPr>
              <w:t>符合国家和地方产业政策，符合相关规划，项目选址选线合理，符合</w:t>
            </w:r>
            <w:r>
              <w:rPr>
                <w:rFonts w:hint="eastAsia"/>
                <w:color w:val="auto"/>
                <w:sz w:val="24"/>
                <w:highlight w:val="none"/>
                <w:lang w:val="en-US" w:eastAsia="zh-CN"/>
              </w:rPr>
              <w:t>固原市</w:t>
            </w:r>
            <w:r>
              <w:rPr>
                <w:color w:val="auto"/>
                <w:sz w:val="24"/>
                <w:highlight w:val="none"/>
              </w:rPr>
              <w:t>生态保护红线管控要求。本项目针对施工期和运行期存在的环境问题采取相应的防治措施，对评价区域环境质量影响较小。因此，建设单位认真落实设计和本报告表中的环保措施，从环境保护角度分析，</w:t>
            </w:r>
            <w:r>
              <w:rPr>
                <w:rFonts w:hint="eastAsia"/>
                <w:color w:val="auto"/>
                <w:sz w:val="24"/>
                <w:highlight w:val="none"/>
              </w:rPr>
              <w:t>宁夏</w:t>
            </w:r>
            <w:r>
              <w:rPr>
                <w:rFonts w:hint="eastAsia"/>
                <w:color w:val="auto"/>
                <w:sz w:val="24"/>
                <w:highlight w:val="none"/>
                <w:lang w:val="en-US" w:eastAsia="zh-CN"/>
              </w:rPr>
              <w:t>固原张程</w:t>
            </w:r>
            <w:r>
              <w:rPr>
                <w:rFonts w:hint="eastAsia"/>
                <w:color w:val="auto"/>
                <w:sz w:val="24"/>
                <w:highlight w:val="none"/>
              </w:rPr>
              <w:t>110千伏输变电工程</w:t>
            </w:r>
            <w:r>
              <w:rPr>
                <w:color w:val="auto"/>
                <w:sz w:val="24"/>
                <w:highlight w:val="none"/>
              </w:rPr>
              <w:t>项目的建设是可行的。</w:t>
            </w:r>
          </w:p>
          <w:p w14:paraId="19816CC8">
            <w:pPr>
              <w:spacing w:line="360" w:lineRule="auto"/>
              <w:ind w:firstLine="480" w:firstLineChars="200"/>
              <w:rPr>
                <w:color w:val="auto"/>
                <w:sz w:val="24"/>
                <w:highlight w:val="none"/>
              </w:rPr>
            </w:pPr>
          </w:p>
          <w:p w14:paraId="1536EEA7">
            <w:pPr>
              <w:spacing w:line="360" w:lineRule="auto"/>
              <w:ind w:firstLine="480" w:firstLineChars="200"/>
              <w:rPr>
                <w:color w:val="auto"/>
                <w:sz w:val="24"/>
                <w:highlight w:val="none"/>
              </w:rPr>
            </w:pPr>
          </w:p>
          <w:p w14:paraId="776E46C5">
            <w:pPr>
              <w:spacing w:line="360" w:lineRule="auto"/>
              <w:ind w:firstLine="480" w:firstLineChars="200"/>
              <w:rPr>
                <w:color w:val="auto"/>
                <w:sz w:val="24"/>
                <w:highlight w:val="none"/>
              </w:rPr>
            </w:pPr>
          </w:p>
          <w:p w14:paraId="5C9DE60E">
            <w:pPr>
              <w:spacing w:line="360" w:lineRule="auto"/>
              <w:ind w:firstLine="480" w:firstLineChars="200"/>
              <w:rPr>
                <w:color w:val="auto"/>
                <w:sz w:val="24"/>
                <w:highlight w:val="none"/>
              </w:rPr>
            </w:pPr>
          </w:p>
          <w:p w14:paraId="308F95E8">
            <w:pPr>
              <w:spacing w:line="360" w:lineRule="auto"/>
              <w:ind w:firstLine="480" w:firstLineChars="200"/>
              <w:rPr>
                <w:color w:val="auto"/>
                <w:sz w:val="24"/>
                <w:highlight w:val="none"/>
              </w:rPr>
            </w:pPr>
          </w:p>
          <w:p w14:paraId="0F76B190">
            <w:pPr>
              <w:spacing w:line="360" w:lineRule="auto"/>
              <w:ind w:firstLine="480" w:firstLineChars="200"/>
              <w:rPr>
                <w:color w:val="auto"/>
                <w:sz w:val="24"/>
                <w:highlight w:val="none"/>
              </w:rPr>
            </w:pPr>
          </w:p>
          <w:p w14:paraId="57869157">
            <w:pPr>
              <w:spacing w:line="360" w:lineRule="auto"/>
              <w:ind w:firstLine="480" w:firstLineChars="200"/>
              <w:rPr>
                <w:color w:val="auto"/>
                <w:sz w:val="24"/>
                <w:highlight w:val="none"/>
              </w:rPr>
            </w:pPr>
          </w:p>
          <w:p w14:paraId="6082A101">
            <w:pPr>
              <w:spacing w:line="360" w:lineRule="auto"/>
              <w:ind w:firstLine="480" w:firstLineChars="200"/>
              <w:rPr>
                <w:color w:val="auto"/>
                <w:sz w:val="24"/>
                <w:highlight w:val="none"/>
              </w:rPr>
            </w:pPr>
          </w:p>
          <w:p w14:paraId="0E677A82">
            <w:pPr>
              <w:spacing w:line="360" w:lineRule="auto"/>
              <w:ind w:firstLine="480" w:firstLineChars="200"/>
              <w:rPr>
                <w:color w:val="auto"/>
                <w:sz w:val="24"/>
                <w:highlight w:val="none"/>
              </w:rPr>
            </w:pPr>
          </w:p>
          <w:p w14:paraId="32D38A38">
            <w:pPr>
              <w:spacing w:line="360" w:lineRule="auto"/>
              <w:ind w:firstLine="480" w:firstLineChars="200"/>
              <w:rPr>
                <w:color w:val="auto"/>
                <w:sz w:val="24"/>
                <w:highlight w:val="none"/>
              </w:rPr>
            </w:pPr>
          </w:p>
          <w:p w14:paraId="786A5AA3">
            <w:pPr>
              <w:spacing w:line="360" w:lineRule="auto"/>
              <w:ind w:firstLine="480" w:firstLineChars="200"/>
              <w:rPr>
                <w:color w:val="auto"/>
                <w:sz w:val="24"/>
                <w:highlight w:val="none"/>
              </w:rPr>
            </w:pPr>
          </w:p>
          <w:p w14:paraId="23240651">
            <w:pPr>
              <w:spacing w:line="360" w:lineRule="auto"/>
              <w:ind w:firstLine="480" w:firstLineChars="200"/>
              <w:rPr>
                <w:color w:val="auto"/>
                <w:sz w:val="24"/>
                <w:highlight w:val="none"/>
              </w:rPr>
            </w:pPr>
          </w:p>
          <w:p w14:paraId="381328DE">
            <w:pPr>
              <w:spacing w:line="360" w:lineRule="auto"/>
              <w:ind w:firstLine="480" w:firstLineChars="200"/>
              <w:rPr>
                <w:color w:val="auto"/>
                <w:sz w:val="24"/>
                <w:highlight w:val="none"/>
              </w:rPr>
            </w:pPr>
          </w:p>
          <w:p w14:paraId="5213A583">
            <w:pPr>
              <w:spacing w:line="360" w:lineRule="auto"/>
              <w:ind w:firstLine="480" w:firstLineChars="200"/>
              <w:rPr>
                <w:color w:val="auto"/>
                <w:sz w:val="24"/>
                <w:highlight w:val="none"/>
              </w:rPr>
            </w:pPr>
          </w:p>
          <w:p w14:paraId="56C17CC3">
            <w:pPr>
              <w:spacing w:line="360" w:lineRule="auto"/>
              <w:ind w:firstLine="480" w:firstLineChars="200"/>
              <w:rPr>
                <w:color w:val="auto"/>
                <w:sz w:val="24"/>
                <w:highlight w:val="none"/>
              </w:rPr>
            </w:pPr>
          </w:p>
          <w:p w14:paraId="57DC2D70">
            <w:pPr>
              <w:spacing w:line="360" w:lineRule="auto"/>
              <w:ind w:firstLine="480" w:firstLineChars="200"/>
              <w:rPr>
                <w:color w:val="auto"/>
                <w:sz w:val="24"/>
                <w:highlight w:val="none"/>
              </w:rPr>
            </w:pPr>
          </w:p>
          <w:p w14:paraId="34C81168">
            <w:pPr>
              <w:spacing w:line="360" w:lineRule="auto"/>
              <w:ind w:firstLine="480" w:firstLineChars="200"/>
              <w:rPr>
                <w:color w:val="auto"/>
                <w:sz w:val="24"/>
                <w:highlight w:val="none"/>
              </w:rPr>
            </w:pPr>
          </w:p>
          <w:p w14:paraId="7A5095F3">
            <w:pPr>
              <w:spacing w:line="360" w:lineRule="auto"/>
              <w:ind w:firstLine="480" w:firstLineChars="200"/>
              <w:rPr>
                <w:color w:val="auto"/>
                <w:sz w:val="24"/>
                <w:highlight w:val="none"/>
              </w:rPr>
            </w:pPr>
          </w:p>
          <w:p w14:paraId="00957CF3">
            <w:pPr>
              <w:spacing w:line="360" w:lineRule="auto"/>
              <w:ind w:firstLine="480" w:firstLineChars="200"/>
              <w:rPr>
                <w:color w:val="auto"/>
                <w:sz w:val="24"/>
                <w:highlight w:val="none"/>
              </w:rPr>
            </w:pPr>
          </w:p>
          <w:p w14:paraId="01E71886">
            <w:pPr>
              <w:spacing w:line="360" w:lineRule="auto"/>
              <w:ind w:firstLine="480" w:firstLineChars="200"/>
              <w:rPr>
                <w:color w:val="auto"/>
                <w:sz w:val="24"/>
                <w:highlight w:val="none"/>
              </w:rPr>
            </w:pPr>
          </w:p>
          <w:p w14:paraId="19A48089">
            <w:pPr>
              <w:spacing w:line="360" w:lineRule="auto"/>
              <w:ind w:firstLine="480" w:firstLineChars="200"/>
              <w:rPr>
                <w:color w:val="auto"/>
                <w:sz w:val="24"/>
                <w:highlight w:val="none"/>
              </w:rPr>
            </w:pPr>
          </w:p>
          <w:p w14:paraId="702AB9AF">
            <w:pPr>
              <w:pStyle w:val="12"/>
              <w:rPr>
                <w:color w:val="auto"/>
                <w:sz w:val="24"/>
                <w:highlight w:val="none"/>
              </w:rPr>
            </w:pPr>
          </w:p>
          <w:p w14:paraId="1D5EF559">
            <w:pPr>
              <w:rPr>
                <w:color w:val="auto"/>
                <w:sz w:val="24"/>
                <w:highlight w:val="none"/>
              </w:rPr>
            </w:pPr>
          </w:p>
          <w:p w14:paraId="34C86019">
            <w:pPr>
              <w:rPr>
                <w:color w:val="auto"/>
                <w:sz w:val="24"/>
                <w:highlight w:val="none"/>
              </w:rPr>
            </w:pPr>
          </w:p>
          <w:p w14:paraId="461C529C">
            <w:pPr>
              <w:pStyle w:val="12"/>
              <w:rPr>
                <w:color w:val="auto"/>
                <w:highlight w:val="none"/>
              </w:rPr>
            </w:pPr>
          </w:p>
        </w:tc>
      </w:tr>
    </w:tbl>
    <w:p w14:paraId="798BEAE0">
      <w:pPr>
        <w:spacing w:line="360" w:lineRule="auto"/>
        <w:jc w:val="center"/>
        <w:rPr>
          <w:rFonts w:eastAsia="黑体"/>
          <w:snapToGrid w:val="0"/>
          <w:color w:val="auto"/>
          <w:sz w:val="32"/>
          <w:szCs w:val="32"/>
          <w:highlight w:val="none"/>
        </w:rPr>
      </w:pPr>
      <w:r>
        <w:rPr>
          <w:rFonts w:eastAsia="黑体"/>
          <w:snapToGrid w:val="0"/>
          <w:color w:val="auto"/>
          <w:sz w:val="32"/>
          <w:szCs w:val="32"/>
          <w:highlight w:val="none"/>
        </w:rPr>
        <w:br w:type="page"/>
      </w:r>
      <w:bookmarkStart w:id="63" w:name="_Toc8394"/>
    </w:p>
    <w:p w14:paraId="07BE935B">
      <w:pPr>
        <w:spacing w:line="360" w:lineRule="auto"/>
        <w:jc w:val="center"/>
        <w:rPr>
          <w:rFonts w:eastAsia="黑体"/>
          <w:snapToGrid w:val="0"/>
          <w:color w:val="auto"/>
          <w:sz w:val="32"/>
          <w:szCs w:val="32"/>
          <w:highlight w:val="none"/>
        </w:rPr>
      </w:pPr>
    </w:p>
    <w:p w14:paraId="3527C6D4">
      <w:pPr>
        <w:spacing w:line="360" w:lineRule="auto"/>
        <w:jc w:val="center"/>
        <w:rPr>
          <w:rFonts w:eastAsia="黑体"/>
          <w:snapToGrid w:val="0"/>
          <w:color w:val="auto"/>
          <w:sz w:val="32"/>
          <w:szCs w:val="32"/>
          <w:highlight w:val="none"/>
        </w:rPr>
      </w:pPr>
    </w:p>
    <w:p w14:paraId="1962B28E">
      <w:pPr>
        <w:pStyle w:val="12"/>
        <w:rPr>
          <w:color w:val="auto"/>
          <w:highlight w:val="none"/>
        </w:rPr>
      </w:pPr>
    </w:p>
    <w:p w14:paraId="006E9E7E">
      <w:pPr>
        <w:spacing w:beforeLines="0" w:afterLines="0" w:line="240" w:lineRule="auto"/>
        <w:ind w:firstLine="0" w:firstLineChars="0"/>
        <w:jc w:val="center"/>
        <w:rPr>
          <w:rFonts w:hint="eastAsia" w:ascii="Times New Roman" w:hAnsi="Times New Roman" w:eastAsia="宋体" w:cs="Times New Roman"/>
          <w:b/>
          <w:color w:val="auto"/>
          <w:spacing w:val="0"/>
          <w:w w:val="100"/>
          <w:position w:val="0"/>
          <w:sz w:val="36"/>
          <w:szCs w:val="36"/>
          <w:highlight w:val="none"/>
          <w:lang w:val="en-US" w:eastAsia="zh-CN"/>
        </w:rPr>
      </w:pPr>
      <w:bookmarkStart w:id="64" w:name="_Toc29301"/>
      <w:r>
        <w:rPr>
          <w:rFonts w:hint="eastAsia" w:ascii="Times New Roman" w:hAnsi="Times New Roman" w:eastAsia="宋体" w:cs="Times New Roman"/>
          <w:b/>
          <w:color w:val="auto"/>
          <w:spacing w:val="0"/>
          <w:w w:val="100"/>
          <w:position w:val="0"/>
          <w:sz w:val="36"/>
          <w:szCs w:val="36"/>
          <w:highlight w:val="none"/>
          <w:lang w:val="en-US" w:eastAsia="zh-CN"/>
        </w:rPr>
        <w:t>宁夏固原张程110千伏输变电工程</w:t>
      </w:r>
    </w:p>
    <w:p w14:paraId="6948CCE1">
      <w:pPr>
        <w:pStyle w:val="2"/>
        <w:keepNext/>
        <w:keepLines/>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cs="Times New Roman"/>
          <w:color w:val="auto"/>
          <w:highlight w:val="none"/>
        </w:rPr>
      </w:pPr>
      <w:bookmarkStart w:id="65" w:name="_Toc781"/>
      <w:r>
        <w:rPr>
          <w:rFonts w:hint="default" w:ascii="Times New Roman" w:hAnsi="Times New Roman" w:cs="Times New Roman"/>
          <w:color w:val="auto"/>
          <w:highlight w:val="none"/>
        </w:rPr>
        <w:t>电磁环境影响专题评价</w:t>
      </w:r>
      <w:bookmarkEnd w:id="64"/>
      <w:bookmarkEnd w:id="65"/>
    </w:p>
    <w:p w14:paraId="28E8D06C">
      <w:pPr>
        <w:pStyle w:val="8"/>
        <w:rPr>
          <w:b/>
          <w:color w:val="auto"/>
          <w:kern w:val="0"/>
          <w:sz w:val="32"/>
          <w:szCs w:val="32"/>
          <w:highlight w:val="none"/>
        </w:rPr>
      </w:pPr>
    </w:p>
    <w:p w14:paraId="06907C4E">
      <w:pPr>
        <w:pStyle w:val="8"/>
        <w:rPr>
          <w:b/>
          <w:color w:val="auto"/>
          <w:kern w:val="0"/>
          <w:sz w:val="32"/>
          <w:szCs w:val="32"/>
          <w:highlight w:val="none"/>
        </w:rPr>
      </w:pPr>
    </w:p>
    <w:p w14:paraId="6FFD713C">
      <w:pPr>
        <w:pStyle w:val="8"/>
        <w:rPr>
          <w:b/>
          <w:color w:val="auto"/>
          <w:kern w:val="0"/>
          <w:sz w:val="32"/>
          <w:szCs w:val="32"/>
          <w:highlight w:val="none"/>
        </w:rPr>
      </w:pPr>
    </w:p>
    <w:p w14:paraId="68EDEDC6">
      <w:pPr>
        <w:pStyle w:val="8"/>
        <w:rPr>
          <w:b/>
          <w:color w:val="auto"/>
          <w:kern w:val="0"/>
          <w:sz w:val="32"/>
          <w:szCs w:val="32"/>
          <w:highlight w:val="none"/>
        </w:rPr>
      </w:pPr>
    </w:p>
    <w:p w14:paraId="0AC7C330">
      <w:pPr>
        <w:pStyle w:val="8"/>
        <w:rPr>
          <w:b/>
          <w:color w:val="auto"/>
          <w:kern w:val="0"/>
          <w:sz w:val="32"/>
          <w:szCs w:val="32"/>
          <w:highlight w:val="none"/>
        </w:rPr>
      </w:pPr>
    </w:p>
    <w:p w14:paraId="2C97BE63">
      <w:pPr>
        <w:pStyle w:val="8"/>
        <w:rPr>
          <w:b/>
          <w:color w:val="auto"/>
          <w:kern w:val="0"/>
          <w:sz w:val="32"/>
          <w:szCs w:val="32"/>
          <w:highlight w:val="none"/>
        </w:rPr>
      </w:pPr>
    </w:p>
    <w:p w14:paraId="546FAD69">
      <w:pPr>
        <w:pStyle w:val="8"/>
        <w:rPr>
          <w:b/>
          <w:color w:val="auto"/>
          <w:kern w:val="0"/>
          <w:sz w:val="32"/>
          <w:szCs w:val="32"/>
          <w:highlight w:val="none"/>
        </w:rPr>
      </w:pPr>
    </w:p>
    <w:p w14:paraId="5B5C7FFE">
      <w:pPr>
        <w:pStyle w:val="8"/>
        <w:rPr>
          <w:b/>
          <w:color w:val="auto"/>
          <w:kern w:val="0"/>
          <w:sz w:val="32"/>
          <w:szCs w:val="32"/>
          <w:highlight w:val="none"/>
        </w:rPr>
      </w:pPr>
    </w:p>
    <w:p w14:paraId="06A70DDE">
      <w:pPr>
        <w:pStyle w:val="11"/>
        <w:ind w:firstLine="320"/>
        <w:rPr>
          <w:rFonts w:ascii="Times New Roman" w:hAnsi="Times New Roman"/>
          <w:color w:val="auto"/>
          <w:highlight w:val="none"/>
        </w:rPr>
      </w:pPr>
    </w:p>
    <w:p w14:paraId="51CBA1EA">
      <w:pPr>
        <w:pStyle w:val="8"/>
        <w:rPr>
          <w:b/>
          <w:color w:val="auto"/>
          <w:kern w:val="0"/>
          <w:sz w:val="32"/>
          <w:szCs w:val="32"/>
          <w:highlight w:val="none"/>
        </w:rPr>
      </w:pPr>
    </w:p>
    <w:p w14:paraId="0C0F648E">
      <w:pPr>
        <w:pStyle w:val="8"/>
        <w:rPr>
          <w:b/>
          <w:color w:val="auto"/>
          <w:kern w:val="0"/>
          <w:sz w:val="32"/>
          <w:szCs w:val="32"/>
          <w:highlight w:val="none"/>
        </w:rPr>
      </w:pPr>
    </w:p>
    <w:p w14:paraId="45914732">
      <w:pPr>
        <w:pStyle w:val="8"/>
        <w:rPr>
          <w:b/>
          <w:color w:val="auto"/>
          <w:kern w:val="0"/>
          <w:sz w:val="32"/>
          <w:szCs w:val="32"/>
          <w:highlight w:val="none"/>
        </w:rPr>
      </w:pPr>
    </w:p>
    <w:p w14:paraId="71651810">
      <w:pPr>
        <w:pStyle w:val="8"/>
        <w:rPr>
          <w:b/>
          <w:color w:val="auto"/>
          <w:kern w:val="0"/>
          <w:sz w:val="32"/>
          <w:szCs w:val="32"/>
          <w:highlight w:val="none"/>
        </w:rPr>
      </w:pPr>
    </w:p>
    <w:p w14:paraId="4E5901EB">
      <w:pPr>
        <w:pStyle w:val="8"/>
        <w:rPr>
          <w:b/>
          <w:color w:val="auto"/>
          <w:kern w:val="0"/>
          <w:sz w:val="32"/>
          <w:szCs w:val="32"/>
          <w:highlight w:val="none"/>
        </w:rPr>
      </w:pPr>
    </w:p>
    <w:p w14:paraId="47AB619F">
      <w:pPr>
        <w:pStyle w:val="11"/>
        <w:ind w:firstLine="320"/>
        <w:rPr>
          <w:rFonts w:ascii="Times New Roman" w:hAnsi="Times New Roman"/>
          <w:color w:val="auto"/>
          <w:highlight w:val="none"/>
        </w:rPr>
      </w:pPr>
    </w:p>
    <w:p w14:paraId="14CCF505">
      <w:pPr>
        <w:pStyle w:val="8"/>
        <w:rPr>
          <w:b/>
          <w:color w:val="auto"/>
          <w:kern w:val="0"/>
          <w:sz w:val="32"/>
          <w:szCs w:val="32"/>
          <w:highlight w:val="none"/>
        </w:rPr>
      </w:pPr>
    </w:p>
    <w:p w14:paraId="15E075A5">
      <w:pPr>
        <w:spacing w:line="360" w:lineRule="auto"/>
        <w:jc w:val="center"/>
        <w:rPr>
          <w:b/>
          <w:color w:val="auto"/>
          <w:kern w:val="0"/>
          <w:sz w:val="32"/>
          <w:szCs w:val="32"/>
          <w:highlight w:val="none"/>
        </w:rPr>
      </w:pPr>
    </w:p>
    <w:p w14:paraId="52D8657F">
      <w:pPr>
        <w:spacing w:line="360" w:lineRule="auto"/>
        <w:jc w:val="center"/>
        <w:rPr>
          <w:b/>
          <w:color w:val="auto"/>
          <w:kern w:val="0"/>
          <w:sz w:val="32"/>
          <w:szCs w:val="32"/>
          <w:highlight w:val="none"/>
        </w:rPr>
      </w:pPr>
    </w:p>
    <w:p w14:paraId="5F0DF097">
      <w:pPr>
        <w:spacing w:line="360" w:lineRule="auto"/>
        <w:jc w:val="center"/>
        <w:rPr>
          <w:b/>
          <w:color w:val="auto"/>
          <w:kern w:val="0"/>
          <w:sz w:val="32"/>
          <w:szCs w:val="32"/>
          <w:highlight w:val="none"/>
        </w:rPr>
      </w:pPr>
      <w:r>
        <w:rPr>
          <w:b/>
          <w:color w:val="auto"/>
          <w:kern w:val="0"/>
          <w:sz w:val="32"/>
          <w:szCs w:val="32"/>
          <w:highlight w:val="none"/>
        </w:rPr>
        <w:t xml:space="preserve">  建设单位：国网宁夏电力有限公司</w:t>
      </w:r>
      <w:r>
        <w:rPr>
          <w:rFonts w:hint="eastAsia"/>
          <w:b/>
          <w:color w:val="auto"/>
          <w:kern w:val="0"/>
          <w:sz w:val="32"/>
          <w:szCs w:val="32"/>
          <w:highlight w:val="none"/>
          <w:lang w:val="en-US" w:eastAsia="zh-CN"/>
        </w:rPr>
        <w:t>固原</w:t>
      </w:r>
      <w:r>
        <w:rPr>
          <w:b/>
          <w:color w:val="auto"/>
          <w:kern w:val="0"/>
          <w:sz w:val="32"/>
          <w:szCs w:val="32"/>
          <w:highlight w:val="none"/>
        </w:rPr>
        <w:t>供电公司</w:t>
      </w:r>
    </w:p>
    <w:p w14:paraId="34D3ACCB">
      <w:pPr>
        <w:spacing w:line="360" w:lineRule="auto"/>
        <w:ind w:firstLine="964" w:firstLineChars="300"/>
        <w:jc w:val="center"/>
        <w:rPr>
          <w:b/>
          <w:color w:val="auto"/>
          <w:kern w:val="0"/>
          <w:sz w:val="32"/>
          <w:szCs w:val="32"/>
          <w:highlight w:val="none"/>
        </w:rPr>
      </w:pPr>
      <w:r>
        <w:rPr>
          <w:b/>
          <w:color w:val="auto"/>
          <w:kern w:val="0"/>
          <w:sz w:val="32"/>
          <w:szCs w:val="32"/>
          <w:highlight w:val="none"/>
        </w:rPr>
        <w:t>二〇二</w:t>
      </w:r>
      <w:r>
        <w:rPr>
          <w:rFonts w:hint="eastAsia"/>
          <w:b/>
          <w:color w:val="auto"/>
          <w:kern w:val="0"/>
          <w:sz w:val="32"/>
          <w:szCs w:val="32"/>
          <w:highlight w:val="none"/>
          <w:lang w:val="en-US" w:eastAsia="zh-CN"/>
        </w:rPr>
        <w:t>六</w:t>
      </w:r>
      <w:r>
        <w:rPr>
          <w:b/>
          <w:color w:val="auto"/>
          <w:kern w:val="0"/>
          <w:sz w:val="32"/>
          <w:szCs w:val="32"/>
          <w:highlight w:val="none"/>
        </w:rPr>
        <w:t>年</w:t>
      </w:r>
      <w:r>
        <w:rPr>
          <w:rFonts w:hint="eastAsia"/>
          <w:b/>
          <w:color w:val="auto"/>
          <w:kern w:val="0"/>
          <w:sz w:val="32"/>
          <w:szCs w:val="32"/>
          <w:highlight w:val="none"/>
          <w:lang w:val="en-US" w:eastAsia="zh-CN"/>
        </w:rPr>
        <w:t>三</w:t>
      </w:r>
      <w:r>
        <w:rPr>
          <w:b/>
          <w:color w:val="auto"/>
          <w:kern w:val="0"/>
          <w:sz w:val="32"/>
          <w:szCs w:val="32"/>
          <w:highlight w:val="none"/>
        </w:rPr>
        <w:t>月</w:t>
      </w:r>
    </w:p>
    <w:p w14:paraId="3798BCB7">
      <w:pPr>
        <w:spacing w:line="360" w:lineRule="auto"/>
        <w:jc w:val="center"/>
        <w:rPr>
          <w:rFonts w:eastAsia="黑体"/>
          <w:snapToGrid w:val="0"/>
          <w:color w:val="auto"/>
          <w:sz w:val="32"/>
          <w:szCs w:val="32"/>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BB3D250">
      <w:pPr>
        <w:keepNext w:val="0"/>
        <w:keepLines w:val="0"/>
        <w:pageBreakBefore w:val="0"/>
        <w:widowControl w:val="0"/>
        <w:kinsoku/>
        <w:wordWrap/>
        <w:overflowPunct/>
        <w:topLinePunct w:val="0"/>
        <w:bidi w:val="0"/>
        <w:spacing w:line="360" w:lineRule="auto"/>
        <w:ind w:firstLine="482" w:firstLineChars="200"/>
        <w:textAlignment w:val="auto"/>
        <w:outlineLvl w:val="0"/>
        <w:rPr>
          <w:rFonts w:hint="eastAsia"/>
          <w:b/>
          <w:color w:val="auto"/>
          <w:kern w:val="0"/>
          <w:sz w:val="24"/>
          <w:highlight w:val="none"/>
        </w:rPr>
      </w:pPr>
      <w:bookmarkStart w:id="66" w:name="_Toc194"/>
      <w:bookmarkStart w:id="67" w:name="_Toc1412"/>
      <w:r>
        <w:rPr>
          <w:b/>
          <w:color w:val="auto"/>
          <w:kern w:val="0"/>
          <w:sz w:val="24"/>
          <w:highlight w:val="none"/>
        </w:rPr>
        <w:t>一、</w:t>
      </w:r>
      <w:r>
        <w:rPr>
          <w:rFonts w:hint="eastAsia"/>
          <w:b/>
          <w:color w:val="auto"/>
          <w:kern w:val="0"/>
          <w:sz w:val="24"/>
          <w:highlight w:val="none"/>
        </w:rPr>
        <w:t>编制依据</w:t>
      </w:r>
      <w:bookmarkEnd w:id="66"/>
    </w:p>
    <w:p w14:paraId="4617C92C">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（1）《建设项目环境影响评价技术导则 总纲》（HJ2.1-2016）；</w:t>
      </w:r>
    </w:p>
    <w:p w14:paraId="028894FD">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（2）《环境影响评价技术导则 输变电》（HJ24-2020）；</w:t>
      </w:r>
    </w:p>
    <w:p w14:paraId="751C3CC4">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（3）《交流输变电工程电磁环境监测方法（试行）》（HJ681-2013）；</w:t>
      </w:r>
    </w:p>
    <w:p w14:paraId="22944602">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（4）《电磁环境控制限值》（GB 8702-2014）；</w:t>
      </w:r>
    </w:p>
    <w:p w14:paraId="242A43D2">
      <w:pPr>
        <w:keepNext w:val="0"/>
        <w:keepLines w:val="0"/>
        <w:pageBreakBefore w:val="0"/>
        <w:widowControl w:val="0"/>
        <w:kinsoku/>
        <w:wordWrap/>
        <w:overflowPunct/>
        <w:topLinePunct w:val="0"/>
        <w:bidi w:val="0"/>
        <w:spacing w:line="360" w:lineRule="auto"/>
        <w:ind w:firstLine="480" w:firstLineChars="200"/>
        <w:textAlignment w:val="auto"/>
        <w:rPr>
          <w:b/>
          <w:color w:val="auto"/>
          <w:kern w:val="0"/>
          <w:sz w:val="24"/>
          <w:highlight w:val="none"/>
        </w:rPr>
      </w:pPr>
      <w:r>
        <w:rPr>
          <w:rFonts w:hint="eastAsia" w:ascii="Times New Roman" w:hAnsi="Times New Roman" w:eastAsia="宋体" w:cs="Times New Roman"/>
          <w:b w:val="0"/>
          <w:bCs w:val="0"/>
          <w:color w:val="auto"/>
          <w:sz w:val="24"/>
          <w:highlight w:val="none"/>
          <w:lang w:val="en-US" w:eastAsia="zh-CN"/>
        </w:rPr>
        <w:t>（5）《输变电建设项目环境保护技术要求》（HJ1113-2020）。</w:t>
      </w:r>
    </w:p>
    <w:p w14:paraId="798C9191">
      <w:pPr>
        <w:keepNext w:val="0"/>
        <w:keepLines w:val="0"/>
        <w:pageBreakBefore w:val="0"/>
        <w:widowControl w:val="0"/>
        <w:kinsoku/>
        <w:wordWrap/>
        <w:overflowPunct/>
        <w:topLinePunct w:val="0"/>
        <w:bidi w:val="0"/>
        <w:spacing w:line="360" w:lineRule="auto"/>
        <w:ind w:firstLine="482" w:firstLineChars="200"/>
        <w:textAlignment w:val="auto"/>
        <w:outlineLvl w:val="0"/>
        <w:rPr>
          <w:b/>
          <w:color w:val="auto"/>
          <w:kern w:val="0"/>
          <w:sz w:val="24"/>
          <w:highlight w:val="none"/>
        </w:rPr>
      </w:pPr>
      <w:bookmarkStart w:id="68" w:name="_Toc3204"/>
      <w:r>
        <w:rPr>
          <w:rFonts w:hint="eastAsia"/>
          <w:b/>
          <w:color w:val="auto"/>
          <w:kern w:val="0"/>
          <w:sz w:val="24"/>
          <w:highlight w:val="none"/>
          <w:lang w:val="en-US" w:eastAsia="zh-CN"/>
        </w:rPr>
        <w:t>二</w:t>
      </w:r>
      <w:r>
        <w:rPr>
          <w:b/>
          <w:color w:val="auto"/>
          <w:kern w:val="0"/>
          <w:sz w:val="24"/>
          <w:highlight w:val="none"/>
        </w:rPr>
        <w:t>、项目概况</w:t>
      </w:r>
      <w:bookmarkEnd w:id="63"/>
      <w:bookmarkEnd w:id="67"/>
      <w:bookmarkEnd w:id="68"/>
    </w:p>
    <w:p w14:paraId="20B966C2">
      <w:pPr>
        <w:keepNext w:val="0"/>
        <w:keepLines w:val="0"/>
        <w:pageBreakBefore w:val="0"/>
        <w:widowControl w:val="0"/>
        <w:kinsoku/>
        <w:wordWrap/>
        <w:overflowPunct/>
        <w:topLinePunct w:val="0"/>
        <w:bidi w:val="0"/>
        <w:spacing w:line="360" w:lineRule="auto"/>
        <w:ind w:firstLine="480" w:firstLineChars="200"/>
        <w:textAlignment w:val="auto"/>
        <w:rPr>
          <w:bCs/>
          <w:color w:val="auto"/>
          <w:kern w:val="0"/>
          <w:sz w:val="24"/>
          <w:highlight w:val="none"/>
        </w:rPr>
      </w:pPr>
      <w:r>
        <w:rPr>
          <w:bCs/>
          <w:color w:val="auto"/>
          <w:kern w:val="0"/>
          <w:sz w:val="24"/>
          <w:highlight w:val="none"/>
        </w:rPr>
        <w:t>本项目包含</w:t>
      </w:r>
      <w:r>
        <w:rPr>
          <w:rFonts w:hint="eastAsia"/>
          <w:bCs/>
          <w:color w:val="auto"/>
          <w:kern w:val="0"/>
          <w:sz w:val="24"/>
          <w:highlight w:val="none"/>
          <w:lang w:val="en-US" w:eastAsia="zh-CN"/>
        </w:rPr>
        <w:t>两</w:t>
      </w:r>
      <w:r>
        <w:rPr>
          <w:bCs/>
          <w:color w:val="auto"/>
          <w:kern w:val="0"/>
          <w:sz w:val="24"/>
          <w:highlight w:val="none"/>
        </w:rPr>
        <w:t>部分：</w:t>
      </w:r>
      <w:r>
        <w:rPr>
          <w:rFonts w:hint="eastAsia"/>
          <w:color w:val="auto"/>
          <w:sz w:val="24"/>
          <w:highlight w:val="none"/>
          <w:lang w:val="en-US" w:eastAsia="zh-CN"/>
        </w:rPr>
        <w:t>新建张程110千伏变电站工程、新建渝河110千伏变电站~张程变110千伏线路工程。</w:t>
      </w:r>
    </w:p>
    <w:p w14:paraId="03A7D65B">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color w:val="auto"/>
          <w:sz w:val="24"/>
          <w:highlight w:val="none"/>
        </w:rPr>
      </w:pPr>
      <w:r>
        <w:rPr>
          <w:color w:val="auto"/>
          <w:sz w:val="24"/>
          <w:highlight w:val="none"/>
        </w:rPr>
        <w:t>（1）</w:t>
      </w:r>
      <w:r>
        <w:rPr>
          <w:rFonts w:hint="eastAsia"/>
          <w:color w:val="auto"/>
          <w:sz w:val="24"/>
          <w:highlight w:val="none"/>
          <w:lang w:val="en-US" w:eastAsia="zh-CN"/>
        </w:rPr>
        <w:t>新建张程110千伏变电站工程</w:t>
      </w:r>
    </w:p>
    <w:p w14:paraId="20F9A6EF">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eastAsia"/>
          <w:color w:val="auto"/>
          <w:sz w:val="24"/>
          <w:highlight w:val="none"/>
          <w:lang w:val="en-US" w:eastAsia="zh-CN"/>
        </w:rPr>
      </w:pPr>
      <w:bookmarkStart w:id="69" w:name="_Toc20497"/>
      <w:r>
        <w:rPr>
          <w:rFonts w:hint="default"/>
          <w:color w:val="auto"/>
          <w:sz w:val="24"/>
          <w:highlight w:val="none"/>
          <w:lang w:val="en-US" w:eastAsia="zh-CN"/>
        </w:rPr>
        <w:t>本期新建</w:t>
      </w:r>
      <w:r>
        <w:rPr>
          <w:rFonts w:hint="default"/>
          <w:color w:val="auto"/>
          <w:sz w:val="24"/>
          <w:highlight w:val="none"/>
        </w:rPr>
        <w:t>主变2×</w:t>
      </w:r>
      <w:r>
        <w:rPr>
          <w:rFonts w:hint="eastAsia"/>
          <w:color w:val="auto"/>
          <w:sz w:val="24"/>
          <w:highlight w:val="none"/>
          <w:lang w:val="en-US" w:eastAsia="zh-CN"/>
        </w:rPr>
        <w:t>50</w:t>
      </w:r>
      <w:r>
        <w:rPr>
          <w:rFonts w:hint="default"/>
          <w:color w:val="auto"/>
          <w:sz w:val="24"/>
          <w:highlight w:val="none"/>
        </w:rPr>
        <w:t>MVA</w:t>
      </w:r>
      <w:r>
        <w:rPr>
          <w:rFonts w:hint="eastAsia"/>
          <w:color w:val="auto"/>
          <w:sz w:val="24"/>
          <w:highlight w:val="none"/>
          <w:lang w:eastAsia="zh-CN"/>
        </w:rPr>
        <w:t>，</w:t>
      </w:r>
      <w:r>
        <w:rPr>
          <w:rFonts w:hint="eastAsia"/>
          <w:color w:val="auto"/>
          <w:sz w:val="24"/>
          <w:highlight w:val="none"/>
          <w:lang w:val="en-US" w:eastAsia="zh-CN"/>
        </w:rPr>
        <w:t>电压等级110/35/10kV；新建</w:t>
      </w:r>
      <w:r>
        <w:rPr>
          <w:rFonts w:hint="eastAsia"/>
          <w:color w:val="auto"/>
          <w:sz w:val="24"/>
          <w:highlight w:val="none"/>
          <w:lang w:eastAsia="zh-CN"/>
        </w:rPr>
        <w:t>110kV</w:t>
      </w:r>
      <w:r>
        <w:rPr>
          <w:rFonts w:hint="default"/>
          <w:color w:val="auto"/>
          <w:sz w:val="24"/>
          <w:highlight w:val="none"/>
        </w:rPr>
        <w:t>出线</w:t>
      </w:r>
      <w:r>
        <w:rPr>
          <w:rFonts w:hint="default"/>
          <w:color w:val="auto"/>
          <w:sz w:val="24"/>
          <w:highlight w:val="none"/>
          <w:lang w:val="en-US" w:eastAsia="zh-CN"/>
        </w:rPr>
        <w:t>间隔</w:t>
      </w:r>
      <w:r>
        <w:rPr>
          <w:rFonts w:hint="eastAsia"/>
          <w:color w:val="auto"/>
          <w:sz w:val="24"/>
          <w:highlight w:val="none"/>
          <w:lang w:val="en-US" w:eastAsia="zh-CN"/>
        </w:rPr>
        <w:t>2回</w:t>
      </w:r>
      <w:r>
        <w:rPr>
          <w:rFonts w:hint="default"/>
          <w:color w:val="auto"/>
          <w:sz w:val="24"/>
          <w:highlight w:val="none"/>
          <w:lang w:eastAsia="zh-CN"/>
        </w:rPr>
        <w:t>，</w:t>
      </w:r>
      <w:r>
        <w:rPr>
          <w:rFonts w:hint="eastAsia"/>
          <w:color w:val="auto"/>
          <w:sz w:val="24"/>
          <w:highlight w:val="none"/>
          <w:lang w:val="en-US" w:eastAsia="zh-CN"/>
        </w:rPr>
        <w:t>35</w:t>
      </w:r>
      <w:r>
        <w:rPr>
          <w:rFonts w:hint="default"/>
          <w:color w:val="auto"/>
          <w:sz w:val="24"/>
          <w:highlight w:val="none"/>
        </w:rPr>
        <w:t>kV出线</w:t>
      </w:r>
      <w:r>
        <w:rPr>
          <w:rFonts w:hint="default"/>
          <w:color w:val="auto"/>
          <w:sz w:val="24"/>
          <w:highlight w:val="none"/>
          <w:lang w:val="en-US" w:eastAsia="zh-CN"/>
        </w:rPr>
        <w:t>间隔</w:t>
      </w:r>
      <w:r>
        <w:rPr>
          <w:rFonts w:hint="eastAsia"/>
          <w:color w:val="auto"/>
          <w:sz w:val="24"/>
          <w:highlight w:val="none"/>
          <w:lang w:val="en-US" w:eastAsia="zh-CN"/>
        </w:rPr>
        <w:t>8回</w:t>
      </w:r>
      <w:r>
        <w:rPr>
          <w:rFonts w:hint="eastAsia"/>
          <w:color w:val="auto"/>
          <w:sz w:val="24"/>
          <w:highlight w:val="none"/>
          <w:lang w:eastAsia="zh-CN"/>
        </w:rPr>
        <w:t>，</w:t>
      </w:r>
      <w:r>
        <w:rPr>
          <w:rFonts w:hint="eastAsia"/>
          <w:color w:val="auto"/>
          <w:sz w:val="24"/>
          <w:highlight w:val="none"/>
          <w:lang w:val="en-US" w:eastAsia="zh-CN"/>
        </w:rPr>
        <w:t>10</w:t>
      </w:r>
      <w:r>
        <w:rPr>
          <w:rFonts w:hint="default"/>
          <w:color w:val="auto"/>
          <w:sz w:val="24"/>
          <w:highlight w:val="none"/>
        </w:rPr>
        <w:t>kV出线</w:t>
      </w:r>
      <w:r>
        <w:rPr>
          <w:rFonts w:hint="default"/>
          <w:color w:val="auto"/>
          <w:sz w:val="24"/>
          <w:highlight w:val="none"/>
          <w:lang w:val="en-US" w:eastAsia="zh-CN"/>
        </w:rPr>
        <w:t>间隔</w:t>
      </w:r>
      <w:r>
        <w:rPr>
          <w:rFonts w:hint="eastAsia"/>
          <w:color w:val="auto"/>
          <w:sz w:val="24"/>
          <w:highlight w:val="none"/>
          <w:lang w:val="en-US" w:eastAsia="zh-CN"/>
        </w:rPr>
        <w:t>16回；</w:t>
      </w:r>
      <w:r>
        <w:rPr>
          <w:rFonts w:hint="default"/>
          <w:color w:val="auto"/>
          <w:sz w:val="24"/>
          <w:highlight w:val="none"/>
          <w:lang w:val="en-US" w:eastAsia="zh-CN"/>
        </w:rPr>
        <w:t>新建</w:t>
      </w:r>
      <w:r>
        <w:rPr>
          <w:rFonts w:hint="eastAsia"/>
          <w:color w:val="auto"/>
          <w:sz w:val="24"/>
          <w:highlight w:val="none"/>
          <w:lang w:val="en-US" w:eastAsia="zh-CN"/>
        </w:rPr>
        <w:t>10</w:t>
      </w:r>
      <w:r>
        <w:rPr>
          <w:rFonts w:hint="default"/>
          <w:color w:val="auto"/>
          <w:sz w:val="24"/>
          <w:highlight w:val="none"/>
          <w:lang w:val="en-US" w:eastAsia="zh-CN"/>
        </w:rPr>
        <w:t>kV</w:t>
      </w:r>
      <w:r>
        <w:rPr>
          <w:rFonts w:hint="eastAsia"/>
          <w:color w:val="auto"/>
          <w:sz w:val="24"/>
          <w:highlight w:val="none"/>
          <w:lang w:val="en-US" w:eastAsia="zh-CN"/>
        </w:rPr>
        <w:t>并联电容器</w:t>
      </w:r>
      <w:r>
        <w:rPr>
          <w:rFonts w:hint="default"/>
          <w:color w:val="auto"/>
          <w:sz w:val="24"/>
          <w:highlight w:val="none"/>
          <w:lang w:val="en-US" w:eastAsia="zh-CN"/>
        </w:rPr>
        <w:t>2×（</w:t>
      </w:r>
      <w:r>
        <w:rPr>
          <w:rFonts w:hint="eastAsia"/>
          <w:color w:val="auto"/>
          <w:sz w:val="24"/>
          <w:highlight w:val="none"/>
          <w:lang w:val="en-US" w:eastAsia="zh-CN"/>
        </w:rPr>
        <w:t>4+5</w:t>
      </w:r>
      <w:r>
        <w:rPr>
          <w:rFonts w:hint="default"/>
          <w:color w:val="auto"/>
          <w:sz w:val="24"/>
          <w:highlight w:val="none"/>
          <w:lang w:val="en-US" w:eastAsia="zh-CN"/>
        </w:rPr>
        <w:t>）Mvar</w:t>
      </w:r>
      <w:r>
        <w:rPr>
          <w:rFonts w:hint="eastAsia"/>
          <w:color w:val="auto"/>
          <w:sz w:val="24"/>
          <w:highlight w:val="none"/>
          <w:lang w:val="en-US" w:eastAsia="zh-CN"/>
        </w:rPr>
        <w:t>。</w:t>
      </w:r>
    </w:p>
    <w:p w14:paraId="4BEE57F4">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color w:val="auto"/>
          <w:sz w:val="24"/>
          <w:highlight w:val="none"/>
        </w:rPr>
      </w:pPr>
      <w:r>
        <w:rPr>
          <w:color w:val="auto"/>
          <w:sz w:val="24"/>
          <w:highlight w:val="none"/>
        </w:rPr>
        <w:t>（2）</w:t>
      </w:r>
      <w:r>
        <w:rPr>
          <w:rFonts w:hint="eastAsia"/>
          <w:color w:val="auto"/>
          <w:sz w:val="24"/>
          <w:highlight w:val="none"/>
          <w:lang w:val="en-US" w:eastAsia="zh-CN"/>
        </w:rPr>
        <w:t>新建渝河110千伏变电站~张程变110千伏线路工程</w:t>
      </w:r>
    </w:p>
    <w:p w14:paraId="11B105DC">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color w:val="auto"/>
          <w:sz w:val="24"/>
          <w:highlight w:val="none"/>
        </w:rPr>
      </w:pPr>
      <w:r>
        <w:rPr>
          <w:rFonts w:hint="default"/>
          <w:color w:val="auto"/>
          <w:sz w:val="24"/>
          <w:highlight w:val="none"/>
          <w:lang w:val="en-US" w:eastAsia="zh-CN"/>
        </w:rPr>
        <w:t>新建线路全长</w:t>
      </w:r>
      <w:r>
        <w:rPr>
          <w:rFonts w:hint="eastAsia"/>
          <w:color w:val="auto"/>
          <w:sz w:val="24"/>
          <w:highlight w:val="none"/>
          <w:lang w:val="en-US" w:eastAsia="zh-CN"/>
        </w:rPr>
        <w:t>1</w:t>
      </w:r>
      <w:r>
        <w:rPr>
          <w:rFonts w:hint="default"/>
          <w:color w:val="auto"/>
          <w:sz w:val="24"/>
          <w:highlight w:val="none"/>
          <w:lang w:val="en-US" w:eastAsia="zh-CN"/>
        </w:rPr>
        <w:t>×</w:t>
      </w:r>
      <w:r>
        <w:rPr>
          <w:rFonts w:hint="eastAsia"/>
          <w:color w:val="auto"/>
          <w:sz w:val="24"/>
          <w:highlight w:val="none"/>
          <w:lang w:val="en-US" w:eastAsia="zh-CN"/>
        </w:rPr>
        <w:t>14.23</w:t>
      </w:r>
      <w:r>
        <w:rPr>
          <w:rFonts w:hint="default"/>
          <w:color w:val="auto"/>
          <w:sz w:val="24"/>
          <w:highlight w:val="none"/>
          <w:lang w:val="en-US" w:eastAsia="zh-CN"/>
        </w:rPr>
        <w:t>km，除新建张程变出线终端塔采用双回路塔单侧挂线外，</w:t>
      </w:r>
      <w:r>
        <w:rPr>
          <w:rFonts w:hint="eastAsia" w:cs="Times New Roman"/>
          <w:bCs/>
          <w:color w:val="auto"/>
          <w:kern w:val="0"/>
          <w:sz w:val="24"/>
          <w:highlight w:val="none"/>
          <w:lang w:val="en-US" w:eastAsia="zh-CN"/>
        </w:rPr>
        <w:t>余下</w:t>
      </w:r>
      <w:r>
        <w:rPr>
          <w:rFonts w:hint="eastAsia"/>
          <w:color w:val="auto"/>
          <w:sz w:val="24"/>
          <w:highlight w:val="none"/>
          <w:lang w:val="en-US" w:eastAsia="zh-CN"/>
        </w:rPr>
        <w:t>线路均</w:t>
      </w:r>
      <w:r>
        <w:rPr>
          <w:rFonts w:hint="default"/>
          <w:color w:val="auto"/>
          <w:sz w:val="24"/>
          <w:highlight w:val="none"/>
          <w:lang w:val="en-US" w:eastAsia="zh-CN"/>
        </w:rPr>
        <w:t>采用</w:t>
      </w:r>
      <w:r>
        <w:rPr>
          <w:rFonts w:hint="eastAsia"/>
          <w:color w:val="auto"/>
          <w:sz w:val="24"/>
          <w:highlight w:val="none"/>
          <w:lang w:val="en-US" w:eastAsia="zh-CN"/>
        </w:rPr>
        <w:t>单回路</w:t>
      </w:r>
      <w:r>
        <w:rPr>
          <w:rFonts w:hint="default"/>
          <w:color w:val="auto"/>
          <w:sz w:val="24"/>
          <w:highlight w:val="none"/>
          <w:lang w:val="en-US" w:eastAsia="zh-CN"/>
        </w:rPr>
        <w:t>架设</w:t>
      </w:r>
      <w:r>
        <w:rPr>
          <w:rFonts w:hint="eastAsia"/>
          <w:color w:val="auto"/>
          <w:sz w:val="24"/>
          <w:highlight w:val="none"/>
          <w:lang w:val="en-US" w:eastAsia="zh-CN"/>
        </w:rPr>
        <w:t>；拟</w:t>
      </w:r>
      <w:r>
        <w:rPr>
          <w:rFonts w:hint="default"/>
          <w:color w:val="auto"/>
          <w:sz w:val="24"/>
          <w:highlight w:val="none"/>
        </w:rPr>
        <w:t>建</w:t>
      </w:r>
      <w:r>
        <w:rPr>
          <w:rFonts w:hint="eastAsia"/>
          <w:color w:val="auto"/>
          <w:sz w:val="24"/>
          <w:highlight w:val="none"/>
          <w:lang w:val="en-US" w:eastAsia="zh-CN"/>
        </w:rPr>
        <w:t>铁塔54</w:t>
      </w:r>
      <w:r>
        <w:rPr>
          <w:rFonts w:hint="default"/>
          <w:color w:val="auto"/>
          <w:sz w:val="24"/>
          <w:highlight w:val="none"/>
        </w:rPr>
        <w:t>基，其中：</w:t>
      </w:r>
      <w:r>
        <w:rPr>
          <w:rFonts w:hint="default"/>
          <w:color w:val="auto"/>
          <w:sz w:val="24"/>
          <w:highlight w:val="none"/>
          <w:lang w:val="en-US" w:eastAsia="zh-CN"/>
        </w:rPr>
        <w:t>单回路直线塔</w:t>
      </w:r>
      <w:r>
        <w:rPr>
          <w:rFonts w:hint="eastAsia"/>
          <w:color w:val="auto"/>
          <w:sz w:val="24"/>
          <w:highlight w:val="none"/>
          <w:lang w:val="en-US" w:eastAsia="zh-CN"/>
        </w:rPr>
        <w:t>34</w:t>
      </w:r>
      <w:r>
        <w:rPr>
          <w:rFonts w:hint="default"/>
          <w:color w:val="auto"/>
          <w:sz w:val="24"/>
          <w:highlight w:val="none"/>
          <w:lang w:val="en-US" w:eastAsia="zh-CN"/>
        </w:rPr>
        <w:t>基，单回路耐张塔</w:t>
      </w:r>
      <w:r>
        <w:rPr>
          <w:rFonts w:hint="eastAsia"/>
          <w:color w:val="auto"/>
          <w:sz w:val="24"/>
          <w:highlight w:val="none"/>
          <w:lang w:val="en-US" w:eastAsia="zh-CN"/>
        </w:rPr>
        <w:t>19</w:t>
      </w:r>
      <w:r>
        <w:rPr>
          <w:rFonts w:hint="default"/>
          <w:color w:val="auto"/>
          <w:sz w:val="24"/>
          <w:highlight w:val="none"/>
          <w:lang w:val="en-US" w:eastAsia="zh-CN"/>
        </w:rPr>
        <w:t>基，双回路耐张塔1基</w:t>
      </w:r>
      <w:r>
        <w:rPr>
          <w:rFonts w:hint="default"/>
          <w:color w:val="auto"/>
          <w:sz w:val="24"/>
          <w:highlight w:val="none"/>
        </w:rPr>
        <w:t>。</w:t>
      </w:r>
    </w:p>
    <w:p w14:paraId="53C90004">
      <w:pPr>
        <w:keepNext w:val="0"/>
        <w:keepLines w:val="0"/>
        <w:pageBreakBefore w:val="0"/>
        <w:widowControl w:val="0"/>
        <w:kinsoku/>
        <w:wordWrap/>
        <w:overflowPunct/>
        <w:topLinePunct w:val="0"/>
        <w:bidi w:val="0"/>
        <w:spacing w:line="360" w:lineRule="auto"/>
        <w:ind w:firstLine="482" w:firstLineChars="200"/>
        <w:textAlignment w:val="auto"/>
        <w:outlineLvl w:val="0"/>
        <w:rPr>
          <w:b/>
          <w:color w:val="auto"/>
          <w:kern w:val="0"/>
          <w:sz w:val="24"/>
          <w:highlight w:val="none"/>
        </w:rPr>
      </w:pPr>
      <w:bookmarkStart w:id="70" w:name="_Toc3790"/>
      <w:bookmarkStart w:id="71" w:name="_Toc4904"/>
      <w:r>
        <w:rPr>
          <w:rFonts w:hint="eastAsia"/>
          <w:b/>
          <w:color w:val="auto"/>
          <w:kern w:val="0"/>
          <w:sz w:val="24"/>
          <w:highlight w:val="none"/>
          <w:lang w:val="en-US" w:eastAsia="zh-CN"/>
        </w:rPr>
        <w:t>三</w:t>
      </w:r>
      <w:r>
        <w:rPr>
          <w:b/>
          <w:color w:val="auto"/>
          <w:kern w:val="0"/>
          <w:sz w:val="24"/>
          <w:highlight w:val="none"/>
        </w:rPr>
        <w:t>、电磁评价因子和评价标准</w:t>
      </w:r>
      <w:bookmarkEnd w:id="69"/>
      <w:bookmarkEnd w:id="70"/>
      <w:bookmarkEnd w:id="71"/>
    </w:p>
    <w:p w14:paraId="611279F6">
      <w:pPr>
        <w:keepNext w:val="0"/>
        <w:keepLines w:val="0"/>
        <w:pageBreakBefore w:val="0"/>
        <w:widowControl w:val="0"/>
        <w:kinsoku/>
        <w:wordWrap/>
        <w:overflowPunct/>
        <w:topLinePunct w:val="0"/>
        <w:bidi w:val="0"/>
        <w:spacing w:line="360" w:lineRule="auto"/>
        <w:ind w:firstLine="482" w:firstLineChars="200"/>
        <w:textAlignment w:val="auto"/>
        <w:rPr>
          <w:b/>
          <w:bCs/>
          <w:color w:val="auto"/>
          <w:kern w:val="0"/>
          <w:sz w:val="24"/>
          <w:highlight w:val="none"/>
        </w:rPr>
      </w:pPr>
      <w:r>
        <w:rPr>
          <w:b/>
          <w:bCs/>
          <w:color w:val="auto"/>
          <w:kern w:val="0"/>
          <w:sz w:val="24"/>
          <w:highlight w:val="none"/>
        </w:rPr>
        <w:t>1、评价因子</w:t>
      </w:r>
    </w:p>
    <w:p w14:paraId="1CDDAA69">
      <w:pPr>
        <w:keepNext w:val="0"/>
        <w:keepLines w:val="0"/>
        <w:pageBreakBefore w:val="0"/>
        <w:widowControl w:val="0"/>
        <w:kinsoku/>
        <w:wordWrap/>
        <w:overflowPunct/>
        <w:topLinePunct w:val="0"/>
        <w:bidi w:val="0"/>
        <w:spacing w:line="360" w:lineRule="auto"/>
        <w:ind w:firstLine="480" w:firstLineChars="200"/>
        <w:textAlignment w:val="auto"/>
        <w:rPr>
          <w:bCs/>
          <w:color w:val="auto"/>
          <w:kern w:val="0"/>
          <w:sz w:val="24"/>
          <w:highlight w:val="none"/>
        </w:rPr>
      </w:pPr>
      <w:r>
        <w:rPr>
          <w:bCs/>
          <w:color w:val="auto"/>
          <w:kern w:val="0"/>
          <w:sz w:val="24"/>
          <w:highlight w:val="none"/>
        </w:rPr>
        <w:t>工频电场、工频磁场。</w:t>
      </w:r>
    </w:p>
    <w:p w14:paraId="7EDF4207">
      <w:pPr>
        <w:keepNext w:val="0"/>
        <w:keepLines w:val="0"/>
        <w:pageBreakBefore w:val="0"/>
        <w:widowControl w:val="0"/>
        <w:kinsoku/>
        <w:wordWrap/>
        <w:overflowPunct/>
        <w:topLinePunct w:val="0"/>
        <w:bidi w:val="0"/>
        <w:spacing w:line="360" w:lineRule="auto"/>
        <w:ind w:firstLine="482" w:firstLineChars="200"/>
        <w:textAlignment w:val="auto"/>
        <w:rPr>
          <w:b/>
          <w:bCs/>
          <w:color w:val="auto"/>
          <w:kern w:val="0"/>
          <w:sz w:val="24"/>
          <w:highlight w:val="none"/>
        </w:rPr>
      </w:pPr>
      <w:r>
        <w:rPr>
          <w:b/>
          <w:bCs/>
          <w:color w:val="auto"/>
          <w:kern w:val="0"/>
          <w:sz w:val="24"/>
          <w:highlight w:val="none"/>
        </w:rPr>
        <w:t>2、评价标准</w:t>
      </w:r>
    </w:p>
    <w:p w14:paraId="55F4F61C">
      <w:pPr>
        <w:keepNext w:val="0"/>
        <w:keepLines w:val="0"/>
        <w:pageBreakBefore w:val="0"/>
        <w:widowControl w:val="0"/>
        <w:kinsoku/>
        <w:wordWrap/>
        <w:overflowPunct/>
        <w:topLinePunct w:val="0"/>
        <w:bidi w:val="0"/>
        <w:spacing w:line="360" w:lineRule="auto"/>
        <w:ind w:firstLine="480" w:firstLineChars="200"/>
        <w:textAlignment w:val="auto"/>
        <w:rPr>
          <w:color w:val="auto"/>
          <w:kern w:val="0"/>
          <w:sz w:val="24"/>
          <w:highlight w:val="none"/>
        </w:rPr>
      </w:pPr>
      <w:r>
        <w:rPr>
          <w:color w:val="auto"/>
          <w:kern w:val="0"/>
          <w:sz w:val="24"/>
          <w:highlight w:val="none"/>
        </w:rPr>
        <w:t>根据</w:t>
      </w:r>
      <w:r>
        <w:rPr>
          <w:bCs/>
          <w:color w:val="auto"/>
          <w:kern w:val="0"/>
          <w:sz w:val="24"/>
          <w:highlight w:val="none"/>
        </w:rPr>
        <w:t>《电磁环境控制限值》（GB8702-2014）</w:t>
      </w:r>
      <w:r>
        <w:rPr>
          <w:color w:val="auto"/>
          <w:kern w:val="0"/>
          <w:sz w:val="24"/>
          <w:highlight w:val="none"/>
        </w:rPr>
        <w:t>中频率0.025kHz-1.2kHz的公众曝露控制限值的规定，确定电磁环境影响评价标准如下：</w:t>
      </w:r>
    </w:p>
    <w:p w14:paraId="31927BD8">
      <w:pPr>
        <w:keepNext w:val="0"/>
        <w:keepLines w:val="0"/>
        <w:pageBreakBefore w:val="0"/>
        <w:widowControl w:val="0"/>
        <w:kinsoku/>
        <w:wordWrap/>
        <w:overflowPunct/>
        <w:topLinePunct w:val="0"/>
        <w:bidi w:val="0"/>
        <w:spacing w:line="360" w:lineRule="auto"/>
        <w:ind w:firstLine="480" w:firstLineChars="200"/>
        <w:textAlignment w:val="auto"/>
        <w:rPr>
          <w:color w:val="auto"/>
          <w:kern w:val="0"/>
          <w:sz w:val="24"/>
          <w:highlight w:val="none"/>
        </w:rPr>
      </w:pPr>
      <w:r>
        <w:rPr>
          <w:bCs/>
          <w:color w:val="auto"/>
          <w:kern w:val="0"/>
          <w:sz w:val="24"/>
          <w:highlight w:val="none"/>
        </w:rPr>
        <w:t>（1）工频电场：200/f为输变电工程评价标准，即频率f=50Hz时，工频电场强度E=4000</w:t>
      </w:r>
      <w:r>
        <w:rPr>
          <w:color w:val="auto"/>
          <w:kern w:val="0"/>
          <w:sz w:val="24"/>
          <w:highlight w:val="none"/>
        </w:rPr>
        <w:t>V/m。</w:t>
      </w:r>
    </w:p>
    <w:p w14:paraId="624BE29C">
      <w:pPr>
        <w:keepNext w:val="0"/>
        <w:keepLines w:val="0"/>
        <w:pageBreakBefore w:val="0"/>
        <w:widowControl w:val="0"/>
        <w:kinsoku/>
        <w:wordWrap/>
        <w:overflowPunct/>
        <w:topLinePunct w:val="0"/>
        <w:bidi w:val="0"/>
        <w:spacing w:line="360" w:lineRule="auto"/>
        <w:ind w:firstLine="480" w:firstLineChars="200"/>
        <w:textAlignment w:val="auto"/>
        <w:rPr>
          <w:bCs/>
          <w:color w:val="auto"/>
          <w:kern w:val="0"/>
          <w:sz w:val="24"/>
          <w:highlight w:val="none"/>
        </w:rPr>
      </w:pPr>
      <w:r>
        <w:rPr>
          <w:bCs/>
          <w:color w:val="auto"/>
          <w:kern w:val="0"/>
          <w:sz w:val="24"/>
          <w:highlight w:val="none"/>
        </w:rPr>
        <w:t>（2）工频磁场：5/f为输变电工程评价标准，即频率f=50HZ时，工频磁感应强度B=100μT。</w:t>
      </w:r>
    </w:p>
    <w:p w14:paraId="5BA5E7FB">
      <w:pPr>
        <w:keepNext w:val="0"/>
        <w:keepLines w:val="0"/>
        <w:pageBreakBefore w:val="0"/>
        <w:widowControl w:val="0"/>
        <w:kinsoku/>
        <w:wordWrap/>
        <w:overflowPunct/>
        <w:topLinePunct w:val="0"/>
        <w:bidi w:val="0"/>
        <w:spacing w:line="360" w:lineRule="auto"/>
        <w:ind w:firstLine="480" w:firstLineChars="200"/>
        <w:textAlignment w:val="auto"/>
        <w:rPr>
          <w:bCs/>
          <w:color w:val="auto"/>
          <w:kern w:val="0"/>
          <w:sz w:val="24"/>
          <w:highlight w:val="none"/>
        </w:rPr>
      </w:pPr>
      <w:r>
        <w:rPr>
          <w:rFonts w:hint="default" w:ascii="Times New Roman" w:hAnsi="Times New Roman" w:cs="Times New Roman"/>
          <w:bCs/>
          <w:color w:val="auto"/>
          <w:kern w:val="0"/>
          <w:sz w:val="24"/>
          <w:highlight w:val="none"/>
        </w:rPr>
        <w:t>（3）架空输电线路下的耕地、园地、牧草地、畜禽饲养地、养殖水面、道路等场所，其频率50Hz的工频电场强度控制限值为10kV/m，且应给出警示和防护指示标识。</w:t>
      </w:r>
    </w:p>
    <w:p w14:paraId="06C17236">
      <w:pPr>
        <w:keepNext w:val="0"/>
        <w:keepLines w:val="0"/>
        <w:pageBreakBefore w:val="0"/>
        <w:widowControl w:val="0"/>
        <w:kinsoku/>
        <w:wordWrap/>
        <w:overflowPunct/>
        <w:topLinePunct w:val="0"/>
        <w:bidi w:val="0"/>
        <w:spacing w:line="360" w:lineRule="auto"/>
        <w:ind w:firstLine="482" w:firstLineChars="200"/>
        <w:textAlignment w:val="auto"/>
        <w:outlineLvl w:val="0"/>
        <w:rPr>
          <w:b/>
          <w:color w:val="auto"/>
          <w:kern w:val="0"/>
          <w:sz w:val="24"/>
          <w:highlight w:val="none"/>
        </w:rPr>
      </w:pPr>
      <w:bookmarkStart w:id="72" w:name="_Toc15018"/>
      <w:bookmarkStart w:id="73" w:name="_Toc23622"/>
      <w:r>
        <w:rPr>
          <w:rFonts w:hint="eastAsia"/>
          <w:b/>
          <w:color w:val="auto"/>
          <w:kern w:val="0"/>
          <w:sz w:val="24"/>
          <w:highlight w:val="none"/>
          <w:lang w:val="en-US" w:eastAsia="zh-CN"/>
        </w:rPr>
        <w:t>四</w:t>
      </w:r>
      <w:r>
        <w:rPr>
          <w:b/>
          <w:color w:val="auto"/>
          <w:kern w:val="0"/>
          <w:sz w:val="24"/>
          <w:highlight w:val="none"/>
        </w:rPr>
        <w:t>、电磁评价工作等级和评价范围</w:t>
      </w:r>
      <w:bookmarkEnd w:id="72"/>
      <w:bookmarkEnd w:id="73"/>
    </w:p>
    <w:p w14:paraId="464735EB">
      <w:pPr>
        <w:keepNext w:val="0"/>
        <w:keepLines w:val="0"/>
        <w:pageBreakBefore w:val="0"/>
        <w:widowControl w:val="0"/>
        <w:kinsoku/>
        <w:wordWrap/>
        <w:overflowPunct/>
        <w:topLinePunct w:val="0"/>
        <w:bidi w:val="0"/>
        <w:spacing w:line="360" w:lineRule="auto"/>
        <w:ind w:firstLine="482" w:firstLineChars="200"/>
        <w:textAlignment w:val="auto"/>
        <w:rPr>
          <w:b/>
          <w:color w:val="auto"/>
          <w:sz w:val="24"/>
          <w:highlight w:val="none"/>
        </w:rPr>
      </w:pPr>
      <w:r>
        <w:rPr>
          <w:b/>
          <w:color w:val="auto"/>
          <w:sz w:val="24"/>
          <w:highlight w:val="none"/>
        </w:rPr>
        <w:t>1、评价工作等级</w:t>
      </w:r>
    </w:p>
    <w:p w14:paraId="6BD540C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lang w:val="en-US"/>
        </w:rPr>
      </w:pP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变电站</w:t>
      </w:r>
      <w:r>
        <w:rPr>
          <w:rFonts w:hint="eastAsia" w:ascii="Times New Roman" w:hAnsi="Times New Roman" w:cs="Times New Roman"/>
          <w:color w:val="auto"/>
          <w:sz w:val="24"/>
          <w:highlight w:val="none"/>
          <w:lang w:val="en-US" w:eastAsia="zh-CN"/>
        </w:rPr>
        <w:t>工程</w:t>
      </w:r>
    </w:p>
    <w:p w14:paraId="2E831F6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本项目变电站电压等级为</w:t>
      </w:r>
      <w:r>
        <w:rPr>
          <w:rFonts w:hint="eastAsia" w:cs="Times New Roman"/>
          <w:color w:val="auto"/>
          <w:sz w:val="24"/>
          <w:highlight w:val="none"/>
          <w:lang w:eastAsia="zh-CN"/>
        </w:rPr>
        <w:t>110kV</w:t>
      </w:r>
      <w:r>
        <w:rPr>
          <w:rFonts w:hint="default" w:ascii="Times New Roman" w:hAnsi="Times New Roman" w:cs="Times New Roman"/>
          <w:color w:val="auto"/>
          <w:sz w:val="24"/>
          <w:highlight w:val="none"/>
        </w:rPr>
        <w:t>，采用户外布置。根据《环境影响评价技术导则 输变电》</w:t>
      </w:r>
      <w:r>
        <w:rPr>
          <w:rFonts w:hint="default" w:ascii="Times New Roman" w:hAnsi="Times New Roman" w:cs="Times New Roman"/>
          <w:bCs/>
          <w:color w:val="auto"/>
          <w:sz w:val="24"/>
          <w:highlight w:val="none"/>
        </w:rPr>
        <w:t>（HJ24-2020）</w:t>
      </w:r>
      <w:r>
        <w:rPr>
          <w:rFonts w:hint="default" w:ascii="Times New Roman" w:hAnsi="Times New Roman" w:cs="Times New Roman"/>
          <w:color w:val="auto"/>
          <w:sz w:val="24"/>
          <w:highlight w:val="none"/>
        </w:rPr>
        <w:t>，确定本项目变电站电磁环境影响评价等级为二级。</w:t>
      </w:r>
    </w:p>
    <w:p w14:paraId="21A62BE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（2）输电线路工程</w:t>
      </w:r>
    </w:p>
    <w:p w14:paraId="0B2C3F6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本项目输电线路采用架空线路。架空线路边导线地面投影外两侧各10m范围内</w:t>
      </w:r>
      <w:r>
        <w:rPr>
          <w:rFonts w:hint="eastAsia"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rPr>
        <w:t>电磁环境敏感目标，根据《环境影响评价技术导则 输变电》（HJ 24-2020），确定架空线路环境影响评价等级为</w:t>
      </w:r>
      <w:r>
        <w:rPr>
          <w:rFonts w:hint="eastAsia" w:ascii="Times New Roman" w:hAnsi="Times New Roman" w:cs="Times New Roman"/>
          <w:color w:val="auto"/>
          <w:sz w:val="24"/>
          <w:highlight w:val="none"/>
          <w:lang w:val="en-US" w:eastAsia="zh-CN"/>
        </w:rPr>
        <w:t>三</w:t>
      </w:r>
      <w:r>
        <w:rPr>
          <w:rFonts w:hint="default" w:ascii="Times New Roman" w:hAnsi="Times New Roman" w:cs="Times New Roman"/>
          <w:color w:val="auto"/>
          <w:sz w:val="24"/>
          <w:highlight w:val="none"/>
        </w:rPr>
        <w:t>级。</w:t>
      </w:r>
    </w:p>
    <w:p w14:paraId="5EBC9059">
      <w:pPr>
        <w:keepNext w:val="0"/>
        <w:keepLines w:val="0"/>
        <w:pageBreakBefore w:val="0"/>
        <w:widowControl w:val="0"/>
        <w:kinsoku/>
        <w:wordWrap/>
        <w:overflowPunct/>
        <w:topLinePunct w:val="0"/>
        <w:bidi w:val="0"/>
        <w:spacing w:line="360" w:lineRule="auto"/>
        <w:ind w:firstLine="480" w:firstLineChars="200"/>
        <w:textAlignment w:val="auto"/>
        <w:rPr>
          <w:color w:val="auto"/>
          <w:kern w:val="0"/>
          <w:sz w:val="24"/>
          <w:highlight w:val="none"/>
        </w:rPr>
      </w:pPr>
      <w:r>
        <w:rPr>
          <w:rFonts w:hint="default" w:ascii="Times New Roman" w:hAnsi="Times New Roman" w:cs="Times New Roman"/>
          <w:color w:val="auto"/>
          <w:sz w:val="24"/>
          <w:highlight w:val="none"/>
        </w:rPr>
        <w:t>综上，根据《环境影响评价技术导则 输变电》（HJ24-2020），确定本项目电磁环境影响评价等级为二级。</w:t>
      </w:r>
    </w:p>
    <w:p w14:paraId="02FA9C33">
      <w:pPr>
        <w:keepNext w:val="0"/>
        <w:keepLines w:val="0"/>
        <w:pageBreakBefore w:val="0"/>
        <w:widowControl w:val="0"/>
        <w:kinsoku/>
        <w:wordWrap/>
        <w:overflowPunct/>
        <w:topLinePunct w:val="0"/>
        <w:bidi w:val="0"/>
        <w:spacing w:line="360" w:lineRule="auto"/>
        <w:ind w:firstLine="482" w:firstLineChars="200"/>
        <w:textAlignment w:val="auto"/>
        <w:rPr>
          <w:bCs/>
          <w:color w:val="auto"/>
          <w:kern w:val="0"/>
          <w:sz w:val="24"/>
          <w:highlight w:val="none"/>
        </w:rPr>
      </w:pPr>
      <w:r>
        <w:rPr>
          <w:b/>
          <w:color w:val="auto"/>
          <w:kern w:val="0"/>
          <w:sz w:val="24"/>
          <w:highlight w:val="none"/>
        </w:rPr>
        <w:t>2、评价范围</w:t>
      </w:r>
    </w:p>
    <w:p w14:paraId="6346F949">
      <w:pPr>
        <w:keepNext w:val="0"/>
        <w:keepLines w:val="0"/>
        <w:pageBreakBefore w:val="0"/>
        <w:widowControl w:val="0"/>
        <w:kinsoku/>
        <w:wordWrap/>
        <w:overflowPunct/>
        <w:topLinePunct w:val="0"/>
        <w:bidi w:val="0"/>
        <w:spacing w:line="360" w:lineRule="auto"/>
        <w:ind w:firstLine="480" w:firstLineChars="200"/>
        <w:textAlignment w:val="auto"/>
        <w:rPr>
          <w:color w:val="auto"/>
          <w:sz w:val="24"/>
          <w:highlight w:val="none"/>
        </w:rPr>
      </w:pPr>
      <w:r>
        <w:rPr>
          <w:bCs/>
          <w:color w:val="auto"/>
          <w:kern w:val="0"/>
          <w:sz w:val="24"/>
          <w:highlight w:val="none"/>
        </w:rPr>
        <w:t>根据《环境影响评价技术导则 输变电》</w:t>
      </w:r>
      <w:r>
        <w:rPr>
          <w:bCs/>
          <w:color w:val="auto"/>
          <w:sz w:val="24"/>
          <w:highlight w:val="none"/>
        </w:rPr>
        <w:t>（HJ24-2020）</w:t>
      </w:r>
      <w:r>
        <w:rPr>
          <w:bCs/>
          <w:color w:val="auto"/>
          <w:kern w:val="0"/>
          <w:sz w:val="24"/>
          <w:highlight w:val="none"/>
        </w:rPr>
        <w:t>要求，确定</w:t>
      </w:r>
      <w:r>
        <w:rPr>
          <w:color w:val="auto"/>
          <w:sz w:val="24"/>
          <w:highlight w:val="none"/>
        </w:rPr>
        <w:t>110kV变电站</w:t>
      </w:r>
      <w:r>
        <w:rPr>
          <w:color w:val="auto"/>
          <w:kern w:val="0"/>
          <w:sz w:val="24"/>
          <w:highlight w:val="none"/>
        </w:rPr>
        <w:t>为站界外30m内</w:t>
      </w:r>
      <w:r>
        <w:rPr>
          <w:rFonts w:hint="eastAsia"/>
          <w:color w:val="auto"/>
          <w:sz w:val="24"/>
          <w:highlight w:val="none"/>
          <w:lang w:eastAsia="zh-CN"/>
        </w:rPr>
        <w:t>，</w:t>
      </w:r>
      <w:r>
        <w:rPr>
          <w:color w:val="auto"/>
          <w:kern w:val="0"/>
          <w:sz w:val="24"/>
          <w:highlight w:val="none"/>
        </w:rPr>
        <w:t>110kV</w:t>
      </w:r>
      <w:r>
        <w:rPr>
          <w:color w:val="auto"/>
          <w:sz w:val="24"/>
          <w:highlight w:val="none"/>
        </w:rPr>
        <w:t>架空线路为边导线地面投影外两侧各30m</w:t>
      </w:r>
      <w:r>
        <w:rPr>
          <w:rFonts w:hint="eastAsia"/>
          <w:color w:val="auto"/>
          <w:sz w:val="24"/>
          <w:highlight w:val="none"/>
          <w:lang w:val="en-US" w:eastAsia="zh-CN"/>
        </w:rPr>
        <w:t>内，作为本项目电磁环境影响评价范围</w:t>
      </w:r>
      <w:r>
        <w:rPr>
          <w:color w:val="auto"/>
          <w:sz w:val="24"/>
          <w:highlight w:val="none"/>
        </w:rPr>
        <w:t>。</w:t>
      </w:r>
    </w:p>
    <w:p w14:paraId="34D65E88">
      <w:pPr>
        <w:keepNext w:val="0"/>
        <w:keepLines w:val="0"/>
        <w:pageBreakBefore w:val="0"/>
        <w:widowControl w:val="0"/>
        <w:kinsoku/>
        <w:wordWrap/>
        <w:overflowPunct/>
        <w:topLinePunct w:val="0"/>
        <w:bidi w:val="0"/>
        <w:spacing w:line="360" w:lineRule="auto"/>
        <w:ind w:firstLine="482" w:firstLineChars="200"/>
        <w:textAlignment w:val="auto"/>
        <w:outlineLvl w:val="0"/>
        <w:rPr>
          <w:b/>
          <w:color w:val="auto"/>
          <w:kern w:val="0"/>
          <w:sz w:val="24"/>
          <w:highlight w:val="none"/>
        </w:rPr>
      </w:pPr>
      <w:bookmarkStart w:id="74" w:name="_Toc19897"/>
      <w:bookmarkStart w:id="75" w:name="_Toc29851"/>
      <w:r>
        <w:rPr>
          <w:rFonts w:hint="eastAsia"/>
          <w:b/>
          <w:color w:val="auto"/>
          <w:kern w:val="0"/>
          <w:sz w:val="24"/>
          <w:highlight w:val="none"/>
          <w:lang w:val="en-US" w:eastAsia="zh-CN"/>
        </w:rPr>
        <w:t>五</w:t>
      </w:r>
      <w:r>
        <w:rPr>
          <w:b/>
          <w:color w:val="auto"/>
          <w:kern w:val="0"/>
          <w:sz w:val="24"/>
          <w:highlight w:val="none"/>
        </w:rPr>
        <w:t>、电磁环境敏感目标</w:t>
      </w:r>
      <w:bookmarkEnd w:id="74"/>
      <w:bookmarkEnd w:id="75"/>
    </w:p>
    <w:p w14:paraId="1EF55F4D">
      <w:pPr>
        <w:keepNext w:val="0"/>
        <w:keepLines w:val="0"/>
        <w:pageBreakBefore w:val="0"/>
        <w:widowControl w:val="0"/>
        <w:kinsoku/>
        <w:wordWrap/>
        <w:overflowPunct/>
        <w:topLinePunct w:val="0"/>
        <w:bidi w:val="0"/>
        <w:spacing w:line="360" w:lineRule="auto"/>
        <w:ind w:firstLine="480" w:firstLineChars="200"/>
        <w:textAlignment w:val="auto"/>
        <w:rPr>
          <w:color w:val="auto"/>
          <w:sz w:val="24"/>
          <w:highlight w:val="none"/>
        </w:rPr>
      </w:pPr>
      <w:r>
        <w:rPr>
          <w:bCs/>
          <w:color w:val="auto"/>
          <w:sz w:val="24"/>
          <w:highlight w:val="none"/>
        </w:rPr>
        <w:t>本项目评价范围内</w:t>
      </w:r>
      <w:r>
        <w:rPr>
          <w:color w:val="auto"/>
          <w:sz w:val="24"/>
          <w:highlight w:val="none"/>
        </w:rPr>
        <w:t>电磁环境敏感目标详见</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报告表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正文</w:t>
      </w:r>
      <w:r>
        <w:rPr>
          <w:rFonts w:hint="eastAsia"/>
          <w:b/>
          <w:bCs/>
          <w:color w:val="auto"/>
          <w:sz w:val="24"/>
          <w:highlight w:val="none"/>
        </w:rPr>
        <w:t>“</w:t>
      </w:r>
      <w:r>
        <w:rPr>
          <w:b/>
          <w:bCs/>
          <w:color w:val="auto"/>
          <w:sz w:val="24"/>
          <w:highlight w:val="none"/>
        </w:rPr>
        <w:t>三、生态环境现状、保护目标及评价标准章节中生态环境保护目标小节中的表3-</w:t>
      </w:r>
      <w:r>
        <w:rPr>
          <w:rFonts w:hint="eastAsia"/>
          <w:b/>
          <w:bCs/>
          <w:color w:val="auto"/>
          <w:sz w:val="24"/>
          <w:highlight w:val="none"/>
          <w:lang w:val="en-US" w:eastAsia="zh-CN"/>
        </w:rPr>
        <w:t>5</w:t>
      </w:r>
      <w:r>
        <w:rPr>
          <w:b/>
          <w:bCs/>
          <w:color w:val="auto"/>
          <w:sz w:val="24"/>
          <w:highlight w:val="none"/>
        </w:rPr>
        <w:t>，图3-</w:t>
      </w:r>
      <w:r>
        <w:rPr>
          <w:rFonts w:hint="eastAsia"/>
          <w:b/>
          <w:bCs/>
          <w:color w:val="auto"/>
          <w:sz w:val="24"/>
          <w:highlight w:val="none"/>
          <w:lang w:val="en-US" w:eastAsia="zh-CN"/>
        </w:rPr>
        <w:t>5</w:t>
      </w:r>
      <w:r>
        <w:rPr>
          <w:rFonts w:hint="eastAsia"/>
          <w:b/>
          <w:bCs/>
          <w:color w:val="auto"/>
          <w:sz w:val="24"/>
          <w:highlight w:val="none"/>
        </w:rPr>
        <w:t>”</w:t>
      </w:r>
      <w:r>
        <w:rPr>
          <w:color w:val="auto"/>
          <w:sz w:val="24"/>
          <w:highlight w:val="none"/>
        </w:rPr>
        <w:t>。</w:t>
      </w:r>
    </w:p>
    <w:p w14:paraId="4655C2EC">
      <w:pPr>
        <w:keepNext w:val="0"/>
        <w:keepLines w:val="0"/>
        <w:pageBreakBefore w:val="0"/>
        <w:widowControl w:val="0"/>
        <w:kinsoku/>
        <w:wordWrap/>
        <w:overflowPunct/>
        <w:topLinePunct w:val="0"/>
        <w:bidi w:val="0"/>
        <w:spacing w:line="360" w:lineRule="auto"/>
        <w:ind w:firstLine="482" w:firstLineChars="200"/>
        <w:textAlignment w:val="auto"/>
        <w:outlineLvl w:val="0"/>
        <w:rPr>
          <w:b/>
          <w:color w:val="auto"/>
          <w:kern w:val="0"/>
          <w:sz w:val="24"/>
          <w:highlight w:val="none"/>
        </w:rPr>
      </w:pPr>
      <w:bookmarkStart w:id="76" w:name="_Toc27181"/>
      <w:bookmarkStart w:id="77" w:name="_Toc19758"/>
      <w:r>
        <w:rPr>
          <w:rFonts w:hint="eastAsia"/>
          <w:b/>
          <w:color w:val="auto"/>
          <w:kern w:val="0"/>
          <w:sz w:val="24"/>
          <w:highlight w:val="none"/>
          <w:lang w:val="en-US" w:eastAsia="zh-CN"/>
        </w:rPr>
        <w:t>六</w:t>
      </w:r>
      <w:r>
        <w:rPr>
          <w:b/>
          <w:color w:val="auto"/>
          <w:kern w:val="0"/>
          <w:sz w:val="24"/>
          <w:highlight w:val="none"/>
        </w:rPr>
        <w:t>、电磁环境现状评价</w:t>
      </w:r>
      <w:bookmarkEnd w:id="76"/>
      <w:bookmarkEnd w:id="77"/>
    </w:p>
    <w:p w14:paraId="6323A92E">
      <w:pPr>
        <w:keepNext w:val="0"/>
        <w:keepLines w:val="0"/>
        <w:pageBreakBefore w:val="0"/>
        <w:widowControl w:val="0"/>
        <w:kinsoku/>
        <w:wordWrap/>
        <w:overflowPunct/>
        <w:topLinePunct w:val="0"/>
        <w:bidi w:val="0"/>
        <w:spacing w:line="360" w:lineRule="auto"/>
        <w:ind w:firstLine="480" w:firstLineChars="200"/>
        <w:textAlignment w:val="auto"/>
        <w:rPr>
          <w:color w:val="auto"/>
          <w:highlight w:val="none"/>
        </w:rPr>
      </w:pPr>
      <w:r>
        <w:rPr>
          <w:color w:val="auto"/>
          <w:kern w:val="0"/>
          <w:sz w:val="24"/>
          <w:highlight w:val="none"/>
        </w:rPr>
        <w:t>为了解本项目运行前的电磁环境质量现状，</w:t>
      </w:r>
      <w:r>
        <w:rPr>
          <w:color w:val="auto"/>
          <w:sz w:val="24"/>
          <w:highlight w:val="none"/>
        </w:rPr>
        <w:t>我单位委托</w:t>
      </w:r>
      <w:r>
        <w:rPr>
          <w:rFonts w:hint="default" w:ascii="Times New Roman" w:hAnsi="Times New Roman" w:cs="Times New Roman"/>
          <w:color w:val="auto"/>
          <w:sz w:val="24"/>
          <w:highlight w:val="none"/>
          <w:lang w:val="en-US" w:eastAsia="zh-CN"/>
        </w:rPr>
        <w:t>长润安测科技有限公司</w:t>
      </w:r>
      <w:r>
        <w:rPr>
          <w:color w:val="auto"/>
          <w:sz w:val="24"/>
          <w:highlight w:val="none"/>
        </w:rPr>
        <w:t>于202</w:t>
      </w:r>
      <w:r>
        <w:rPr>
          <w:rFonts w:hint="eastAsia"/>
          <w:color w:val="auto"/>
          <w:sz w:val="24"/>
          <w:highlight w:val="none"/>
        </w:rPr>
        <w:t>5</w:t>
      </w:r>
      <w:r>
        <w:rPr>
          <w:color w:val="auto"/>
          <w:sz w:val="24"/>
          <w:highlight w:val="none"/>
        </w:rPr>
        <w:t>年</w:t>
      </w:r>
      <w:r>
        <w:rPr>
          <w:rFonts w:hint="eastAsia"/>
          <w:color w:val="auto"/>
          <w:sz w:val="24"/>
          <w:highlight w:val="none"/>
          <w:lang w:val="en-US" w:eastAsia="zh-CN"/>
        </w:rPr>
        <w:t>12</w:t>
      </w:r>
      <w:r>
        <w:rPr>
          <w:color w:val="auto"/>
          <w:sz w:val="24"/>
          <w:highlight w:val="none"/>
        </w:rPr>
        <w:t>月</w:t>
      </w:r>
      <w:r>
        <w:rPr>
          <w:rFonts w:hint="eastAsia"/>
          <w:color w:val="auto"/>
          <w:sz w:val="24"/>
          <w:highlight w:val="none"/>
          <w:lang w:val="en-US" w:eastAsia="zh-CN"/>
        </w:rPr>
        <w:t>10</w:t>
      </w:r>
      <w:r>
        <w:rPr>
          <w:color w:val="auto"/>
          <w:sz w:val="24"/>
          <w:highlight w:val="none"/>
        </w:rPr>
        <w:t>日对项目周边的电磁环境进行了现状监测，具体详见附件。</w:t>
      </w:r>
    </w:p>
    <w:p w14:paraId="6A1E348E">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szCs w:val="22"/>
          <w:highlight w:val="none"/>
        </w:rPr>
      </w:pPr>
      <w:r>
        <w:rPr>
          <w:b/>
          <w:bCs/>
          <w:color w:val="auto"/>
          <w:sz w:val="24"/>
          <w:highlight w:val="none"/>
        </w:rPr>
        <w:t>1、监测项目</w:t>
      </w:r>
    </w:p>
    <w:p w14:paraId="23D32C8A">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测量离地1.5m高度处的工频电场强度、工频磁感应强度。</w:t>
      </w:r>
    </w:p>
    <w:p w14:paraId="776074C2">
      <w:pPr>
        <w:keepNext w:val="0"/>
        <w:keepLines w:val="0"/>
        <w:pageBreakBefore w:val="0"/>
        <w:widowControl w:val="0"/>
        <w:kinsoku/>
        <w:wordWrap/>
        <w:overflowPunct/>
        <w:topLinePunct w:val="0"/>
        <w:autoSpaceDE/>
        <w:autoSpaceDN/>
        <w:bidi w:val="0"/>
        <w:spacing w:line="360" w:lineRule="auto"/>
        <w:ind w:firstLine="472" w:firstLineChars="196"/>
        <w:textAlignment w:val="auto"/>
        <w:rPr>
          <w:b/>
          <w:bCs/>
          <w:color w:val="auto"/>
          <w:sz w:val="24"/>
          <w:highlight w:val="none"/>
        </w:rPr>
      </w:pPr>
      <w:r>
        <w:rPr>
          <w:b/>
          <w:bCs/>
          <w:color w:val="auto"/>
          <w:sz w:val="24"/>
          <w:highlight w:val="none"/>
        </w:rPr>
        <w:t>2、监测方法</w:t>
      </w:r>
    </w:p>
    <w:p w14:paraId="4A6C336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color w:val="auto"/>
          <w:sz w:val="24"/>
          <w:highlight w:val="none"/>
        </w:rPr>
      </w:pPr>
      <w:r>
        <w:rPr>
          <w:color w:val="auto"/>
          <w:sz w:val="24"/>
          <w:highlight w:val="none"/>
        </w:rPr>
        <w:t>严格按《交流输变电工程电磁环境监测方法》（试行）（HJ681-2013）进行监测。</w:t>
      </w:r>
    </w:p>
    <w:p w14:paraId="33FC08A6">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auto"/>
          <w:sz w:val="24"/>
          <w:highlight w:val="none"/>
        </w:rPr>
      </w:pPr>
      <w:r>
        <w:rPr>
          <w:b/>
          <w:bCs/>
          <w:color w:val="auto"/>
          <w:sz w:val="24"/>
          <w:highlight w:val="none"/>
        </w:rPr>
        <w:t>3、监测仪器</w:t>
      </w:r>
    </w:p>
    <w:p w14:paraId="66E49E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kern w:val="0"/>
          <w:sz w:val="24"/>
          <w:highlight w:val="none"/>
        </w:rPr>
      </w:pPr>
      <w:r>
        <w:rPr>
          <w:rFonts w:hint="eastAsia"/>
          <w:color w:val="auto"/>
          <w:kern w:val="0"/>
          <w:sz w:val="24"/>
          <w:highlight w:val="none"/>
        </w:rPr>
        <w:t>工频电场、工频磁场</w:t>
      </w:r>
      <w:r>
        <w:rPr>
          <w:color w:val="auto"/>
          <w:kern w:val="0"/>
          <w:sz w:val="24"/>
          <w:highlight w:val="none"/>
        </w:rPr>
        <w:t>监测</w:t>
      </w:r>
      <w:r>
        <w:rPr>
          <w:rFonts w:hint="eastAsia"/>
          <w:color w:val="auto"/>
          <w:kern w:val="0"/>
          <w:sz w:val="24"/>
          <w:highlight w:val="none"/>
          <w:lang w:val="en-US" w:eastAsia="zh-CN"/>
        </w:rPr>
        <w:t>使用的</w:t>
      </w:r>
      <w:r>
        <w:rPr>
          <w:color w:val="auto"/>
          <w:kern w:val="0"/>
          <w:sz w:val="24"/>
          <w:highlight w:val="none"/>
        </w:rPr>
        <w:t>仪器见</w:t>
      </w:r>
      <w:r>
        <w:rPr>
          <w:rFonts w:hint="eastAsia"/>
          <w:color w:val="auto"/>
          <w:kern w:val="0"/>
          <w:sz w:val="24"/>
          <w:highlight w:val="none"/>
        </w:rPr>
        <w:t>专题表1</w:t>
      </w:r>
      <w:r>
        <w:rPr>
          <w:color w:val="auto"/>
          <w:kern w:val="0"/>
          <w:sz w:val="24"/>
          <w:highlight w:val="none"/>
        </w:rPr>
        <w:t>。</w:t>
      </w:r>
    </w:p>
    <w:p w14:paraId="6803BB7B">
      <w:pPr>
        <w:pStyle w:val="48"/>
        <w:keepNext w:val="0"/>
        <w:keepLines w:val="0"/>
        <w:pageBreakBefore w:val="0"/>
        <w:widowControl w:val="0"/>
        <w:kinsoku/>
        <w:wordWrap/>
        <w:overflowPunct/>
        <w:topLinePunct w:val="0"/>
        <w:autoSpaceDE/>
        <w:autoSpaceDN/>
        <w:bidi w:val="0"/>
        <w:adjustRightInd/>
        <w:snapToGrid/>
        <w:spacing w:line="360" w:lineRule="auto"/>
        <w:ind w:firstLine="422"/>
        <w:jc w:val="center"/>
        <w:textAlignment w:val="auto"/>
        <w:rPr>
          <w:rFonts w:hint="eastAsia" w:ascii="Times New Roman" w:hAnsi="Times New Roman" w:eastAsia="黑体" w:cs="Times New Roman"/>
          <w:b/>
          <w:bCs/>
          <w:color w:val="auto"/>
          <w:sz w:val="24"/>
          <w:szCs w:val="24"/>
          <w:highlight w:val="none"/>
          <w:lang w:val="en-US" w:eastAsia="zh-CN"/>
        </w:rPr>
      </w:pPr>
    </w:p>
    <w:p w14:paraId="6B94DDF7">
      <w:pPr>
        <w:pStyle w:val="48"/>
        <w:keepNext w:val="0"/>
        <w:keepLines w:val="0"/>
        <w:pageBreakBefore w:val="0"/>
        <w:widowControl w:val="0"/>
        <w:kinsoku/>
        <w:wordWrap/>
        <w:overflowPunct/>
        <w:topLinePunct w:val="0"/>
        <w:autoSpaceDE/>
        <w:autoSpaceDN/>
        <w:bidi w:val="0"/>
        <w:adjustRightInd/>
        <w:snapToGrid/>
        <w:spacing w:line="360" w:lineRule="auto"/>
        <w:ind w:firstLine="422"/>
        <w:jc w:val="center"/>
        <w:textAlignment w:val="auto"/>
        <w:rPr>
          <w:rFonts w:hint="eastAsia" w:ascii="Times New Roman" w:hAnsi="Times New Roman" w:eastAsia="黑体" w:cs="Times New Roman"/>
          <w:b/>
          <w:bCs/>
          <w:color w:val="auto"/>
          <w:sz w:val="24"/>
          <w:szCs w:val="24"/>
          <w:highlight w:val="none"/>
          <w:lang w:val="en-US" w:eastAsia="zh-CN"/>
        </w:rPr>
      </w:pPr>
      <w:r>
        <w:rPr>
          <w:rFonts w:hint="eastAsia" w:ascii="Times New Roman" w:hAnsi="Times New Roman" w:eastAsia="黑体" w:cs="Times New Roman"/>
          <w:b/>
          <w:bCs/>
          <w:color w:val="auto"/>
          <w:sz w:val="24"/>
          <w:szCs w:val="24"/>
          <w:highlight w:val="none"/>
          <w:lang w:val="en-US" w:eastAsia="zh-CN"/>
        </w:rPr>
        <w:t>专题表1  监测仪器一览表</w:t>
      </w:r>
    </w:p>
    <w:tbl>
      <w:tblPr>
        <w:tblStyle w:val="28"/>
        <w:tblW w:w="884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3"/>
        <w:gridCol w:w="1700"/>
        <w:gridCol w:w="2234"/>
        <w:gridCol w:w="960"/>
        <w:gridCol w:w="3291"/>
      </w:tblGrid>
      <w:tr w14:paraId="4F33C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3" w:type="dxa"/>
            <w:noWrap w:val="0"/>
            <w:vAlign w:val="center"/>
          </w:tcPr>
          <w:p w14:paraId="0B567B6B">
            <w:pPr>
              <w:pStyle w:val="4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项目</w:t>
            </w:r>
          </w:p>
        </w:tc>
        <w:tc>
          <w:tcPr>
            <w:tcW w:w="8185" w:type="dxa"/>
            <w:gridSpan w:val="4"/>
            <w:noWrap w:val="0"/>
            <w:vAlign w:val="center"/>
          </w:tcPr>
          <w:p w14:paraId="1F036E87">
            <w:pPr>
              <w:pStyle w:val="4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工频电场、工频磁场监测仪器参数</w:t>
            </w:r>
          </w:p>
        </w:tc>
      </w:tr>
      <w:tr w14:paraId="34F5C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3" w:type="dxa"/>
            <w:vMerge w:val="restart"/>
            <w:noWrap w:val="0"/>
            <w:vAlign w:val="center"/>
          </w:tcPr>
          <w:p w14:paraId="40CE79C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长润安测科技有限公</w:t>
            </w:r>
            <w:r>
              <w:rPr>
                <w:rFonts w:hint="default" w:ascii="Times New Roman" w:hAnsi="Times New Roman" w:eastAsia="宋体" w:cs="Times New Roman"/>
                <w:color w:val="auto"/>
                <w:kern w:val="2"/>
                <w:sz w:val="21"/>
                <w:szCs w:val="21"/>
                <w:highlight w:val="none"/>
              </w:rPr>
              <w:t>司</w:t>
            </w:r>
          </w:p>
        </w:tc>
        <w:tc>
          <w:tcPr>
            <w:tcW w:w="1700" w:type="dxa"/>
            <w:noWrap w:val="0"/>
            <w:vAlign w:val="center"/>
          </w:tcPr>
          <w:p w14:paraId="5D3134B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仪器名称及型号</w:t>
            </w:r>
          </w:p>
        </w:tc>
        <w:tc>
          <w:tcPr>
            <w:tcW w:w="2234" w:type="dxa"/>
            <w:noWrap w:val="0"/>
            <w:vAlign w:val="center"/>
          </w:tcPr>
          <w:p w14:paraId="0CB90B3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测量范围</w:t>
            </w:r>
          </w:p>
        </w:tc>
        <w:tc>
          <w:tcPr>
            <w:tcW w:w="960" w:type="dxa"/>
            <w:noWrap w:val="0"/>
            <w:vAlign w:val="center"/>
          </w:tcPr>
          <w:p w14:paraId="04CD28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生产</w:t>
            </w:r>
          </w:p>
          <w:p w14:paraId="25E7093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厂家</w:t>
            </w:r>
          </w:p>
        </w:tc>
        <w:tc>
          <w:tcPr>
            <w:tcW w:w="3291" w:type="dxa"/>
            <w:noWrap w:val="0"/>
            <w:vAlign w:val="center"/>
          </w:tcPr>
          <w:p w14:paraId="5B1C885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检定与校准</w:t>
            </w:r>
          </w:p>
        </w:tc>
      </w:tr>
      <w:tr w14:paraId="6A9FBF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663" w:type="dxa"/>
            <w:vMerge w:val="continue"/>
            <w:noWrap w:val="0"/>
            <w:vAlign w:val="center"/>
          </w:tcPr>
          <w:p w14:paraId="0761087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p>
        </w:tc>
        <w:tc>
          <w:tcPr>
            <w:tcW w:w="1700" w:type="dxa"/>
            <w:noWrap w:val="0"/>
            <w:vAlign w:val="center"/>
          </w:tcPr>
          <w:p w14:paraId="263FEDA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SEM-600 </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CR-YQ-073</w:t>
            </w:r>
            <w:r>
              <w:rPr>
                <w:rFonts w:hint="eastAsia" w:ascii="Times New Roman" w:hAnsi="Times New Roman" w:eastAsia="宋体" w:cs="Times New Roman"/>
                <w:color w:val="auto"/>
                <w:kern w:val="2"/>
                <w:sz w:val="21"/>
                <w:szCs w:val="21"/>
                <w:highlight w:val="none"/>
                <w:lang w:eastAsia="zh-CN"/>
              </w:rPr>
              <w:t>）</w:t>
            </w:r>
          </w:p>
          <w:p w14:paraId="213025D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电磁辐射分析仪</w:t>
            </w:r>
          </w:p>
        </w:tc>
        <w:tc>
          <w:tcPr>
            <w:tcW w:w="2234" w:type="dxa"/>
            <w:noWrap w:val="0"/>
            <w:vAlign w:val="center"/>
          </w:tcPr>
          <w:p w14:paraId="32AC954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工频电场</w:t>
            </w:r>
          </w:p>
          <w:p w14:paraId="083072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0.</w:t>
            </w:r>
            <w:r>
              <w:rPr>
                <w:rFonts w:hint="eastAsia" w:ascii="Times New Roman" w:hAnsi="Times New Roman" w:eastAsia="宋体" w:cs="Times New Roman"/>
                <w:color w:val="auto"/>
                <w:kern w:val="2"/>
                <w:sz w:val="21"/>
                <w:szCs w:val="21"/>
                <w:highlight w:val="none"/>
                <w:lang w:val="en-US" w:eastAsia="zh-CN"/>
              </w:rPr>
              <w:t>01</w:t>
            </w:r>
            <w:r>
              <w:rPr>
                <w:rFonts w:hint="default" w:ascii="Times New Roman" w:hAnsi="Times New Roman" w:eastAsia="宋体" w:cs="Times New Roman"/>
                <w:color w:val="auto"/>
                <w:kern w:val="2"/>
                <w:sz w:val="21"/>
                <w:szCs w:val="21"/>
                <w:highlight w:val="none"/>
              </w:rPr>
              <w:t>V/m~100kV/m</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工频磁场</w:t>
            </w:r>
          </w:p>
          <w:p w14:paraId="06E0CF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nT~</w:t>
            </w:r>
            <w:r>
              <w:rPr>
                <w:rFonts w:hint="eastAsia" w:ascii="Times New Roman" w:hAnsi="Times New Roman" w:eastAsia="宋体" w:cs="Times New Roman"/>
                <w:color w:val="auto"/>
                <w:kern w:val="2"/>
                <w:sz w:val="21"/>
                <w:szCs w:val="21"/>
                <w:highlight w:val="none"/>
                <w:lang w:val="en-US" w:eastAsia="zh-CN"/>
              </w:rPr>
              <w:t>10</w:t>
            </w:r>
            <w:r>
              <w:rPr>
                <w:rFonts w:hint="default" w:ascii="Times New Roman" w:hAnsi="Times New Roman" w:eastAsia="宋体" w:cs="Times New Roman"/>
                <w:color w:val="auto"/>
                <w:kern w:val="2"/>
                <w:sz w:val="21"/>
                <w:szCs w:val="21"/>
                <w:highlight w:val="none"/>
              </w:rPr>
              <w:t>mT）</w:t>
            </w:r>
          </w:p>
        </w:tc>
        <w:tc>
          <w:tcPr>
            <w:tcW w:w="960" w:type="dxa"/>
            <w:noWrap w:val="0"/>
            <w:vAlign w:val="center"/>
          </w:tcPr>
          <w:p w14:paraId="7993C8A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北京森馥科技股份有限公司</w:t>
            </w:r>
          </w:p>
        </w:tc>
        <w:tc>
          <w:tcPr>
            <w:tcW w:w="3291" w:type="dxa"/>
            <w:noWrap w:val="0"/>
            <w:vAlign w:val="center"/>
          </w:tcPr>
          <w:p w14:paraId="3174780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left"/>
              <w:textAlignment w:val="auto"/>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出厂编号：G2061&amp;D2061</w:t>
            </w:r>
          </w:p>
          <w:p w14:paraId="1E6AC68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rPr>
              <w:t>检定单位：华</w:t>
            </w:r>
            <w:r>
              <w:rPr>
                <w:rFonts w:hint="default" w:ascii="Times New Roman" w:hAnsi="Times New Roman" w:eastAsia="宋体" w:cs="Times New Roman"/>
                <w:color w:val="auto"/>
                <w:kern w:val="2"/>
                <w:sz w:val="21"/>
                <w:szCs w:val="21"/>
                <w:highlight w:val="none"/>
                <w:lang w:eastAsia="zh-CN"/>
              </w:rPr>
              <w:t>南</w:t>
            </w:r>
            <w:r>
              <w:rPr>
                <w:rFonts w:hint="default" w:ascii="Times New Roman" w:hAnsi="Times New Roman" w:eastAsia="宋体" w:cs="Times New Roman"/>
                <w:color w:val="auto"/>
                <w:kern w:val="2"/>
                <w:sz w:val="21"/>
                <w:szCs w:val="21"/>
                <w:highlight w:val="none"/>
              </w:rPr>
              <w:t>国家计量测试中心</w:t>
            </w:r>
            <w:r>
              <w:rPr>
                <w:rFonts w:hint="default" w:ascii="Times New Roman" w:hAnsi="Times New Roman" w:eastAsia="宋体" w:cs="Times New Roman"/>
                <w:color w:val="auto"/>
                <w:kern w:val="2"/>
                <w:sz w:val="21"/>
                <w:szCs w:val="21"/>
                <w:highlight w:val="none"/>
                <w:lang w:eastAsia="zh-CN"/>
              </w:rPr>
              <w:t>（广东省计量科学研究院）</w:t>
            </w:r>
          </w:p>
          <w:p w14:paraId="30A8073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检定证书号：</w:t>
            </w:r>
            <w:r>
              <w:rPr>
                <w:rFonts w:hint="default" w:ascii="Times New Roman" w:hAnsi="Times New Roman" w:eastAsia="宋体" w:cs="Times New Roman"/>
                <w:color w:val="auto"/>
                <w:kern w:val="2"/>
                <w:sz w:val="21"/>
                <w:szCs w:val="21"/>
                <w:highlight w:val="none"/>
                <w:lang w:val="en-US" w:eastAsia="zh-CN"/>
              </w:rPr>
              <w:t>HYQ25A0613758</w:t>
            </w:r>
          </w:p>
          <w:p w14:paraId="5793C25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有效期</w:t>
            </w:r>
            <w:r>
              <w:rPr>
                <w:rFonts w:hint="eastAsia" w:cs="Times New Roman"/>
                <w:color w:val="auto"/>
                <w:kern w:val="2"/>
                <w:sz w:val="21"/>
                <w:szCs w:val="21"/>
                <w:highlight w:val="none"/>
                <w:lang w:val="en-US" w:eastAsia="zh-CN"/>
              </w:rPr>
              <w:t>至</w:t>
            </w:r>
            <w:r>
              <w:rPr>
                <w:rFonts w:hint="default" w:ascii="Times New Roman" w:hAnsi="Times New Roman" w:eastAsia="宋体" w:cs="Times New Roman"/>
                <w:color w:val="auto"/>
                <w:kern w:val="2"/>
                <w:sz w:val="21"/>
                <w:szCs w:val="21"/>
                <w:highlight w:val="none"/>
              </w:rPr>
              <w:t>：2026年0</w:t>
            </w:r>
            <w:r>
              <w:rPr>
                <w:rFonts w:hint="default" w:ascii="Times New Roman" w:hAnsi="Times New Roman" w:eastAsia="宋体" w:cs="Times New Roman"/>
                <w:color w:val="auto"/>
                <w:kern w:val="2"/>
                <w:sz w:val="21"/>
                <w:szCs w:val="21"/>
                <w:highlight w:val="none"/>
                <w:lang w:val="en-US" w:eastAsia="zh-CN"/>
              </w:rPr>
              <w:t>6</w:t>
            </w:r>
            <w:r>
              <w:rPr>
                <w:rFonts w:hint="default" w:ascii="Times New Roman" w:hAnsi="Times New Roman" w:eastAsia="宋体" w:cs="Times New Roman"/>
                <w:color w:val="auto"/>
                <w:kern w:val="2"/>
                <w:sz w:val="21"/>
                <w:szCs w:val="21"/>
                <w:highlight w:val="none"/>
              </w:rPr>
              <w:t>月</w:t>
            </w:r>
            <w:r>
              <w:rPr>
                <w:rFonts w:hint="default" w:ascii="Times New Roman" w:hAnsi="Times New Roman" w:eastAsia="宋体" w:cs="Times New Roman"/>
                <w:color w:val="auto"/>
                <w:kern w:val="2"/>
                <w:sz w:val="21"/>
                <w:szCs w:val="21"/>
                <w:highlight w:val="none"/>
                <w:lang w:val="en-US" w:eastAsia="zh-CN"/>
              </w:rPr>
              <w:t>30</w:t>
            </w:r>
            <w:r>
              <w:rPr>
                <w:rFonts w:hint="default" w:ascii="Times New Roman" w:hAnsi="Times New Roman" w:eastAsia="宋体" w:cs="Times New Roman"/>
                <w:color w:val="auto"/>
                <w:kern w:val="2"/>
                <w:sz w:val="21"/>
                <w:szCs w:val="21"/>
                <w:highlight w:val="none"/>
              </w:rPr>
              <w:t>日</w:t>
            </w:r>
          </w:p>
        </w:tc>
      </w:tr>
    </w:tbl>
    <w:p w14:paraId="3D53A6D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rFonts w:hint="eastAsia"/>
          <w:b/>
          <w:bCs/>
          <w:color w:val="auto"/>
          <w:sz w:val="24"/>
          <w:highlight w:val="none"/>
          <w:lang w:val="en-US" w:eastAsia="zh-CN"/>
        </w:rPr>
        <w:t>4</w:t>
      </w:r>
      <w:r>
        <w:rPr>
          <w:b/>
          <w:bCs/>
          <w:color w:val="auto"/>
          <w:sz w:val="24"/>
          <w:highlight w:val="none"/>
        </w:rPr>
        <w:t>、监测频次</w:t>
      </w:r>
    </w:p>
    <w:p w14:paraId="6613AE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监测1次。</w:t>
      </w:r>
    </w:p>
    <w:p w14:paraId="0C0FE9A9">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highlight w:val="none"/>
        </w:rPr>
      </w:pPr>
      <w:r>
        <w:rPr>
          <w:color w:val="auto"/>
          <w:sz w:val="24"/>
          <w:highlight w:val="none"/>
        </w:rPr>
        <w:t xml:space="preserve">    </w:t>
      </w:r>
      <w:r>
        <w:rPr>
          <w:rFonts w:hint="eastAsia"/>
          <w:b/>
          <w:bCs/>
          <w:color w:val="auto"/>
          <w:sz w:val="24"/>
          <w:highlight w:val="none"/>
          <w:lang w:val="en-US" w:eastAsia="zh-CN"/>
        </w:rPr>
        <w:t>5</w:t>
      </w:r>
      <w:r>
        <w:rPr>
          <w:b/>
          <w:bCs/>
          <w:color w:val="auto"/>
          <w:sz w:val="24"/>
          <w:highlight w:val="none"/>
        </w:rPr>
        <w:t>、监测条件</w:t>
      </w:r>
    </w:p>
    <w:p w14:paraId="353658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0"/>
          <w:sz w:val="24"/>
          <w:highlight w:val="none"/>
        </w:rPr>
      </w:pPr>
      <w:r>
        <w:rPr>
          <w:rFonts w:hint="eastAsia"/>
          <w:bCs/>
          <w:color w:val="auto"/>
          <w:kern w:val="0"/>
          <w:sz w:val="24"/>
          <w:highlight w:val="none"/>
          <w:lang w:val="en-US" w:eastAsia="zh-CN"/>
        </w:rPr>
        <w:t>昼间：天气晴，温度5℃，湿度42.1</w:t>
      </w:r>
      <w:r>
        <w:rPr>
          <w:rFonts w:hint="default"/>
          <w:bCs/>
          <w:color w:val="auto"/>
          <w:kern w:val="0"/>
          <w:sz w:val="24"/>
          <w:highlight w:val="none"/>
          <w:lang w:val="en-US" w:eastAsia="zh-CN"/>
        </w:rPr>
        <w:t>%</w:t>
      </w:r>
      <w:r>
        <w:rPr>
          <w:rFonts w:hint="eastAsia"/>
          <w:bCs/>
          <w:color w:val="auto"/>
          <w:kern w:val="0"/>
          <w:sz w:val="24"/>
          <w:highlight w:val="none"/>
          <w:lang w:val="en-US" w:eastAsia="zh-CN"/>
        </w:rPr>
        <w:t>，风速1.8</w:t>
      </w:r>
      <w:r>
        <w:rPr>
          <w:rFonts w:hint="default"/>
          <w:bCs/>
          <w:color w:val="auto"/>
          <w:kern w:val="0"/>
          <w:sz w:val="24"/>
          <w:highlight w:val="none"/>
          <w:lang w:val="en-US" w:eastAsia="zh-CN"/>
        </w:rPr>
        <w:t>m/s</w:t>
      </w:r>
      <w:r>
        <w:rPr>
          <w:color w:val="auto"/>
          <w:sz w:val="24"/>
          <w:highlight w:val="none"/>
        </w:rPr>
        <w:t>。</w:t>
      </w:r>
    </w:p>
    <w:p w14:paraId="32D4612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b/>
          <w:bCs/>
          <w:color w:val="auto"/>
          <w:sz w:val="24"/>
          <w:highlight w:val="none"/>
        </w:rPr>
      </w:pPr>
      <w:r>
        <w:rPr>
          <w:rFonts w:hint="eastAsia"/>
          <w:b/>
          <w:bCs/>
          <w:color w:val="auto"/>
          <w:sz w:val="24"/>
          <w:highlight w:val="none"/>
          <w:lang w:val="en-US" w:eastAsia="zh-CN"/>
        </w:rPr>
        <w:t>6</w:t>
      </w:r>
      <w:r>
        <w:rPr>
          <w:b/>
          <w:bCs/>
          <w:color w:val="auto"/>
          <w:sz w:val="24"/>
          <w:highlight w:val="none"/>
        </w:rPr>
        <w:t>、质量控制</w:t>
      </w:r>
    </w:p>
    <w:p w14:paraId="6B6656B1">
      <w:pPr>
        <w:spacing w:line="360" w:lineRule="auto"/>
        <w:ind w:firstLine="480" w:firstLineChars="200"/>
        <w:rPr>
          <w:rFonts w:hint="eastAsia"/>
          <w:color w:val="auto"/>
          <w:sz w:val="24"/>
          <w:highlight w:val="none"/>
        </w:rPr>
      </w:pPr>
      <w:r>
        <w:rPr>
          <w:color w:val="auto"/>
          <w:sz w:val="24"/>
          <w:highlight w:val="none"/>
        </w:rPr>
        <w:t>（1）</w:t>
      </w:r>
      <w:r>
        <w:rPr>
          <w:rFonts w:hint="eastAsia"/>
          <w:color w:val="auto"/>
          <w:sz w:val="24"/>
          <w:highlight w:val="none"/>
        </w:rPr>
        <w:t>监测点位置的选取应具有代表性。</w:t>
      </w:r>
    </w:p>
    <w:p w14:paraId="29640E92">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监测所用仪器应与所测对象在</w:t>
      </w:r>
      <w:r>
        <w:rPr>
          <w:rFonts w:hint="eastAsia"/>
          <w:color w:val="auto"/>
          <w:sz w:val="24"/>
          <w:highlight w:val="none"/>
          <w:lang w:val="en-US" w:eastAsia="zh-CN"/>
        </w:rPr>
        <w:t>频</w:t>
      </w:r>
      <w:r>
        <w:rPr>
          <w:rFonts w:hint="eastAsia"/>
          <w:color w:val="auto"/>
          <w:sz w:val="24"/>
          <w:highlight w:val="none"/>
        </w:rPr>
        <w:t>率、</w:t>
      </w:r>
      <w:r>
        <w:rPr>
          <w:rFonts w:hint="eastAsia"/>
          <w:color w:val="auto"/>
          <w:sz w:val="24"/>
          <w:highlight w:val="none"/>
          <w:lang w:val="en-US" w:eastAsia="zh-CN"/>
        </w:rPr>
        <w:t>量</w:t>
      </w:r>
      <w:r>
        <w:rPr>
          <w:rFonts w:hint="eastAsia"/>
          <w:color w:val="auto"/>
          <w:sz w:val="24"/>
          <w:highlight w:val="none"/>
        </w:rPr>
        <w:t>程、响应时间等方面相符合。</w:t>
      </w:r>
    </w:p>
    <w:p w14:paraId="54CF253B">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eastAsia"/>
          <w:color w:val="auto"/>
          <w:sz w:val="24"/>
          <w:highlight w:val="none"/>
        </w:rPr>
        <w:t>监测仪器应定期校准，并在其证书有效期内使用。每次监测前后均检査仪器，确保仪器在正常工作状态。</w:t>
      </w:r>
    </w:p>
    <w:p w14:paraId="0218AC71">
      <w:pPr>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监测人员应经业务培训，考核合格并取得岗位合格证书。现场监测工作须不少于</w:t>
      </w:r>
      <w:r>
        <w:rPr>
          <w:rFonts w:hint="eastAsia"/>
          <w:color w:val="auto"/>
          <w:sz w:val="24"/>
          <w:highlight w:val="none"/>
          <w:lang w:val="en-US" w:eastAsia="zh-CN"/>
        </w:rPr>
        <w:t>二</w:t>
      </w:r>
      <w:r>
        <w:rPr>
          <w:rFonts w:hint="eastAsia"/>
          <w:color w:val="auto"/>
          <w:sz w:val="24"/>
          <w:highlight w:val="none"/>
        </w:rPr>
        <w:t>名监测人员才能</w:t>
      </w:r>
      <w:r>
        <w:rPr>
          <w:rFonts w:hint="eastAsia"/>
          <w:color w:val="auto"/>
          <w:sz w:val="24"/>
          <w:highlight w:val="none"/>
          <w:lang w:val="en-US" w:eastAsia="zh-CN"/>
        </w:rPr>
        <w:t>进行。</w:t>
      </w:r>
    </w:p>
    <w:p w14:paraId="692E5C13">
      <w:pPr>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rFonts w:hint="eastAsia"/>
          <w:color w:val="auto"/>
          <w:sz w:val="24"/>
          <w:highlight w:val="none"/>
        </w:rPr>
        <w:t>监测中异常数据的取舍以及监测结果的数据处理应按统计学原则处理</w:t>
      </w:r>
      <w:r>
        <w:rPr>
          <w:rFonts w:hint="eastAsia"/>
          <w:color w:val="auto"/>
          <w:sz w:val="24"/>
          <w:highlight w:val="none"/>
          <w:lang w:eastAsia="zh-CN"/>
        </w:rPr>
        <w:t>。</w:t>
      </w:r>
    </w:p>
    <w:p w14:paraId="267E2F19">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监测时尽可能排除</w:t>
      </w:r>
      <w:r>
        <w:rPr>
          <w:rFonts w:hint="eastAsia"/>
          <w:color w:val="auto"/>
          <w:sz w:val="24"/>
          <w:highlight w:val="none"/>
          <w:lang w:val="en-US" w:eastAsia="zh-CN"/>
        </w:rPr>
        <w:t>干</w:t>
      </w:r>
      <w:r>
        <w:rPr>
          <w:rFonts w:hint="eastAsia"/>
          <w:color w:val="auto"/>
          <w:sz w:val="24"/>
          <w:highlight w:val="none"/>
        </w:rPr>
        <w:t>扰因素，包括人为的</w:t>
      </w:r>
      <w:r>
        <w:rPr>
          <w:rFonts w:hint="eastAsia"/>
          <w:color w:val="auto"/>
          <w:sz w:val="24"/>
          <w:highlight w:val="none"/>
          <w:lang w:val="en-US" w:eastAsia="zh-CN"/>
        </w:rPr>
        <w:t>干</w:t>
      </w:r>
      <w:r>
        <w:rPr>
          <w:rFonts w:hint="eastAsia"/>
          <w:color w:val="auto"/>
          <w:sz w:val="24"/>
          <w:highlight w:val="none"/>
        </w:rPr>
        <w:t>扰因素和</w:t>
      </w:r>
      <w:r>
        <w:rPr>
          <w:rFonts w:hint="eastAsia"/>
          <w:color w:val="auto"/>
          <w:sz w:val="24"/>
          <w:highlight w:val="none"/>
          <w:lang w:val="en-US" w:eastAsia="zh-CN"/>
        </w:rPr>
        <w:t>环境干扰</w:t>
      </w:r>
      <w:r>
        <w:rPr>
          <w:rFonts w:hint="eastAsia"/>
          <w:color w:val="auto"/>
          <w:sz w:val="24"/>
          <w:highlight w:val="none"/>
        </w:rPr>
        <w:t>因素</w:t>
      </w:r>
      <w:r>
        <w:rPr>
          <w:rFonts w:hint="eastAsia"/>
          <w:color w:val="auto"/>
          <w:sz w:val="24"/>
          <w:highlight w:val="none"/>
          <w:lang w:eastAsia="zh-CN"/>
        </w:rPr>
        <w:t>。</w:t>
      </w:r>
    </w:p>
    <w:p w14:paraId="7BB6C530">
      <w:pPr>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color w:val="auto"/>
          <w:sz w:val="24"/>
          <w:highlight w:val="none"/>
        </w:rPr>
        <w:t>应建立完整的监测文件档案。</w:t>
      </w:r>
    </w:p>
    <w:p w14:paraId="7E6AAA6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7、监测布点</w:t>
      </w:r>
    </w:p>
    <w:p w14:paraId="5D18FBED">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按照《环境影响评价技术导则 输变电》（HJ24-2020）布点。</w:t>
      </w:r>
    </w:p>
    <w:p w14:paraId="07E87A47">
      <w:pPr>
        <w:spacing w:line="360" w:lineRule="auto"/>
        <w:ind w:firstLine="480" w:firstLineChars="200"/>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①新建张程110千伏变电站工程：</w:t>
      </w:r>
      <w:r>
        <w:rPr>
          <w:rFonts w:hint="default" w:ascii="Times New Roman" w:hAnsi="Times New Roman" w:eastAsia="宋体" w:cs="Times New Roman"/>
          <w:color w:val="auto"/>
          <w:sz w:val="24"/>
          <w:highlight w:val="none"/>
          <w:lang w:eastAsia="zh-CN"/>
        </w:rPr>
        <w:t>本次监测选择拟建站界四周围墙外布设监测点，共布设4个监测点。</w:t>
      </w:r>
    </w:p>
    <w:p w14:paraId="3624392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②新建渝河110千伏变电站~张程变110千伏线路工程：线路位于******，</w:t>
      </w:r>
      <w:r>
        <w:rPr>
          <w:rFonts w:hint="eastAsia" w:ascii="Times New Roman" w:hAnsi="Times New Roman" w:eastAsia="宋体" w:cs="Times New Roman"/>
          <w:color w:val="auto"/>
          <w:sz w:val="24"/>
          <w:highlight w:val="none"/>
          <w:lang w:eastAsia="zh-CN"/>
        </w:rPr>
        <w:t>监测点布设尽量沿线路路径均匀布点，兼顾行政区及环境特征的代表性</w:t>
      </w:r>
      <w:r>
        <w:rPr>
          <w:rFonts w:hint="eastAsia" w:ascii="Times New Roman" w:hAnsi="Times New Roman" w:eastAsia="宋体" w:cs="Times New Roman"/>
          <w:color w:val="auto"/>
          <w:sz w:val="24"/>
          <w:highlight w:val="none"/>
          <w:lang w:val="en-US" w:eastAsia="zh-CN"/>
        </w:rPr>
        <w:t>进行布设</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本次在线路路径上</w:t>
      </w:r>
      <w:r>
        <w:rPr>
          <w:rFonts w:hint="eastAsia" w:ascii="Times New Roman" w:hAnsi="Times New Roman" w:eastAsia="宋体" w:cs="Times New Roman"/>
          <w:color w:val="auto"/>
          <w:sz w:val="24"/>
          <w:highlight w:val="none"/>
          <w:lang w:eastAsia="zh-CN"/>
        </w:rPr>
        <w:t>布设</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监测点。</w:t>
      </w:r>
    </w:p>
    <w:p w14:paraId="395ED512">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③</w:t>
      </w:r>
      <w:r>
        <w:rPr>
          <w:rFonts w:hint="eastAsia" w:ascii="Times New Roman" w:hAnsi="Times New Roman" w:eastAsia="宋体" w:cs="Times New Roman"/>
          <w:color w:val="auto"/>
          <w:sz w:val="24"/>
          <w:highlight w:val="none"/>
          <w:lang w:eastAsia="zh-CN"/>
        </w:rPr>
        <w:t>环境敏感目标：</w:t>
      </w:r>
      <w:r>
        <w:rPr>
          <w:rFonts w:hint="eastAsia" w:ascii="Times New Roman" w:hAnsi="Times New Roman" w:eastAsia="宋体" w:cs="Times New Roman"/>
          <w:color w:val="auto"/>
          <w:sz w:val="24"/>
          <w:highlight w:val="none"/>
          <w:lang w:val="en-US" w:eastAsia="zh-CN"/>
        </w:rPr>
        <w:t>本次监测对所有电磁环境敏感目标进行监测，</w:t>
      </w:r>
      <w:r>
        <w:rPr>
          <w:rFonts w:hint="default" w:ascii="Times New Roman" w:hAnsi="Times New Roman" w:eastAsia="宋体" w:cs="Times New Roman"/>
          <w:color w:val="auto"/>
          <w:sz w:val="24"/>
          <w:highlight w:val="none"/>
          <w:lang w:val="en-US" w:eastAsia="zh-CN"/>
        </w:rPr>
        <w:t>监测点选在</w:t>
      </w:r>
      <w:r>
        <w:rPr>
          <w:rFonts w:hint="eastAsia" w:ascii="Times New Roman" w:hAnsi="Times New Roman" w:eastAsia="宋体" w:cs="Times New Roman"/>
          <w:color w:val="auto"/>
          <w:sz w:val="24"/>
          <w:highlight w:val="none"/>
          <w:lang w:val="en-US" w:eastAsia="zh-CN"/>
        </w:rPr>
        <w:t>电磁</w:t>
      </w:r>
      <w:r>
        <w:rPr>
          <w:rFonts w:hint="default" w:ascii="Times New Roman" w:hAnsi="Times New Roman" w:eastAsia="宋体" w:cs="Times New Roman"/>
          <w:color w:val="auto"/>
          <w:sz w:val="24"/>
          <w:highlight w:val="none"/>
          <w:lang w:val="en-US" w:eastAsia="zh-CN"/>
        </w:rPr>
        <w:t>环境敏感目标建筑物户外</w:t>
      </w:r>
      <w:r>
        <w:rPr>
          <w:rFonts w:hint="eastAsia" w:ascii="Times New Roman" w:hAnsi="Times New Roman" w:eastAsia="宋体" w:cs="Times New Roman"/>
          <w:color w:val="auto"/>
          <w:sz w:val="24"/>
          <w:highlight w:val="none"/>
          <w:lang w:val="en-US" w:eastAsia="zh-CN"/>
        </w:rPr>
        <w:t>，且靠近</w:t>
      </w: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一侧</w:t>
      </w:r>
      <w:r>
        <w:rPr>
          <w:rFonts w:hint="default" w:ascii="Times New Roman" w:hAnsi="Times New Roman" w:eastAsia="宋体" w:cs="Times New Roman"/>
          <w:color w:val="auto"/>
          <w:sz w:val="24"/>
          <w:highlight w:val="none"/>
          <w:lang w:val="en-US" w:eastAsia="zh-CN"/>
        </w:rPr>
        <w:t>，距离墙壁1m处，距离地面1.5m的位置</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eastAsia="zh-CN"/>
        </w:rPr>
        <w:t>共布设</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个监测点。</w:t>
      </w:r>
    </w:p>
    <w:p w14:paraId="1146DFCD">
      <w:pPr>
        <w:spacing w:line="360" w:lineRule="auto"/>
        <w:ind w:firstLine="480" w:firstLineChars="200"/>
        <w:rPr>
          <w:color w:val="auto"/>
          <w:highlight w:val="none"/>
        </w:rPr>
      </w:pPr>
      <w:r>
        <w:rPr>
          <w:rFonts w:hint="eastAsia" w:ascii="Times New Roman" w:hAnsi="Times New Roman" w:eastAsia="宋体" w:cs="Times New Roman"/>
          <w:color w:val="auto"/>
          <w:sz w:val="24"/>
          <w:highlight w:val="none"/>
          <w:lang w:val="en-US" w:eastAsia="zh-CN"/>
        </w:rPr>
        <w:t>工频电、磁场</w:t>
      </w:r>
      <w:r>
        <w:rPr>
          <w:rFonts w:hint="eastAsia" w:ascii="Times New Roman" w:hAnsi="Times New Roman" w:eastAsia="宋体" w:cs="Times New Roman"/>
          <w:color w:val="auto"/>
          <w:sz w:val="24"/>
          <w:highlight w:val="none"/>
          <w:lang w:eastAsia="zh-CN"/>
        </w:rPr>
        <w:t>监测点位详见专题图1。</w:t>
      </w:r>
    </w:p>
    <w:p w14:paraId="687F7DBE">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b w:val="0"/>
          <w:bCs w:val="0"/>
          <w:color w:val="auto"/>
          <w:sz w:val="24"/>
          <w:szCs w:val="24"/>
          <w:highlight w:val="none"/>
          <w:lang w:val="en-US" w:eastAsia="zh-CN"/>
        </w:rPr>
      </w:pPr>
      <w:r>
        <w:rPr>
          <w:rFonts w:hint="eastAsia" w:eastAsia="黑体" w:cs="Times New Roman"/>
          <w:b w:val="0"/>
          <w:bCs w:val="0"/>
          <w:color w:val="auto"/>
          <w:sz w:val="24"/>
          <w:szCs w:val="24"/>
          <w:highlight w:val="none"/>
          <w:lang w:val="en-US" w:eastAsia="zh-CN"/>
        </w:rPr>
        <w:t>******</w:t>
      </w:r>
    </w:p>
    <w:p w14:paraId="0F95A7CD">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黑体" w:cs="Times New Roman"/>
          <w:b/>
          <w:bCs/>
          <w:color w:val="auto"/>
          <w:sz w:val="24"/>
          <w:szCs w:val="24"/>
          <w:highlight w:val="none"/>
          <w:lang w:val="en-US" w:eastAsia="zh-CN"/>
        </w:rPr>
      </w:pPr>
      <w:r>
        <w:rPr>
          <w:rFonts w:hint="default" w:ascii="Times New Roman" w:hAnsi="Times New Roman" w:eastAsia="黑体" w:cs="Times New Roman"/>
          <w:b/>
          <w:bCs/>
          <w:color w:val="auto"/>
          <w:sz w:val="24"/>
          <w:szCs w:val="24"/>
          <w:highlight w:val="none"/>
          <w:lang w:val="en-US" w:eastAsia="zh-CN"/>
        </w:rPr>
        <w:t>专题图1  本项目</w:t>
      </w:r>
      <w:r>
        <w:rPr>
          <w:rFonts w:hint="eastAsia" w:ascii="Times New Roman" w:hAnsi="Times New Roman" w:eastAsia="黑体" w:cs="Times New Roman"/>
          <w:b/>
          <w:bCs/>
          <w:color w:val="auto"/>
          <w:sz w:val="24"/>
          <w:szCs w:val="24"/>
          <w:highlight w:val="none"/>
          <w:lang w:val="en-US" w:eastAsia="zh-CN"/>
        </w:rPr>
        <w:t>工频电、磁场</w:t>
      </w:r>
      <w:r>
        <w:rPr>
          <w:rFonts w:hint="default" w:ascii="Times New Roman" w:hAnsi="Times New Roman" w:eastAsia="黑体" w:cs="Times New Roman"/>
          <w:b/>
          <w:bCs/>
          <w:color w:val="auto"/>
          <w:sz w:val="24"/>
          <w:szCs w:val="24"/>
          <w:highlight w:val="none"/>
          <w:lang w:val="en-US" w:eastAsia="zh-CN"/>
        </w:rPr>
        <w:t>监测点位示意图</w:t>
      </w:r>
    </w:p>
    <w:p w14:paraId="0C3CD9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highlight w:val="none"/>
        </w:rPr>
      </w:pPr>
      <w:r>
        <w:rPr>
          <w:b/>
          <w:bCs/>
          <w:color w:val="auto"/>
          <w:sz w:val="24"/>
          <w:highlight w:val="none"/>
        </w:rPr>
        <w:t>8、监测结果</w:t>
      </w:r>
    </w:p>
    <w:p w14:paraId="156AA0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color w:val="auto"/>
          <w:sz w:val="24"/>
          <w:highlight w:val="none"/>
        </w:rPr>
        <w:t>电磁环境现状监测结果见专题表</w:t>
      </w:r>
      <w:r>
        <w:rPr>
          <w:rFonts w:hint="eastAsia"/>
          <w:color w:val="auto"/>
          <w:sz w:val="24"/>
          <w:highlight w:val="none"/>
        </w:rPr>
        <w:t>2</w:t>
      </w:r>
      <w:r>
        <w:rPr>
          <w:color w:val="auto"/>
          <w:sz w:val="24"/>
          <w:highlight w:val="none"/>
        </w:rPr>
        <w:t>。</w:t>
      </w:r>
    </w:p>
    <w:p w14:paraId="7AE59D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highlight w:val="none"/>
        </w:rPr>
      </w:pPr>
      <w:r>
        <w:rPr>
          <w:rFonts w:eastAsia="黑体"/>
          <w:b/>
          <w:color w:val="auto"/>
          <w:sz w:val="24"/>
          <w:highlight w:val="none"/>
        </w:rPr>
        <w:t>专题表</w:t>
      </w:r>
      <w:r>
        <w:rPr>
          <w:rFonts w:hint="eastAsia" w:eastAsia="黑体"/>
          <w:b/>
          <w:color w:val="auto"/>
          <w:sz w:val="24"/>
          <w:highlight w:val="none"/>
        </w:rPr>
        <w:t>2</w:t>
      </w:r>
      <w:r>
        <w:rPr>
          <w:rFonts w:eastAsia="黑体"/>
          <w:b/>
          <w:color w:val="auto"/>
          <w:sz w:val="24"/>
          <w:highlight w:val="none"/>
        </w:rPr>
        <w:t xml:space="preserve">  电磁环境现状监测结果统计表</w:t>
      </w:r>
    </w:p>
    <w:tbl>
      <w:tblPr>
        <w:tblStyle w:val="28"/>
        <w:tblW w:w="85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50"/>
        <w:gridCol w:w="984"/>
        <w:gridCol w:w="1900"/>
        <w:gridCol w:w="816"/>
        <w:gridCol w:w="884"/>
        <w:gridCol w:w="900"/>
        <w:gridCol w:w="866"/>
        <w:gridCol w:w="867"/>
      </w:tblGrid>
      <w:tr w14:paraId="16FC6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04" w:type="dxa"/>
            <w:vMerge w:val="restart"/>
            <w:vAlign w:val="center"/>
          </w:tcPr>
          <w:p w14:paraId="4BB85E5E">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序号</w:t>
            </w:r>
          </w:p>
        </w:tc>
        <w:tc>
          <w:tcPr>
            <w:tcW w:w="850" w:type="dxa"/>
            <w:vMerge w:val="restart"/>
            <w:vAlign w:val="center"/>
          </w:tcPr>
          <w:p w14:paraId="1B5CF023">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行政</w:t>
            </w:r>
          </w:p>
          <w:p w14:paraId="75A4FBA6">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区域</w:t>
            </w:r>
          </w:p>
        </w:tc>
        <w:tc>
          <w:tcPr>
            <w:tcW w:w="2884" w:type="dxa"/>
            <w:gridSpan w:val="2"/>
            <w:vMerge w:val="restart"/>
            <w:vAlign w:val="center"/>
          </w:tcPr>
          <w:p w14:paraId="5F666302">
            <w:pPr>
              <w:adjustRightInd w:val="0"/>
              <w:snapToGrid w:val="0"/>
              <w:jc w:val="center"/>
              <w:rPr>
                <w:rFonts w:hint="default" w:ascii="Times New Roman" w:hAnsi="Times New Roman" w:eastAsia="宋体" w:cs="Times New Roman"/>
                <w:b/>
                <w:bCs/>
                <w:color w:val="auto"/>
                <w:kern w:val="0"/>
                <w:szCs w:val="21"/>
                <w:highlight w:val="none"/>
                <w:lang w:val="en-US" w:eastAsia="zh-CN"/>
              </w:rPr>
            </w:pPr>
            <w:r>
              <w:rPr>
                <w:rFonts w:hint="eastAsia" w:cs="Times New Roman"/>
                <w:b/>
                <w:bCs/>
                <w:color w:val="auto"/>
                <w:kern w:val="0"/>
                <w:szCs w:val="21"/>
                <w:highlight w:val="none"/>
                <w:lang w:val="en-US" w:eastAsia="zh-CN"/>
              </w:rPr>
              <w:t>点位描述</w:t>
            </w:r>
          </w:p>
        </w:tc>
        <w:tc>
          <w:tcPr>
            <w:tcW w:w="816" w:type="dxa"/>
            <w:vMerge w:val="restart"/>
            <w:vAlign w:val="center"/>
          </w:tcPr>
          <w:p w14:paraId="7419BE72">
            <w:pPr>
              <w:adjustRightInd w:val="0"/>
              <w:snapToGrid w:val="0"/>
              <w:jc w:val="center"/>
              <w:rPr>
                <w:rFonts w:hint="default" w:ascii="Times New Roman" w:hAnsi="Times New Roman" w:cs="Times New Roman"/>
                <w:b/>
                <w:bCs/>
                <w:color w:val="auto"/>
                <w:kern w:val="0"/>
                <w:szCs w:val="21"/>
                <w:highlight w:val="none"/>
              </w:rPr>
            </w:pPr>
            <w:r>
              <w:rPr>
                <w:rFonts w:hint="eastAsia"/>
                <w:b/>
                <w:bCs/>
                <w:color w:val="auto"/>
                <w:kern w:val="0"/>
                <w:sz w:val="21"/>
                <w:szCs w:val="21"/>
                <w:highlight w:val="none"/>
              </w:rPr>
              <w:t>测量高度（m）</w:t>
            </w:r>
          </w:p>
        </w:tc>
        <w:tc>
          <w:tcPr>
            <w:tcW w:w="1784" w:type="dxa"/>
            <w:gridSpan w:val="2"/>
            <w:vAlign w:val="center"/>
          </w:tcPr>
          <w:p w14:paraId="6726D802">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工频电场强度（V/m）</w:t>
            </w:r>
          </w:p>
        </w:tc>
        <w:tc>
          <w:tcPr>
            <w:tcW w:w="1733" w:type="dxa"/>
            <w:gridSpan w:val="2"/>
            <w:vAlign w:val="center"/>
          </w:tcPr>
          <w:p w14:paraId="252818F0">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工频磁感应强度（μT）</w:t>
            </w:r>
          </w:p>
        </w:tc>
      </w:tr>
      <w:tr w14:paraId="47714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Merge w:val="continue"/>
            <w:vAlign w:val="center"/>
          </w:tcPr>
          <w:p w14:paraId="6663B3CF">
            <w:pPr>
              <w:adjustRightInd w:val="0"/>
              <w:snapToGrid w:val="0"/>
              <w:jc w:val="center"/>
              <w:rPr>
                <w:rFonts w:hint="default" w:ascii="Times New Roman" w:hAnsi="Times New Roman" w:cs="Times New Roman"/>
                <w:b/>
                <w:bCs/>
                <w:color w:val="auto"/>
                <w:kern w:val="0"/>
                <w:szCs w:val="21"/>
                <w:highlight w:val="none"/>
              </w:rPr>
            </w:pPr>
          </w:p>
        </w:tc>
        <w:tc>
          <w:tcPr>
            <w:tcW w:w="850" w:type="dxa"/>
            <w:vMerge w:val="continue"/>
            <w:vAlign w:val="center"/>
          </w:tcPr>
          <w:p w14:paraId="228D7718">
            <w:pPr>
              <w:adjustRightInd w:val="0"/>
              <w:snapToGrid w:val="0"/>
              <w:jc w:val="center"/>
              <w:rPr>
                <w:rFonts w:hint="default" w:ascii="Times New Roman" w:hAnsi="Times New Roman" w:cs="Times New Roman"/>
                <w:b/>
                <w:bCs/>
                <w:color w:val="auto"/>
                <w:kern w:val="0"/>
                <w:szCs w:val="21"/>
                <w:highlight w:val="none"/>
              </w:rPr>
            </w:pPr>
          </w:p>
        </w:tc>
        <w:tc>
          <w:tcPr>
            <w:tcW w:w="2884" w:type="dxa"/>
            <w:gridSpan w:val="2"/>
            <w:vMerge w:val="continue"/>
            <w:vAlign w:val="center"/>
          </w:tcPr>
          <w:p w14:paraId="7EAE1585">
            <w:pPr>
              <w:adjustRightInd w:val="0"/>
              <w:snapToGrid w:val="0"/>
              <w:jc w:val="center"/>
              <w:rPr>
                <w:rFonts w:hint="default" w:ascii="Times New Roman" w:hAnsi="Times New Roman" w:cs="Times New Roman"/>
                <w:b/>
                <w:bCs/>
                <w:color w:val="auto"/>
                <w:kern w:val="0"/>
                <w:szCs w:val="21"/>
                <w:highlight w:val="none"/>
              </w:rPr>
            </w:pPr>
          </w:p>
        </w:tc>
        <w:tc>
          <w:tcPr>
            <w:tcW w:w="816" w:type="dxa"/>
            <w:vMerge w:val="continue"/>
            <w:vAlign w:val="center"/>
          </w:tcPr>
          <w:p w14:paraId="0FA1F95E">
            <w:pPr>
              <w:adjustRightInd w:val="0"/>
              <w:snapToGrid w:val="0"/>
              <w:jc w:val="center"/>
              <w:rPr>
                <w:rFonts w:hint="default" w:ascii="Times New Roman" w:hAnsi="Times New Roman" w:cs="Times New Roman"/>
                <w:b/>
                <w:bCs/>
                <w:color w:val="auto"/>
                <w:kern w:val="0"/>
                <w:szCs w:val="21"/>
                <w:highlight w:val="none"/>
              </w:rPr>
            </w:pPr>
          </w:p>
        </w:tc>
        <w:tc>
          <w:tcPr>
            <w:tcW w:w="884" w:type="dxa"/>
            <w:vAlign w:val="center"/>
          </w:tcPr>
          <w:p w14:paraId="5FA60F2E">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监测值</w:t>
            </w:r>
          </w:p>
        </w:tc>
        <w:tc>
          <w:tcPr>
            <w:tcW w:w="900" w:type="dxa"/>
            <w:vAlign w:val="center"/>
          </w:tcPr>
          <w:p w14:paraId="06FFDC98">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标准值</w:t>
            </w:r>
          </w:p>
        </w:tc>
        <w:tc>
          <w:tcPr>
            <w:tcW w:w="866" w:type="dxa"/>
            <w:vAlign w:val="center"/>
          </w:tcPr>
          <w:p w14:paraId="378EF671">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监测值</w:t>
            </w:r>
          </w:p>
        </w:tc>
        <w:tc>
          <w:tcPr>
            <w:tcW w:w="867" w:type="dxa"/>
            <w:vAlign w:val="center"/>
          </w:tcPr>
          <w:p w14:paraId="3C511F48">
            <w:pPr>
              <w:adjustRightInd w:val="0"/>
              <w:snapToGrid w:val="0"/>
              <w:spacing w:line="240" w:lineRule="atLeast"/>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szCs w:val="21"/>
                <w:highlight w:val="none"/>
              </w:rPr>
              <w:t>标准值</w:t>
            </w:r>
          </w:p>
        </w:tc>
      </w:tr>
      <w:tr w14:paraId="61BAC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33BD8A15">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850" w:type="dxa"/>
            <w:vMerge w:val="restart"/>
            <w:shd w:val="clear" w:color="auto" w:fill="auto"/>
            <w:vAlign w:val="center"/>
          </w:tcPr>
          <w:p w14:paraId="69BEC5B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隆德县******</w:t>
            </w:r>
          </w:p>
          <w:p w14:paraId="14C60CC6">
            <w:pPr>
              <w:adjustRightInd w:val="0"/>
              <w:snapToGrid w:val="0"/>
              <w:rPr>
                <w:rFonts w:hint="default" w:ascii="Times New Roman" w:hAnsi="Times New Roman" w:cs="Times New Roman"/>
                <w:color w:val="auto"/>
                <w:kern w:val="0"/>
                <w:sz w:val="21"/>
                <w:szCs w:val="21"/>
                <w:highlight w:val="none"/>
              </w:rPr>
            </w:pPr>
          </w:p>
        </w:tc>
        <w:tc>
          <w:tcPr>
            <w:tcW w:w="984" w:type="dxa"/>
            <w:vMerge w:val="restart"/>
            <w:shd w:val="clear" w:color="auto" w:fill="auto"/>
            <w:vAlign w:val="center"/>
          </w:tcPr>
          <w:p w14:paraId="08004953">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eastAsia="宋体"/>
                <w:color w:val="auto"/>
                <w:kern w:val="0"/>
                <w:sz w:val="21"/>
                <w:szCs w:val="21"/>
                <w:highlight w:val="none"/>
                <w:lang w:val="en-US" w:eastAsia="zh-CN"/>
              </w:rPr>
              <w:t>新建张程110千伏变电站工程</w:t>
            </w:r>
          </w:p>
          <w:p w14:paraId="7DB55779">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110108D7">
            <w:pPr>
              <w:pStyle w:val="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宋体" w:hAnsi="宋体"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拟建变电站东侧</w:t>
            </w:r>
            <w:r>
              <w:rPr>
                <w:rFonts w:hint="eastAsia" w:ascii="Times New Roman" w:hAnsi="Times New Roman"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m处</w:t>
            </w:r>
          </w:p>
        </w:tc>
        <w:tc>
          <w:tcPr>
            <w:tcW w:w="816" w:type="dxa"/>
            <w:shd w:val="clear" w:color="auto" w:fill="auto"/>
            <w:vAlign w:val="center"/>
          </w:tcPr>
          <w:p w14:paraId="458D63F2">
            <w:pPr>
              <w:pStyle w:val="34"/>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1.5</w:t>
            </w:r>
          </w:p>
        </w:tc>
        <w:tc>
          <w:tcPr>
            <w:tcW w:w="884" w:type="dxa"/>
            <w:shd w:val="clear" w:color="auto" w:fill="auto"/>
            <w:vAlign w:val="center"/>
          </w:tcPr>
          <w:p w14:paraId="602B0B4D">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r>
              <w:rPr>
                <w:rFonts w:hint="eastAsia" w:ascii="Times New Roman" w:hAnsi="Times New Roman" w:eastAsia="宋体" w:cs="Times New Roman"/>
                <w:color w:val="auto"/>
                <w:kern w:val="0"/>
                <w:sz w:val="21"/>
                <w:szCs w:val="21"/>
                <w:highlight w:val="none"/>
                <w:lang w:val="en-US" w:eastAsia="zh-CN"/>
              </w:rPr>
              <w:t xml:space="preserve">.205 </w:t>
            </w:r>
          </w:p>
        </w:tc>
        <w:tc>
          <w:tcPr>
            <w:tcW w:w="900" w:type="dxa"/>
            <w:vMerge w:val="restart"/>
            <w:vAlign w:val="center"/>
          </w:tcPr>
          <w:p w14:paraId="5261B1FF">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4000</w:t>
            </w:r>
          </w:p>
        </w:tc>
        <w:tc>
          <w:tcPr>
            <w:tcW w:w="866" w:type="dxa"/>
            <w:shd w:val="clear" w:color="auto" w:fill="auto"/>
            <w:vAlign w:val="center"/>
          </w:tcPr>
          <w:p w14:paraId="26AAA1BA">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w:t>
            </w:r>
            <w:r>
              <w:rPr>
                <w:rFonts w:hint="eastAsia" w:ascii="Times New Roman" w:hAnsi="Times New Roman" w:eastAsia="宋体" w:cs="Times New Roman"/>
                <w:color w:val="auto"/>
                <w:kern w:val="0"/>
                <w:sz w:val="21"/>
                <w:szCs w:val="21"/>
                <w:highlight w:val="none"/>
                <w:lang w:val="en-US" w:eastAsia="zh-CN"/>
              </w:rPr>
              <w:t xml:space="preserve">93 </w:t>
            </w:r>
          </w:p>
        </w:tc>
        <w:tc>
          <w:tcPr>
            <w:tcW w:w="867" w:type="dxa"/>
            <w:vMerge w:val="restart"/>
            <w:vAlign w:val="center"/>
          </w:tcPr>
          <w:p w14:paraId="66E5409C">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r>
      <w:tr w14:paraId="6B812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1088BD68">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850" w:type="dxa"/>
            <w:vMerge w:val="continue"/>
            <w:vAlign w:val="center"/>
          </w:tcPr>
          <w:p w14:paraId="26754023">
            <w:pPr>
              <w:adjustRightInd w:val="0"/>
              <w:snapToGrid w:val="0"/>
              <w:jc w:val="center"/>
              <w:rPr>
                <w:rFonts w:hint="default" w:ascii="Times New Roman" w:hAnsi="Times New Roman" w:cs="Times New Roman"/>
                <w:color w:val="auto"/>
                <w:kern w:val="0"/>
                <w:sz w:val="21"/>
                <w:szCs w:val="21"/>
                <w:highlight w:val="none"/>
              </w:rPr>
            </w:pPr>
          </w:p>
        </w:tc>
        <w:tc>
          <w:tcPr>
            <w:tcW w:w="984" w:type="dxa"/>
            <w:vMerge w:val="continue"/>
            <w:vAlign w:val="center"/>
          </w:tcPr>
          <w:p w14:paraId="281AF1BE">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4F6F9D6D">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拟建变电站南侧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m处</w:t>
            </w:r>
          </w:p>
        </w:tc>
        <w:tc>
          <w:tcPr>
            <w:tcW w:w="816" w:type="dxa"/>
            <w:shd w:val="clear" w:color="auto" w:fill="auto"/>
            <w:vAlign w:val="center"/>
          </w:tcPr>
          <w:p w14:paraId="1BBEE459">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884" w:type="dxa"/>
            <w:shd w:val="clear" w:color="auto" w:fill="auto"/>
            <w:vAlign w:val="center"/>
          </w:tcPr>
          <w:p w14:paraId="357C63EC">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2.822 </w:t>
            </w:r>
          </w:p>
        </w:tc>
        <w:tc>
          <w:tcPr>
            <w:tcW w:w="900" w:type="dxa"/>
            <w:vMerge w:val="continue"/>
            <w:vAlign w:val="center"/>
          </w:tcPr>
          <w:p w14:paraId="388A462E">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49FCCCF5">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0.292 </w:t>
            </w:r>
          </w:p>
        </w:tc>
        <w:tc>
          <w:tcPr>
            <w:tcW w:w="867" w:type="dxa"/>
            <w:vMerge w:val="continue"/>
            <w:vAlign w:val="center"/>
          </w:tcPr>
          <w:p w14:paraId="73CC5979">
            <w:pPr>
              <w:adjustRightInd w:val="0"/>
              <w:snapToGrid w:val="0"/>
              <w:jc w:val="center"/>
              <w:rPr>
                <w:rFonts w:hint="default" w:ascii="Times New Roman" w:hAnsi="Times New Roman" w:cs="Times New Roman"/>
                <w:color w:val="auto"/>
                <w:kern w:val="0"/>
                <w:sz w:val="21"/>
                <w:szCs w:val="21"/>
                <w:highlight w:val="none"/>
              </w:rPr>
            </w:pPr>
          </w:p>
        </w:tc>
      </w:tr>
      <w:tr w14:paraId="76D41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598A3FFF">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850" w:type="dxa"/>
            <w:vMerge w:val="continue"/>
            <w:vAlign w:val="center"/>
          </w:tcPr>
          <w:p w14:paraId="09F9EF34">
            <w:pPr>
              <w:adjustRightInd w:val="0"/>
              <w:snapToGrid w:val="0"/>
              <w:jc w:val="center"/>
              <w:rPr>
                <w:rFonts w:hint="default" w:ascii="Times New Roman" w:hAnsi="Times New Roman" w:cs="Times New Roman"/>
                <w:color w:val="auto"/>
                <w:kern w:val="0"/>
                <w:sz w:val="21"/>
                <w:szCs w:val="21"/>
                <w:highlight w:val="none"/>
              </w:rPr>
            </w:pPr>
          </w:p>
        </w:tc>
        <w:tc>
          <w:tcPr>
            <w:tcW w:w="984" w:type="dxa"/>
            <w:vMerge w:val="continue"/>
            <w:vAlign w:val="center"/>
          </w:tcPr>
          <w:p w14:paraId="4330A85E">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48FB0B17">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拟建变电站西侧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m处</w:t>
            </w:r>
          </w:p>
        </w:tc>
        <w:tc>
          <w:tcPr>
            <w:tcW w:w="816" w:type="dxa"/>
            <w:shd w:val="clear" w:color="auto" w:fill="auto"/>
            <w:vAlign w:val="center"/>
          </w:tcPr>
          <w:p w14:paraId="11B313EB">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884" w:type="dxa"/>
            <w:shd w:val="clear" w:color="auto" w:fill="auto"/>
            <w:vAlign w:val="center"/>
          </w:tcPr>
          <w:p w14:paraId="317D7FC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r>
              <w:rPr>
                <w:rFonts w:hint="eastAsia" w:ascii="Times New Roman" w:hAnsi="Times New Roman" w:eastAsia="宋体" w:cs="Times New Roman"/>
                <w:color w:val="auto"/>
                <w:kern w:val="0"/>
                <w:sz w:val="21"/>
                <w:szCs w:val="21"/>
                <w:highlight w:val="none"/>
                <w:lang w:val="en-US" w:eastAsia="zh-CN"/>
              </w:rPr>
              <w:t xml:space="preserve">.178 </w:t>
            </w:r>
          </w:p>
        </w:tc>
        <w:tc>
          <w:tcPr>
            <w:tcW w:w="900" w:type="dxa"/>
            <w:vMerge w:val="continue"/>
            <w:vAlign w:val="center"/>
          </w:tcPr>
          <w:p w14:paraId="779C0DDE">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5941CF9D">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0.274 </w:t>
            </w:r>
          </w:p>
        </w:tc>
        <w:tc>
          <w:tcPr>
            <w:tcW w:w="867" w:type="dxa"/>
            <w:vMerge w:val="continue"/>
            <w:vAlign w:val="center"/>
          </w:tcPr>
          <w:p w14:paraId="73129B33">
            <w:pPr>
              <w:adjustRightInd w:val="0"/>
              <w:snapToGrid w:val="0"/>
              <w:jc w:val="center"/>
              <w:rPr>
                <w:rFonts w:hint="default" w:ascii="Times New Roman" w:hAnsi="Times New Roman" w:cs="Times New Roman"/>
                <w:color w:val="auto"/>
                <w:kern w:val="0"/>
                <w:sz w:val="21"/>
                <w:szCs w:val="21"/>
                <w:highlight w:val="none"/>
              </w:rPr>
            </w:pPr>
          </w:p>
        </w:tc>
      </w:tr>
      <w:tr w14:paraId="0CF3F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15F25F1A">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850" w:type="dxa"/>
            <w:vMerge w:val="continue"/>
            <w:vAlign w:val="center"/>
          </w:tcPr>
          <w:p w14:paraId="4E3559F1">
            <w:pPr>
              <w:adjustRightInd w:val="0"/>
              <w:snapToGrid w:val="0"/>
              <w:jc w:val="center"/>
              <w:rPr>
                <w:rFonts w:hint="default" w:ascii="Times New Roman" w:hAnsi="Times New Roman" w:cs="Times New Roman"/>
                <w:color w:val="auto"/>
                <w:kern w:val="0"/>
                <w:sz w:val="21"/>
                <w:szCs w:val="21"/>
                <w:highlight w:val="none"/>
              </w:rPr>
            </w:pPr>
          </w:p>
        </w:tc>
        <w:tc>
          <w:tcPr>
            <w:tcW w:w="984" w:type="dxa"/>
            <w:vMerge w:val="continue"/>
            <w:vAlign w:val="center"/>
          </w:tcPr>
          <w:p w14:paraId="7866E70D">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09488C25">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拟建变电站北侧</w:t>
            </w:r>
            <w:r>
              <w:rPr>
                <w:rFonts w:hint="eastAsia" w:cs="Times New Roman"/>
                <w:color w:val="auto"/>
                <w:kern w:val="2"/>
                <w:sz w:val="21"/>
                <w:szCs w:val="21"/>
                <w:highlight w:val="none"/>
                <w:lang w:val="en-US" w:eastAsia="zh-CN" w:bidi="ar-SA"/>
              </w:rPr>
              <w:t>围墙</w:t>
            </w:r>
            <w:r>
              <w:rPr>
                <w:rFonts w:hint="default" w:ascii="Times New Roman" w:hAnsi="Times New Roman" w:eastAsia="宋体" w:cs="Times New Roman"/>
                <w:color w:val="auto"/>
                <w:kern w:val="2"/>
                <w:sz w:val="21"/>
                <w:szCs w:val="21"/>
                <w:highlight w:val="none"/>
                <w:lang w:val="en-US" w:eastAsia="zh-CN" w:bidi="ar-SA"/>
              </w:rPr>
              <w:t>外</w:t>
            </w: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m处</w:t>
            </w:r>
          </w:p>
        </w:tc>
        <w:tc>
          <w:tcPr>
            <w:tcW w:w="816" w:type="dxa"/>
            <w:shd w:val="clear" w:color="auto" w:fill="auto"/>
            <w:vAlign w:val="center"/>
          </w:tcPr>
          <w:p w14:paraId="7734A4E3">
            <w:pPr>
              <w:pStyle w:val="4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884" w:type="dxa"/>
            <w:shd w:val="clear" w:color="auto" w:fill="auto"/>
            <w:vAlign w:val="center"/>
          </w:tcPr>
          <w:p w14:paraId="00E60A8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9.502 </w:t>
            </w:r>
          </w:p>
        </w:tc>
        <w:tc>
          <w:tcPr>
            <w:tcW w:w="900" w:type="dxa"/>
            <w:vMerge w:val="continue"/>
            <w:vAlign w:val="center"/>
          </w:tcPr>
          <w:p w14:paraId="437DA55D">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71057B8B">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0.380 </w:t>
            </w:r>
          </w:p>
        </w:tc>
        <w:tc>
          <w:tcPr>
            <w:tcW w:w="867" w:type="dxa"/>
            <w:vMerge w:val="continue"/>
            <w:vAlign w:val="center"/>
          </w:tcPr>
          <w:p w14:paraId="2ABD312E">
            <w:pPr>
              <w:adjustRightInd w:val="0"/>
              <w:snapToGrid w:val="0"/>
              <w:jc w:val="center"/>
              <w:rPr>
                <w:rFonts w:hint="default" w:ascii="Times New Roman" w:hAnsi="Times New Roman" w:cs="Times New Roman"/>
                <w:color w:val="auto"/>
                <w:kern w:val="0"/>
                <w:sz w:val="21"/>
                <w:szCs w:val="21"/>
                <w:highlight w:val="none"/>
              </w:rPr>
            </w:pPr>
          </w:p>
        </w:tc>
      </w:tr>
      <w:tr w14:paraId="75EC7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shd w:val="clear" w:color="auto" w:fill="auto"/>
            <w:vAlign w:val="center"/>
          </w:tcPr>
          <w:p w14:paraId="56CB089D">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w:t>
            </w:r>
          </w:p>
        </w:tc>
        <w:tc>
          <w:tcPr>
            <w:tcW w:w="850" w:type="dxa"/>
            <w:vMerge w:val="continue"/>
            <w:vAlign w:val="center"/>
          </w:tcPr>
          <w:p w14:paraId="36D6A1F4">
            <w:pPr>
              <w:adjustRightInd w:val="0"/>
              <w:snapToGrid w:val="0"/>
              <w:jc w:val="center"/>
              <w:rPr>
                <w:rFonts w:hint="default" w:ascii="Times New Roman" w:hAnsi="Times New Roman" w:cs="Times New Roman"/>
                <w:color w:val="auto"/>
                <w:kern w:val="0"/>
                <w:sz w:val="21"/>
                <w:szCs w:val="21"/>
                <w:highlight w:val="none"/>
              </w:rPr>
            </w:pPr>
          </w:p>
        </w:tc>
        <w:tc>
          <w:tcPr>
            <w:tcW w:w="984" w:type="dxa"/>
            <w:vMerge w:val="continue"/>
            <w:vAlign w:val="center"/>
          </w:tcPr>
          <w:p w14:paraId="64841486">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51D75FD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816" w:type="dxa"/>
            <w:shd w:val="clear" w:color="auto" w:fill="auto"/>
            <w:vAlign w:val="center"/>
          </w:tcPr>
          <w:p w14:paraId="71A7BE50">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884" w:type="dxa"/>
            <w:shd w:val="clear" w:color="auto" w:fill="auto"/>
            <w:vAlign w:val="center"/>
          </w:tcPr>
          <w:p w14:paraId="51612799">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8.113 </w:t>
            </w:r>
          </w:p>
        </w:tc>
        <w:tc>
          <w:tcPr>
            <w:tcW w:w="900" w:type="dxa"/>
            <w:vMerge w:val="continue"/>
            <w:vAlign w:val="center"/>
          </w:tcPr>
          <w:p w14:paraId="4BF85D86">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5FC5903F">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0.278 </w:t>
            </w:r>
          </w:p>
        </w:tc>
        <w:tc>
          <w:tcPr>
            <w:tcW w:w="867" w:type="dxa"/>
            <w:vMerge w:val="continue"/>
            <w:vAlign w:val="center"/>
          </w:tcPr>
          <w:p w14:paraId="60FA510D">
            <w:pPr>
              <w:adjustRightInd w:val="0"/>
              <w:snapToGrid w:val="0"/>
              <w:jc w:val="center"/>
              <w:rPr>
                <w:rFonts w:hint="default" w:ascii="Times New Roman" w:hAnsi="Times New Roman" w:cs="Times New Roman"/>
                <w:color w:val="auto"/>
                <w:kern w:val="0"/>
                <w:sz w:val="21"/>
                <w:szCs w:val="21"/>
                <w:highlight w:val="none"/>
              </w:rPr>
            </w:pPr>
          </w:p>
        </w:tc>
      </w:tr>
      <w:tr w14:paraId="7C4FD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433B5AD4">
            <w:pPr>
              <w:adjustRightInd w:val="0"/>
              <w:snapToGrid w:val="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6</w:t>
            </w:r>
            <w:r>
              <w:rPr>
                <w:rFonts w:hint="default" w:ascii="Times New Roman" w:hAnsi="Times New Roman" w:cs="Times New Roman"/>
                <w:color w:val="auto"/>
                <w:kern w:val="0"/>
                <w:sz w:val="21"/>
                <w:szCs w:val="21"/>
                <w:highlight w:val="none"/>
              </w:rPr>
              <w:t>#</w:t>
            </w:r>
          </w:p>
        </w:tc>
        <w:tc>
          <w:tcPr>
            <w:tcW w:w="850" w:type="dxa"/>
            <w:vMerge w:val="restart"/>
            <w:shd w:val="clear" w:color="auto" w:fill="auto"/>
            <w:vAlign w:val="center"/>
          </w:tcPr>
          <w:p w14:paraId="50C6C042">
            <w:pPr>
              <w:adjustRightInd w:val="0"/>
              <w:snapToGrid w:val="0"/>
              <w:jc w:val="center"/>
              <w:rPr>
                <w:rFonts w:hint="default" w:ascii="Times New Roman" w:hAnsi="Times New Roman" w:cs="Times New Roman"/>
                <w:color w:val="auto"/>
                <w:kern w:val="0"/>
                <w:sz w:val="21"/>
                <w:szCs w:val="21"/>
                <w:highlight w:val="none"/>
              </w:rPr>
            </w:pPr>
            <w:r>
              <w:rPr>
                <w:rFonts w:hint="eastAsia"/>
                <w:color w:val="auto"/>
                <w:kern w:val="0"/>
                <w:sz w:val="21"/>
                <w:szCs w:val="21"/>
                <w:highlight w:val="none"/>
                <w:lang w:val="en-US" w:eastAsia="zh-CN"/>
              </w:rPr>
              <w:t>隆德县******</w:t>
            </w:r>
          </w:p>
        </w:tc>
        <w:tc>
          <w:tcPr>
            <w:tcW w:w="984" w:type="dxa"/>
            <w:vMerge w:val="restart"/>
            <w:vAlign w:val="center"/>
          </w:tcPr>
          <w:p w14:paraId="29B86EAE">
            <w:pPr>
              <w:adjustRightInd w:val="0"/>
              <w:snapToGrid w:val="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新建渝河110千伏变电站~张程变110千伏线路工程</w:t>
            </w:r>
          </w:p>
        </w:tc>
        <w:tc>
          <w:tcPr>
            <w:tcW w:w="1900" w:type="dxa"/>
            <w:shd w:val="clear" w:color="auto" w:fill="auto"/>
            <w:vAlign w:val="center"/>
          </w:tcPr>
          <w:p w14:paraId="7EE592B7">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拟建线路路径处1</w:t>
            </w:r>
          </w:p>
        </w:tc>
        <w:tc>
          <w:tcPr>
            <w:tcW w:w="816" w:type="dxa"/>
            <w:shd w:val="clear" w:color="auto" w:fill="auto"/>
            <w:vAlign w:val="center"/>
          </w:tcPr>
          <w:p w14:paraId="197D7D22">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884" w:type="dxa"/>
            <w:shd w:val="clear" w:color="auto" w:fill="auto"/>
            <w:vAlign w:val="center"/>
          </w:tcPr>
          <w:p w14:paraId="52049E97">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r>
              <w:rPr>
                <w:rFonts w:hint="eastAsia" w:ascii="Times New Roman" w:hAnsi="Times New Roman" w:eastAsia="宋体" w:cs="Times New Roman"/>
                <w:color w:val="auto"/>
                <w:kern w:val="0"/>
                <w:sz w:val="21"/>
                <w:szCs w:val="21"/>
                <w:highlight w:val="none"/>
                <w:lang w:val="en-US" w:eastAsia="zh-CN"/>
              </w:rPr>
              <w:t xml:space="preserve">.531 </w:t>
            </w:r>
          </w:p>
        </w:tc>
        <w:tc>
          <w:tcPr>
            <w:tcW w:w="900" w:type="dxa"/>
            <w:vMerge w:val="restart"/>
            <w:vAlign w:val="center"/>
          </w:tcPr>
          <w:p w14:paraId="23FB9354">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10000</w:t>
            </w:r>
          </w:p>
        </w:tc>
        <w:tc>
          <w:tcPr>
            <w:tcW w:w="866" w:type="dxa"/>
            <w:shd w:val="clear" w:color="auto" w:fill="auto"/>
            <w:vAlign w:val="center"/>
          </w:tcPr>
          <w:p w14:paraId="1FF8DCA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w:t>
            </w:r>
            <w:r>
              <w:rPr>
                <w:rFonts w:hint="eastAsia" w:ascii="Times New Roman" w:hAnsi="Times New Roman" w:eastAsia="宋体" w:cs="Times New Roman"/>
                <w:color w:val="auto"/>
                <w:kern w:val="0"/>
                <w:sz w:val="21"/>
                <w:szCs w:val="21"/>
                <w:highlight w:val="none"/>
                <w:lang w:val="en-US" w:eastAsia="zh-CN"/>
              </w:rPr>
              <w:t xml:space="preserve">68 </w:t>
            </w:r>
          </w:p>
        </w:tc>
        <w:tc>
          <w:tcPr>
            <w:tcW w:w="867" w:type="dxa"/>
            <w:vMerge w:val="continue"/>
            <w:vAlign w:val="center"/>
          </w:tcPr>
          <w:p w14:paraId="7CF462AF">
            <w:pPr>
              <w:adjustRightInd w:val="0"/>
              <w:snapToGrid w:val="0"/>
              <w:jc w:val="center"/>
              <w:rPr>
                <w:rFonts w:hint="default" w:ascii="Times New Roman" w:hAnsi="Times New Roman" w:cs="Times New Roman"/>
                <w:color w:val="auto"/>
                <w:kern w:val="0"/>
                <w:sz w:val="21"/>
                <w:szCs w:val="21"/>
                <w:highlight w:val="none"/>
              </w:rPr>
            </w:pPr>
          </w:p>
        </w:tc>
      </w:tr>
      <w:tr w14:paraId="0A481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04" w:type="dxa"/>
            <w:shd w:val="clear" w:color="auto" w:fill="auto"/>
            <w:vAlign w:val="center"/>
          </w:tcPr>
          <w:p w14:paraId="2ABB173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w:t>
            </w:r>
            <w:r>
              <w:rPr>
                <w:rFonts w:hint="default" w:ascii="Times New Roman" w:hAnsi="Times New Roman" w:cs="Times New Roman"/>
                <w:color w:val="auto"/>
                <w:kern w:val="0"/>
                <w:sz w:val="21"/>
                <w:szCs w:val="21"/>
                <w:highlight w:val="none"/>
              </w:rPr>
              <w:t>#</w:t>
            </w:r>
          </w:p>
        </w:tc>
        <w:tc>
          <w:tcPr>
            <w:tcW w:w="850" w:type="dxa"/>
            <w:vMerge w:val="continue"/>
            <w:vAlign w:val="center"/>
          </w:tcPr>
          <w:p w14:paraId="36777F87">
            <w:pPr>
              <w:adjustRightInd w:val="0"/>
              <w:snapToGrid w:val="0"/>
              <w:jc w:val="center"/>
              <w:rPr>
                <w:rFonts w:hint="default" w:ascii="Times New Roman" w:hAnsi="Times New Roman" w:eastAsia="宋体" w:cs="Times New Roman"/>
                <w:b w:val="0"/>
                <w:bCs/>
                <w:color w:val="auto"/>
                <w:spacing w:val="-20"/>
                <w:w w:val="100"/>
                <w:kern w:val="2"/>
                <w:position w:val="0"/>
                <w:sz w:val="21"/>
                <w:szCs w:val="21"/>
                <w:highlight w:val="none"/>
                <w:lang w:val="en-US" w:eastAsia="zh-CN" w:bidi="ar-SA"/>
              </w:rPr>
            </w:pPr>
          </w:p>
        </w:tc>
        <w:tc>
          <w:tcPr>
            <w:tcW w:w="984" w:type="dxa"/>
            <w:vMerge w:val="continue"/>
            <w:vAlign w:val="center"/>
          </w:tcPr>
          <w:p w14:paraId="46C2C4A5">
            <w:pPr>
              <w:adjustRightInd w:val="0"/>
              <w:snapToGrid w:val="0"/>
              <w:jc w:val="center"/>
              <w:rPr>
                <w:rFonts w:hint="default" w:eastAsia="宋体"/>
                <w:color w:val="auto"/>
                <w:kern w:val="0"/>
                <w:sz w:val="21"/>
                <w:szCs w:val="21"/>
                <w:highlight w:val="none"/>
                <w:lang w:val="en-US" w:eastAsia="zh-CN"/>
              </w:rPr>
            </w:pPr>
          </w:p>
        </w:tc>
        <w:tc>
          <w:tcPr>
            <w:tcW w:w="1900" w:type="dxa"/>
            <w:shd w:val="clear" w:color="auto" w:fill="auto"/>
            <w:vAlign w:val="center"/>
          </w:tcPr>
          <w:p w14:paraId="739F8D69">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拟建线路路径处2</w:t>
            </w:r>
          </w:p>
        </w:tc>
        <w:tc>
          <w:tcPr>
            <w:tcW w:w="816" w:type="dxa"/>
            <w:shd w:val="clear" w:color="auto" w:fill="auto"/>
            <w:vAlign w:val="center"/>
          </w:tcPr>
          <w:p w14:paraId="0F15CF7F">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884" w:type="dxa"/>
            <w:shd w:val="clear" w:color="auto" w:fill="auto"/>
            <w:vAlign w:val="center"/>
          </w:tcPr>
          <w:p w14:paraId="13B7BD28">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7.236 </w:t>
            </w:r>
          </w:p>
        </w:tc>
        <w:tc>
          <w:tcPr>
            <w:tcW w:w="900" w:type="dxa"/>
            <w:vMerge w:val="continue"/>
            <w:vAlign w:val="center"/>
          </w:tcPr>
          <w:p w14:paraId="0AB98E99">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6A0FE4A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0.225 </w:t>
            </w:r>
          </w:p>
        </w:tc>
        <w:tc>
          <w:tcPr>
            <w:tcW w:w="867" w:type="dxa"/>
            <w:vMerge w:val="continue"/>
            <w:vAlign w:val="center"/>
          </w:tcPr>
          <w:p w14:paraId="618DD40D">
            <w:pPr>
              <w:adjustRightInd w:val="0"/>
              <w:snapToGrid w:val="0"/>
              <w:jc w:val="center"/>
              <w:rPr>
                <w:rFonts w:hint="default" w:ascii="Times New Roman" w:hAnsi="Times New Roman" w:cs="Times New Roman"/>
                <w:color w:val="auto"/>
                <w:kern w:val="0"/>
                <w:sz w:val="21"/>
                <w:szCs w:val="21"/>
                <w:highlight w:val="none"/>
              </w:rPr>
            </w:pPr>
          </w:p>
        </w:tc>
      </w:tr>
      <w:tr w14:paraId="3B1DB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shd w:val="clear" w:color="auto" w:fill="auto"/>
            <w:vAlign w:val="center"/>
          </w:tcPr>
          <w:p w14:paraId="3A1EEBB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w:t>
            </w:r>
            <w:r>
              <w:rPr>
                <w:rFonts w:hint="default" w:ascii="Times New Roman" w:hAnsi="Times New Roman" w:cs="Times New Roman"/>
                <w:color w:val="auto"/>
                <w:kern w:val="0"/>
                <w:sz w:val="21"/>
                <w:szCs w:val="21"/>
                <w:highlight w:val="none"/>
              </w:rPr>
              <w:t>#</w:t>
            </w:r>
          </w:p>
        </w:tc>
        <w:tc>
          <w:tcPr>
            <w:tcW w:w="850" w:type="dxa"/>
            <w:shd w:val="clear" w:color="auto" w:fill="auto"/>
            <w:vAlign w:val="center"/>
          </w:tcPr>
          <w:p w14:paraId="1AE17BF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隆德县******</w:t>
            </w:r>
          </w:p>
        </w:tc>
        <w:tc>
          <w:tcPr>
            <w:tcW w:w="984" w:type="dxa"/>
            <w:vMerge w:val="continue"/>
            <w:vAlign w:val="center"/>
          </w:tcPr>
          <w:p w14:paraId="47254550">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53755890">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拟建线路路径处3</w:t>
            </w:r>
          </w:p>
        </w:tc>
        <w:tc>
          <w:tcPr>
            <w:tcW w:w="816" w:type="dxa"/>
            <w:shd w:val="clear" w:color="auto" w:fill="auto"/>
            <w:vAlign w:val="center"/>
          </w:tcPr>
          <w:p w14:paraId="0F528831">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884" w:type="dxa"/>
            <w:shd w:val="clear" w:color="auto" w:fill="auto"/>
            <w:vAlign w:val="center"/>
          </w:tcPr>
          <w:p w14:paraId="48DA755E">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8.063 </w:t>
            </w:r>
          </w:p>
        </w:tc>
        <w:tc>
          <w:tcPr>
            <w:tcW w:w="900" w:type="dxa"/>
            <w:vMerge w:val="continue"/>
            <w:vAlign w:val="center"/>
          </w:tcPr>
          <w:p w14:paraId="16B30D4B">
            <w:pPr>
              <w:adjustRightInd w:val="0"/>
              <w:snapToGrid w:val="0"/>
              <w:jc w:val="center"/>
              <w:rPr>
                <w:rFonts w:hint="default" w:ascii="Times New Roman" w:hAnsi="Times New Roman" w:eastAsia="宋体" w:cs="Times New Roman"/>
                <w:color w:val="auto"/>
                <w:kern w:val="0"/>
                <w:sz w:val="21"/>
                <w:szCs w:val="21"/>
                <w:highlight w:val="none"/>
                <w:lang w:val="en-US" w:eastAsia="zh-CN"/>
              </w:rPr>
            </w:pPr>
          </w:p>
        </w:tc>
        <w:tc>
          <w:tcPr>
            <w:tcW w:w="866" w:type="dxa"/>
            <w:shd w:val="clear" w:color="auto" w:fill="auto"/>
            <w:vAlign w:val="center"/>
          </w:tcPr>
          <w:p w14:paraId="3C61F247">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0.285 </w:t>
            </w:r>
          </w:p>
        </w:tc>
        <w:tc>
          <w:tcPr>
            <w:tcW w:w="867" w:type="dxa"/>
            <w:vMerge w:val="continue"/>
            <w:vAlign w:val="center"/>
          </w:tcPr>
          <w:p w14:paraId="5315E160">
            <w:pPr>
              <w:adjustRightInd w:val="0"/>
              <w:snapToGrid w:val="0"/>
              <w:jc w:val="center"/>
              <w:rPr>
                <w:rFonts w:hint="default" w:ascii="Times New Roman" w:hAnsi="Times New Roman" w:cs="Times New Roman"/>
                <w:color w:val="auto"/>
                <w:kern w:val="0"/>
                <w:sz w:val="21"/>
                <w:szCs w:val="21"/>
                <w:highlight w:val="none"/>
              </w:rPr>
            </w:pPr>
          </w:p>
        </w:tc>
      </w:tr>
      <w:tr w14:paraId="39457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dxa"/>
            <w:vAlign w:val="center"/>
          </w:tcPr>
          <w:p w14:paraId="5EC37358">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r>
              <w:rPr>
                <w:rFonts w:hint="eastAsia" w:ascii="Times New Roman" w:hAnsi="Times New Roman" w:cs="Times New Roman"/>
                <w:color w:val="auto"/>
                <w:kern w:val="0"/>
                <w:sz w:val="21"/>
                <w:szCs w:val="21"/>
                <w:highlight w:val="none"/>
                <w:lang w:val="en-US" w:eastAsia="zh-CN"/>
              </w:rPr>
              <w:t>#</w:t>
            </w:r>
          </w:p>
        </w:tc>
        <w:tc>
          <w:tcPr>
            <w:tcW w:w="850" w:type="dxa"/>
            <w:shd w:val="clear" w:color="auto" w:fill="auto"/>
            <w:vAlign w:val="center"/>
          </w:tcPr>
          <w:p w14:paraId="3677785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 w:val="21"/>
                <w:szCs w:val="21"/>
                <w:highlight w:val="none"/>
                <w:lang w:val="en-US" w:eastAsia="zh-CN"/>
              </w:rPr>
              <w:t>隆德县******</w:t>
            </w:r>
          </w:p>
        </w:tc>
        <w:tc>
          <w:tcPr>
            <w:tcW w:w="984" w:type="dxa"/>
            <w:vMerge w:val="continue"/>
            <w:vAlign w:val="center"/>
          </w:tcPr>
          <w:p w14:paraId="2A983B36">
            <w:pPr>
              <w:adjustRightInd w:val="0"/>
              <w:snapToGrid w:val="0"/>
              <w:jc w:val="center"/>
              <w:rPr>
                <w:rFonts w:hint="default" w:ascii="Times New Roman" w:hAnsi="Times New Roman" w:cs="Times New Roman"/>
                <w:color w:val="auto"/>
                <w:kern w:val="0"/>
                <w:sz w:val="21"/>
                <w:szCs w:val="21"/>
                <w:highlight w:val="none"/>
              </w:rPr>
            </w:pPr>
          </w:p>
        </w:tc>
        <w:tc>
          <w:tcPr>
            <w:tcW w:w="1900" w:type="dxa"/>
            <w:shd w:val="clear" w:color="auto" w:fill="auto"/>
            <w:vAlign w:val="center"/>
          </w:tcPr>
          <w:p w14:paraId="3BCED653">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816" w:type="dxa"/>
            <w:shd w:val="clear" w:color="auto" w:fill="auto"/>
            <w:vAlign w:val="center"/>
          </w:tcPr>
          <w:p w14:paraId="592CDEFF">
            <w:pPr>
              <w:adjustRightInd w:val="0"/>
              <w:snapToGrid w:val="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884" w:type="dxa"/>
            <w:shd w:val="clear" w:color="auto" w:fill="auto"/>
            <w:vAlign w:val="center"/>
          </w:tcPr>
          <w:p w14:paraId="6ED2154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7.185 </w:t>
            </w:r>
          </w:p>
        </w:tc>
        <w:tc>
          <w:tcPr>
            <w:tcW w:w="900" w:type="dxa"/>
            <w:vAlign w:val="center"/>
          </w:tcPr>
          <w:p w14:paraId="407B6274">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4000</w:t>
            </w:r>
          </w:p>
        </w:tc>
        <w:tc>
          <w:tcPr>
            <w:tcW w:w="866" w:type="dxa"/>
            <w:shd w:val="clear" w:color="auto" w:fill="auto"/>
            <w:vAlign w:val="center"/>
          </w:tcPr>
          <w:p w14:paraId="7ED9F8F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 xml:space="preserve">0.195 </w:t>
            </w:r>
          </w:p>
        </w:tc>
        <w:tc>
          <w:tcPr>
            <w:tcW w:w="867" w:type="dxa"/>
            <w:vMerge w:val="continue"/>
            <w:vAlign w:val="center"/>
          </w:tcPr>
          <w:p w14:paraId="4AFE665C">
            <w:pPr>
              <w:adjustRightInd w:val="0"/>
              <w:snapToGrid w:val="0"/>
              <w:jc w:val="center"/>
              <w:rPr>
                <w:rFonts w:hint="default" w:ascii="Times New Roman" w:hAnsi="Times New Roman" w:cs="Times New Roman"/>
                <w:color w:val="auto"/>
                <w:kern w:val="0"/>
                <w:sz w:val="21"/>
                <w:szCs w:val="21"/>
                <w:highlight w:val="none"/>
              </w:rPr>
            </w:pPr>
          </w:p>
        </w:tc>
      </w:tr>
    </w:tbl>
    <w:p w14:paraId="1CE7F0BA">
      <w:pPr>
        <w:spacing w:line="360" w:lineRule="auto"/>
        <w:ind w:firstLine="482" w:firstLineChars="200"/>
        <w:rPr>
          <w:b/>
          <w:bCs/>
          <w:color w:val="auto"/>
          <w:sz w:val="24"/>
          <w:highlight w:val="none"/>
        </w:rPr>
      </w:pPr>
      <w:r>
        <w:rPr>
          <w:rFonts w:hint="eastAsia"/>
          <w:b/>
          <w:bCs/>
          <w:color w:val="auto"/>
          <w:sz w:val="24"/>
          <w:highlight w:val="none"/>
          <w:lang w:val="en-US" w:eastAsia="zh-CN"/>
        </w:rPr>
        <w:t>9</w:t>
      </w:r>
      <w:r>
        <w:rPr>
          <w:b/>
          <w:bCs/>
          <w:color w:val="auto"/>
          <w:sz w:val="24"/>
          <w:highlight w:val="none"/>
        </w:rPr>
        <w:t>、监测结果分析</w:t>
      </w:r>
    </w:p>
    <w:p w14:paraId="1228AF71">
      <w:pPr>
        <w:spacing w:line="360" w:lineRule="auto"/>
        <w:ind w:firstLine="480" w:firstLineChars="200"/>
        <w:rPr>
          <w:rFonts w:hint="default" w:eastAsia="宋体"/>
          <w:color w:val="auto"/>
          <w:sz w:val="24"/>
          <w:highlight w:val="none"/>
          <w:lang w:val="en-US" w:eastAsia="zh-CN"/>
        </w:rPr>
      </w:pPr>
      <w:r>
        <w:rPr>
          <w:rFonts w:hint="default" w:ascii="Times New Roman" w:hAnsi="Times New Roman" w:cs="Times New Roman"/>
          <w:color w:val="auto"/>
          <w:sz w:val="24"/>
          <w:szCs w:val="24"/>
          <w:highlight w:val="none"/>
        </w:rPr>
        <w:t>拟建</w:t>
      </w:r>
      <w:r>
        <w:rPr>
          <w:rFonts w:hint="eastAsia" w:ascii="Times New Roman" w:hAnsi="Times New Roman" w:cs="Times New Roman"/>
          <w:color w:val="auto"/>
          <w:sz w:val="24"/>
          <w:szCs w:val="24"/>
          <w:highlight w:val="none"/>
          <w:lang w:val="en-US" w:eastAsia="zh-CN"/>
        </w:rPr>
        <w:t>张程</w:t>
      </w:r>
      <w:r>
        <w:rPr>
          <w:rFonts w:hint="default" w:ascii="Times New Roman" w:hAnsi="Times New Roman" w:cs="Times New Roman"/>
          <w:color w:val="auto"/>
          <w:sz w:val="24"/>
          <w:szCs w:val="24"/>
          <w:highlight w:val="none"/>
        </w:rPr>
        <w:t>变电站</w:t>
      </w:r>
      <w:r>
        <w:rPr>
          <w:rFonts w:hint="eastAsia" w:ascii="Times New Roman" w:hAnsi="Times New Roman" w:cs="Times New Roman"/>
          <w:color w:val="auto"/>
          <w:sz w:val="24"/>
          <w:szCs w:val="24"/>
          <w:highlight w:val="none"/>
          <w:lang w:val="en-US" w:eastAsia="zh-CN"/>
        </w:rPr>
        <w:t>围墙</w:t>
      </w:r>
      <w:r>
        <w:rPr>
          <w:rFonts w:hint="eastAsia" w:cs="Times New Roman"/>
          <w:color w:val="auto"/>
          <w:sz w:val="24"/>
          <w:szCs w:val="24"/>
          <w:highlight w:val="none"/>
          <w:lang w:val="en-US" w:eastAsia="zh-CN"/>
        </w:rPr>
        <w:t>处</w:t>
      </w:r>
      <w:r>
        <w:rPr>
          <w:rFonts w:hint="eastAsia"/>
          <w:color w:val="auto"/>
          <w:kern w:val="0"/>
          <w:sz w:val="24"/>
          <w:highlight w:val="none"/>
          <w:lang w:val="en-US" w:eastAsia="zh-CN"/>
        </w:rPr>
        <w:t>监测</w:t>
      </w:r>
      <w:r>
        <w:rPr>
          <w:rFonts w:hint="default" w:ascii="Times New Roman" w:hAnsi="Times New Roman" w:cs="Times New Roman"/>
          <w:color w:val="auto"/>
          <w:sz w:val="24"/>
          <w:szCs w:val="24"/>
          <w:highlight w:val="none"/>
        </w:rPr>
        <w:t>的</w:t>
      </w:r>
      <w:r>
        <w:rPr>
          <w:color w:val="auto"/>
          <w:kern w:val="0"/>
          <w:sz w:val="24"/>
          <w:highlight w:val="none"/>
        </w:rPr>
        <w:t>工频电场强度</w:t>
      </w:r>
      <w:r>
        <w:rPr>
          <w:rFonts w:hint="eastAsia"/>
          <w:color w:val="auto"/>
          <w:kern w:val="0"/>
          <w:sz w:val="24"/>
          <w:highlight w:val="none"/>
          <w:lang w:eastAsia="zh-CN"/>
        </w:rPr>
        <w:t>（</w:t>
      </w:r>
      <w:r>
        <w:rPr>
          <w:rFonts w:hint="eastAsia"/>
          <w:color w:val="auto"/>
          <w:kern w:val="0"/>
          <w:sz w:val="24"/>
          <w:highlight w:val="none"/>
          <w:lang w:val="en-US" w:eastAsia="zh-CN"/>
        </w:rPr>
        <w:t>2.822</w:t>
      </w:r>
      <w:r>
        <w:rPr>
          <w:color w:val="auto"/>
          <w:kern w:val="0"/>
          <w:sz w:val="24"/>
          <w:highlight w:val="none"/>
        </w:rPr>
        <w:t>-</w:t>
      </w:r>
      <w:r>
        <w:rPr>
          <w:rFonts w:hint="eastAsia"/>
          <w:color w:val="auto"/>
          <w:kern w:val="0"/>
          <w:sz w:val="24"/>
          <w:highlight w:val="none"/>
          <w:lang w:val="en-US" w:eastAsia="zh-CN"/>
        </w:rPr>
        <w:t>9.502</w:t>
      </w:r>
      <w:r>
        <w:rPr>
          <w:rFonts w:hint="eastAsia"/>
          <w:color w:val="auto"/>
          <w:kern w:val="0"/>
          <w:sz w:val="24"/>
          <w:highlight w:val="none"/>
          <w:lang w:eastAsia="zh-CN"/>
        </w:rPr>
        <w:t>）</w:t>
      </w:r>
      <w:r>
        <w:rPr>
          <w:color w:val="auto"/>
          <w:kern w:val="0"/>
          <w:sz w:val="24"/>
          <w:highlight w:val="none"/>
        </w:rPr>
        <w:t>V/m</w:t>
      </w:r>
      <w:r>
        <w:rPr>
          <w:rFonts w:hint="eastAsia"/>
          <w:color w:val="auto"/>
          <w:kern w:val="0"/>
          <w:sz w:val="24"/>
          <w:highlight w:val="none"/>
          <w:lang w:eastAsia="zh-CN"/>
        </w:rPr>
        <w:t>、</w:t>
      </w:r>
      <w:r>
        <w:rPr>
          <w:color w:val="auto"/>
          <w:kern w:val="0"/>
          <w:sz w:val="24"/>
          <w:highlight w:val="none"/>
        </w:rPr>
        <w:t>工频磁感应强度</w:t>
      </w:r>
      <w:r>
        <w:rPr>
          <w:rFonts w:hint="eastAsia"/>
          <w:color w:val="auto"/>
          <w:kern w:val="0"/>
          <w:sz w:val="24"/>
          <w:highlight w:val="none"/>
          <w:lang w:eastAsia="zh-CN"/>
        </w:rPr>
        <w:t>（</w:t>
      </w:r>
      <w:r>
        <w:rPr>
          <w:color w:val="auto"/>
          <w:kern w:val="0"/>
          <w:sz w:val="24"/>
          <w:highlight w:val="none"/>
        </w:rPr>
        <w:t>0.</w:t>
      </w:r>
      <w:r>
        <w:rPr>
          <w:rFonts w:hint="eastAsia"/>
          <w:color w:val="auto"/>
          <w:kern w:val="0"/>
          <w:sz w:val="24"/>
          <w:highlight w:val="none"/>
          <w:lang w:val="en-US" w:eastAsia="zh-CN"/>
        </w:rPr>
        <w:t>274</w:t>
      </w:r>
      <w:r>
        <w:rPr>
          <w:color w:val="auto"/>
          <w:kern w:val="0"/>
          <w:sz w:val="24"/>
          <w:highlight w:val="none"/>
        </w:rPr>
        <w:t>-</w:t>
      </w:r>
      <w:r>
        <w:rPr>
          <w:rFonts w:hint="eastAsia"/>
          <w:color w:val="auto"/>
          <w:kern w:val="0"/>
          <w:sz w:val="24"/>
          <w:highlight w:val="none"/>
          <w:lang w:val="en-US" w:eastAsia="zh-CN"/>
        </w:rPr>
        <w:t>0.380</w:t>
      </w:r>
      <w:r>
        <w:rPr>
          <w:rFonts w:hint="eastAsia"/>
          <w:color w:val="auto"/>
          <w:kern w:val="0"/>
          <w:sz w:val="24"/>
          <w:highlight w:val="none"/>
          <w:lang w:eastAsia="zh-CN"/>
        </w:rPr>
        <w:t>）</w:t>
      </w:r>
      <w:r>
        <w:rPr>
          <w:color w:val="auto"/>
          <w:kern w:val="0"/>
          <w:sz w:val="24"/>
          <w:highlight w:val="none"/>
        </w:rPr>
        <w:t>μT；</w:t>
      </w:r>
      <w:r>
        <w:rPr>
          <w:rFonts w:hint="eastAsia" w:ascii="Times New Roman" w:hAnsi="Times New Roman" w:cs="Times New Roman"/>
          <w:color w:val="auto"/>
          <w:sz w:val="24"/>
          <w:szCs w:val="24"/>
          <w:highlight w:val="none"/>
          <w:lang w:val="en-US" w:eastAsia="zh-CN"/>
        </w:rPr>
        <w:t>其环境敏感目标处</w:t>
      </w:r>
      <w:r>
        <w:rPr>
          <w:rFonts w:hint="eastAsia"/>
          <w:color w:val="auto"/>
          <w:kern w:val="0"/>
          <w:sz w:val="24"/>
          <w:highlight w:val="none"/>
          <w:lang w:val="en-US" w:eastAsia="zh-CN"/>
        </w:rPr>
        <w:t>监测</w:t>
      </w:r>
      <w:r>
        <w:rPr>
          <w:rFonts w:hint="default" w:ascii="Times New Roman" w:hAnsi="Times New Roman" w:cs="Times New Roman"/>
          <w:color w:val="auto"/>
          <w:sz w:val="24"/>
          <w:szCs w:val="24"/>
          <w:highlight w:val="none"/>
        </w:rPr>
        <w:t>的</w:t>
      </w:r>
      <w:r>
        <w:rPr>
          <w:color w:val="auto"/>
          <w:kern w:val="0"/>
          <w:sz w:val="24"/>
          <w:highlight w:val="none"/>
        </w:rPr>
        <w:t>工频电场强度</w:t>
      </w:r>
      <w:r>
        <w:rPr>
          <w:rFonts w:hint="eastAsia"/>
          <w:color w:val="auto"/>
          <w:kern w:val="0"/>
          <w:sz w:val="24"/>
          <w:highlight w:val="none"/>
          <w:lang w:val="en-US" w:eastAsia="zh-CN"/>
        </w:rPr>
        <w:t>8.113</w:t>
      </w:r>
      <w:r>
        <w:rPr>
          <w:color w:val="auto"/>
          <w:kern w:val="0"/>
          <w:sz w:val="24"/>
          <w:highlight w:val="none"/>
        </w:rPr>
        <w:t>V/m</w:t>
      </w:r>
      <w:r>
        <w:rPr>
          <w:rFonts w:hint="eastAsia"/>
          <w:color w:val="auto"/>
          <w:kern w:val="0"/>
          <w:sz w:val="24"/>
          <w:highlight w:val="none"/>
          <w:lang w:eastAsia="zh-CN"/>
        </w:rPr>
        <w:t>、</w:t>
      </w:r>
      <w:r>
        <w:rPr>
          <w:color w:val="auto"/>
          <w:kern w:val="0"/>
          <w:sz w:val="24"/>
          <w:highlight w:val="none"/>
        </w:rPr>
        <w:t>工频磁感应强度</w:t>
      </w:r>
      <w:r>
        <w:rPr>
          <w:rFonts w:hint="eastAsia"/>
          <w:color w:val="auto"/>
          <w:kern w:val="0"/>
          <w:sz w:val="24"/>
          <w:highlight w:val="none"/>
          <w:lang w:val="en-US" w:eastAsia="zh-CN"/>
        </w:rPr>
        <w:t>0.278</w:t>
      </w:r>
      <w:r>
        <w:rPr>
          <w:color w:val="auto"/>
          <w:kern w:val="0"/>
          <w:sz w:val="24"/>
          <w:highlight w:val="none"/>
        </w:rPr>
        <w:t>μT</w:t>
      </w:r>
      <w:r>
        <w:rPr>
          <w:rFonts w:hint="eastAsia"/>
          <w:color w:val="auto"/>
          <w:kern w:val="0"/>
          <w:sz w:val="24"/>
          <w:highlight w:val="none"/>
          <w:lang w:eastAsia="zh-CN"/>
        </w:rPr>
        <w:t>。</w:t>
      </w:r>
      <w:r>
        <w:rPr>
          <w:rFonts w:hint="eastAsia"/>
          <w:color w:val="auto"/>
          <w:kern w:val="0"/>
          <w:sz w:val="24"/>
          <w:highlight w:val="none"/>
          <w:lang w:val="en-US" w:eastAsia="zh-CN"/>
        </w:rPr>
        <w:t>以上监测值</w:t>
      </w:r>
      <w:r>
        <w:rPr>
          <w:color w:val="auto"/>
          <w:sz w:val="24"/>
          <w:highlight w:val="none"/>
        </w:rPr>
        <w:t>均小于《电磁环境控制限值》（GB8702-2014）规定的工频电场强度4000V/m</w:t>
      </w:r>
      <w:r>
        <w:rPr>
          <w:rFonts w:hint="eastAsia"/>
          <w:color w:val="auto"/>
          <w:sz w:val="24"/>
          <w:highlight w:val="none"/>
          <w:lang w:val="en-US" w:eastAsia="zh-CN"/>
        </w:rPr>
        <w:t>和</w:t>
      </w:r>
      <w:r>
        <w:rPr>
          <w:color w:val="auto"/>
          <w:sz w:val="24"/>
          <w:highlight w:val="none"/>
        </w:rPr>
        <w:t>工频磁感应强度100μT公众曝露控制限值。</w:t>
      </w:r>
      <w:r>
        <w:rPr>
          <w:rFonts w:hint="eastAsia"/>
          <w:color w:val="auto"/>
          <w:sz w:val="24"/>
          <w:highlight w:val="none"/>
          <w:lang w:val="en-US" w:eastAsia="zh-CN"/>
        </w:rPr>
        <w:t>因受拟建变电站西北至东北走向的已运行10kV线路影响，故导致拟建变电站站址区域东、西、北侧的监测结果较大。</w:t>
      </w:r>
    </w:p>
    <w:p w14:paraId="090AD508">
      <w:pPr>
        <w:spacing w:line="360" w:lineRule="auto"/>
        <w:ind w:firstLine="480" w:firstLineChars="200"/>
        <w:rPr>
          <w:rFonts w:hint="default" w:eastAsia="宋体"/>
          <w:color w:val="auto"/>
          <w:highlight w:val="none"/>
          <w:lang w:val="en-US" w:eastAsia="zh-CN"/>
        </w:rPr>
      </w:pPr>
      <w:r>
        <w:rPr>
          <w:rFonts w:hint="default" w:ascii="Times New Roman" w:hAnsi="Times New Roman" w:cs="Times New Roman"/>
          <w:color w:val="auto"/>
          <w:sz w:val="24"/>
          <w:szCs w:val="24"/>
          <w:highlight w:val="none"/>
        </w:rPr>
        <w:t>拟建线路</w:t>
      </w:r>
      <w:r>
        <w:rPr>
          <w:rFonts w:hint="eastAsia" w:ascii="Times New Roman" w:hAnsi="Times New Roman" w:cs="Times New Roman"/>
          <w:color w:val="auto"/>
          <w:sz w:val="24"/>
          <w:szCs w:val="24"/>
          <w:highlight w:val="none"/>
          <w:lang w:val="en-US" w:eastAsia="zh-CN"/>
        </w:rPr>
        <w:t>路径上监测的</w:t>
      </w:r>
      <w:r>
        <w:rPr>
          <w:color w:val="auto"/>
          <w:kern w:val="0"/>
          <w:sz w:val="24"/>
          <w:highlight w:val="none"/>
        </w:rPr>
        <w:t>工频电场强度</w:t>
      </w:r>
      <w:r>
        <w:rPr>
          <w:rFonts w:hint="eastAsia"/>
          <w:color w:val="auto"/>
          <w:kern w:val="0"/>
          <w:sz w:val="24"/>
          <w:highlight w:val="none"/>
          <w:lang w:eastAsia="zh-CN"/>
        </w:rPr>
        <w:t>（</w:t>
      </w:r>
      <w:r>
        <w:rPr>
          <w:rFonts w:hint="eastAsia"/>
          <w:color w:val="auto"/>
          <w:kern w:val="0"/>
          <w:sz w:val="24"/>
          <w:highlight w:val="none"/>
          <w:lang w:val="en-US" w:eastAsia="zh-CN"/>
        </w:rPr>
        <w:t>7.236</w:t>
      </w:r>
      <w:r>
        <w:rPr>
          <w:color w:val="auto"/>
          <w:kern w:val="0"/>
          <w:sz w:val="24"/>
          <w:highlight w:val="none"/>
        </w:rPr>
        <w:t>-</w:t>
      </w:r>
      <w:r>
        <w:rPr>
          <w:rFonts w:hint="eastAsia"/>
          <w:color w:val="auto"/>
          <w:kern w:val="0"/>
          <w:sz w:val="24"/>
          <w:highlight w:val="none"/>
          <w:lang w:val="en-US" w:eastAsia="zh-CN"/>
        </w:rPr>
        <w:t>8.531</w:t>
      </w:r>
      <w:r>
        <w:rPr>
          <w:rFonts w:hint="eastAsia"/>
          <w:color w:val="auto"/>
          <w:kern w:val="0"/>
          <w:sz w:val="24"/>
          <w:highlight w:val="none"/>
          <w:lang w:eastAsia="zh-CN"/>
        </w:rPr>
        <w:t>）</w:t>
      </w:r>
      <w:r>
        <w:rPr>
          <w:color w:val="auto"/>
          <w:kern w:val="0"/>
          <w:sz w:val="24"/>
          <w:highlight w:val="none"/>
        </w:rPr>
        <w:t>V/m</w:t>
      </w:r>
      <w:r>
        <w:rPr>
          <w:rFonts w:hint="eastAsia"/>
          <w:color w:val="auto"/>
          <w:kern w:val="0"/>
          <w:sz w:val="24"/>
          <w:highlight w:val="none"/>
          <w:lang w:eastAsia="zh-CN"/>
        </w:rPr>
        <w:t>、</w:t>
      </w:r>
      <w:r>
        <w:rPr>
          <w:color w:val="auto"/>
          <w:kern w:val="0"/>
          <w:sz w:val="24"/>
          <w:highlight w:val="none"/>
        </w:rPr>
        <w:t>工频磁感应强度</w:t>
      </w:r>
      <w:r>
        <w:rPr>
          <w:rFonts w:hint="eastAsia"/>
          <w:color w:val="auto"/>
          <w:kern w:val="0"/>
          <w:sz w:val="24"/>
          <w:highlight w:val="none"/>
          <w:lang w:eastAsia="zh-CN"/>
        </w:rPr>
        <w:t>（</w:t>
      </w:r>
      <w:r>
        <w:rPr>
          <w:color w:val="auto"/>
          <w:kern w:val="0"/>
          <w:sz w:val="24"/>
          <w:highlight w:val="none"/>
        </w:rPr>
        <w:t>0.</w:t>
      </w:r>
      <w:r>
        <w:rPr>
          <w:rFonts w:hint="eastAsia"/>
          <w:color w:val="auto"/>
          <w:kern w:val="0"/>
          <w:sz w:val="24"/>
          <w:highlight w:val="none"/>
          <w:lang w:val="en-US" w:eastAsia="zh-CN"/>
        </w:rPr>
        <w:t>225</w:t>
      </w:r>
      <w:r>
        <w:rPr>
          <w:color w:val="auto"/>
          <w:kern w:val="0"/>
          <w:sz w:val="24"/>
          <w:highlight w:val="none"/>
        </w:rPr>
        <w:t>-</w:t>
      </w:r>
      <w:r>
        <w:rPr>
          <w:rFonts w:hint="eastAsia"/>
          <w:color w:val="auto"/>
          <w:kern w:val="0"/>
          <w:sz w:val="24"/>
          <w:highlight w:val="none"/>
          <w:lang w:val="en-US" w:eastAsia="zh-CN"/>
        </w:rPr>
        <w:t>0.285</w:t>
      </w:r>
      <w:r>
        <w:rPr>
          <w:rFonts w:hint="eastAsia"/>
          <w:color w:val="auto"/>
          <w:kern w:val="0"/>
          <w:sz w:val="24"/>
          <w:highlight w:val="none"/>
          <w:lang w:eastAsia="zh-CN"/>
        </w:rPr>
        <w:t>）</w:t>
      </w:r>
      <w:r>
        <w:rPr>
          <w:color w:val="auto"/>
          <w:kern w:val="0"/>
          <w:sz w:val="24"/>
          <w:highlight w:val="none"/>
        </w:rPr>
        <w:t>μT</w:t>
      </w:r>
      <w:r>
        <w:rPr>
          <w:rFonts w:hint="eastAsia"/>
          <w:color w:val="auto"/>
          <w:kern w:val="0"/>
          <w:sz w:val="24"/>
          <w:highlight w:val="none"/>
          <w:lang w:eastAsia="zh-CN"/>
        </w:rPr>
        <w:t>，</w:t>
      </w:r>
      <w:r>
        <w:rPr>
          <w:color w:val="auto"/>
          <w:sz w:val="24"/>
          <w:highlight w:val="none"/>
        </w:rPr>
        <w:t>均小于《电磁环境控制限值》（GB8702-2014）规定的</w:t>
      </w:r>
      <w:r>
        <w:rPr>
          <w:rFonts w:hint="eastAsia"/>
          <w:color w:val="auto"/>
          <w:sz w:val="24"/>
          <w:highlight w:val="none"/>
          <w:lang w:val="en-US" w:eastAsia="zh-CN"/>
        </w:rPr>
        <w:t>工频电场强度</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kV/m</w:t>
      </w:r>
      <w:r>
        <w:rPr>
          <w:rFonts w:hint="default" w:ascii="Times New Roman" w:hAnsi="Times New Roman" w:cs="Times New Roman"/>
          <w:color w:val="auto"/>
          <w:sz w:val="24"/>
          <w:szCs w:val="24"/>
          <w:highlight w:val="none"/>
          <w:lang w:val="en-US" w:eastAsia="zh-CN"/>
        </w:rPr>
        <w:t>（架空输电线路下的耕地、园地、牧草地、畜禽饲养地、养殖水面、道路等场所）</w:t>
      </w:r>
      <w:r>
        <w:rPr>
          <w:rFonts w:hint="eastAsia" w:ascii="Times New Roman" w:hAnsi="Times New Roman" w:cs="Times New Roman"/>
          <w:color w:val="auto"/>
          <w:sz w:val="24"/>
          <w:szCs w:val="24"/>
          <w:highlight w:val="none"/>
          <w:lang w:val="en-US" w:eastAsia="zh-CN"/>
        </w:rPr>
        <w:t>和</w:t>
      </w:r>
      <w:r>
        <w:rPr>
          <w:color w:val="auto"/>
          <w:sz w:val="24"/>
          <w:highlight w:val="none"/>
        </w:rPr>
        <w:t>工频磁感应强度100μT公众曝露控制限值</w:t>
      </w:r>
      <w:r>
        <w:rPr>
          <w:color w:val="auto"/>
          <w:kern w:val="0"/>
          <w:sz w:val="24"/>
          <w:highlight w:val="none"/>
        </w:rPr>
        <w:t>；</w:t>
      </w:r>
      <w:r>
        <w:rPr>
          <w:rFonts w:hint="eastAsia" w:ascii="Times New Roman" w:hAnsi="Times New Roman" w:cs="Times New Roman"/>
          <w:color w:val="auto"/>
          <w:sz w:val="24"/>
          <w:szCs w:val="24"/>
          <w:highlight w:val="none"/>
          <w:lang w:val="en-US" w:eastAsia="zh-CN"/>
        </w:rPr>
        <w:t>其环境敏感目标处</w:t>
      </w:r>
      <w:r>
        <w:rPr>
          <w:rFonts w:hint="eastAsia"/>
          <w:color w:val="auto"/>
          <w:kern w:val="0"/>
          <w:sz w:val="24"/>
          <w:highlight w:val="none"/>
          <w:lang w:val="en-US" w:eastAsia="zh-CN"/>
        </w:rPr>
        <w:t>监测</w:t>
      </w:r>
      <w:r>
        <w:rPr>
          <w:rFonts w:hint="default" w:ascii="Times New Roman" w:hAnsi="Times New Roman" w:cs="Times New Roman"/>
          <w:color w:val="auto"/>
          <w:sz w:val="24"/>
          <w:szCs w:val="24"/>
          <w:highlight w:val="none"/>
        </w:rPr>
        <w:t>的</w:t>
      </w:r>
      <w:r>
        <w:rPr>
          <w:color w:val="auto"/>
          <w:kern w:val="0"/>
          <w:sz w:val="24"/>
          <w:highlight w:val="none"/>
        </w:rPr>
        <w:t>工频电场强度</w:t>
      </w:r>
      <w:r>
        <w:rPr>
          <w:rFonts w:hint="eastAsia"/>
          <w:color w:val="auto"/>
          <w:kern w:val="0"/>
          <w:sz w:val="24"/>
          <w:highlight w:val="none"/>
          <w:lang w:val="en-US" w:eastAsia="zh-CN"/>
        </w:rPr>
        <w:t>7.185</w:t>
      </w:r>
      <w:r>
        <w:rPr>
          <w:color w:val="auto"/>
          <w:kern w:val="0"/>
          <w:sz w:val="24"/>
          <w:highlight w:val="none"/>
        </w:rPr>
        <w:t>V/m</w:t>
      </w:r>
      <w:r>
        <w:rPr>
          <w:rFonts w:hint="eastAsia"/>
          <w:color w:val="auto"/>
          <w:kern w:val="0"/>
          <w:sz w:val="24"/>
          <w:highlight w:val="none"/>
          <w:lang w:eastAsia="zh-CN"/>
        </w:rPr>
        <w:t>、</w:t>
      </w:r>
      <w:r>
        <w:rPr>
          <w:color w:val="auto"/>
          <w:kern w:val="0"/>
          <w:sz w:val="24"/>
          <w:highlight w:val="none"/>
        </w:rPr>
        <w:t>工频磁感应强度</w:t>
      </w:r>
      <w:r>
        <w:rPr>
          <w:rFonts w:hint="eastAsia"/>
          <w:color w:val="auto"/>
          <w:kern w:val="0"/>
          <w:sz w:val="24"/>
          <w:highlight w:val="none"/>
          <w:lang w:val="en-US" w:eastAsia="zh-CN"/>
        </w:rPr>
        <w:t>0.195</w:t>
      </w:r>
      <w:r>
        <w:rPr>
          <w:color w:val="auto"/>
          <w:kern w:val="0"/>
          <w:sz w:val="24"/>
          <w:highlight w:val="none"/>
        </w:rPr>
        <w:t>μT</w:t>
      </w:r>
      <w:r>
        <w:rPr>
          <w:rFonts w:hint="eastAsia"/>
          <w:color w:val="auto"/>
          <w:kern w:val="0"/>
          <w:sz w:val="24"/>
          <w:highlight w:val="none"/>
          <w:lang w:eastAsia="zh-CN"/>
        </w:rPr>
        <w:t>，</w:t>
      </w:r>
      <w:r>
        <w:rPr>
          <w:color w:val="auto"/>
          <w:sz w:val="24"/>
          <w:highlight w:val="none"/>
        </w:rPr>
        <w:t>均小于《电磁环境控制限值》（GB8702-2014）规定的工频电场强度4000V/m</w:t>
      </w:r>
      <w:r>
        <w:rPr>
          <w:rFonts w:hint="eastAsia"/>
          <w:color w:val="auto"/>
          <w:sz w:val="24"/>
          <w:highlight w:val="none"/>
          <w:lang w:val="en-US" w:eastAsia="zh-CN"/>
        </w:rPr>
        <w:t>和</w:t>
      </w:r>
      <w:r>
        <w:rPr>
          <w:color w:val="auto"/>
          <w:sz w:val="24"/>
          <w:highlight w:val="none"/>
        </w:rPr>
        <w:t>工频磁感应强度100μT公众曝露控制限值。</w:t>
      </w:r>
      <w:r>
        <w:rPr>
          <w:rFonts w:hint="eastAsia"/>
          <w:color w:val="auto"/>
          <w:sz w:val="24"/>
          <w:highlight w:val="none"/>
          <w:lang w:val="en-US" w:eastAsia="zh-CN"/>
        </w:rPr>
        <w:t>因受拟建线路路径周边已运行10kV线路影响，故导致线路路径及其敏感目标处的监测结果较大。</w:t>
      </w:r>
    </w:p>
    <w:p w14:paraId="7F9B55FD">
      <w:pPr>
        <w:spacing w:line="360" w:lineRule="auto"/>
        <w:ind w:firstLine="472" w:firstLineChars="196"/>
        <w:outlineLvl w:val="0"/>
        <w:rPr>
          <w:b/>
          <w:color w:val="auto"/>
          <w:kern w:val="0"/>
          <w:sz w:val="24"/>
          <w:highlight w:val="none"/>
        </w:rPr>
      </w:pPr>
      <w:bookmarkStart w:id="78" w:name="_Toc13169"/>
      <w:bookmarkStart w:id="79" w:name="_Toc31965"/>
      <w:r>
        <w:rPr>
          <w:rFonts w:hint="eastAsia"/>
          <w:b/>
          <w:color w:val="auto"/>
          <w:kern w:val="0"/>
          <w:sz w:val="24"/>
          <w:highlight w:val="none"/>
          <w:lang w:val="en-US" w:eastAsia="zh-CN"/>
        </w:rPr>
        <w:t>七</w:t>
      </w:r>
      <w:r>
        <w:rPr>
          <w:b/>
          <w:color w:val="auto"/>
          <w:kern w:val="0"/>
          <w:sz w:val="24"/>
          <w:highlight w:val="none"/>
        </w:rPr>
        <w:t>、电磁环境影响预测与评价</w:t>
      </w:r>
      <w:bookmarkEnd w:id="78"/>
      <w:bookmarkEnd w:id="79"/>
    </w:p>
    <w:p w14:paraId="66F3F396">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输变电》（HJ24-2020），本项目新建变电站电磁环境影响预测采用类比监测的方式</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新建架空线路的电磁环境影响预测采用模式预测的方式。</w:t>
      </w:r>
    </w:p>
    <w:p w14:paraId="56339B93">
      <w:pPr>
        <w:spacing w:line="360" w:lineRule="auto"/>
        <w:ind w:firstLine="482" w:firstLineChars="200"/>
        <w:rPr>
          <w:b/>
          <w:bCs/>
          <w:color w:val="auto"/>
          <w:sz w:val="24"/>
          <w:highlight w:val="none"/>
        </w:rPr>
      </w:pPr>
      <w:r>
        <w:rPr>
          <w:b/>
          <w:bCs/>
          <w:color w:val="auto"/>
          <w:sz w:val="24"/>
          <w:highlight w:val="none"/>
        </w:rPr>
        <w:t>1、变电站工程</w:t>
      </w:r>
    </w:p>
    <w:p w14:paraId="14E427ED">
      <w:pPr>
        <w:spacing w:line="360" w:lineRule="auto"/>
        <w:ind w:firstLine="480" w:firstLineChars="200"/>
        <w:rPr>
          <w:color w:val="auto"/>
          <w:sz w:val="24"/>
          <w:highlight w:val="none"/>
        </w:rPr>
      </w:pPr>
      <w:r>
        <w:rPr>
          <w:color w:val="auto"/>
          <w:sz w:val="24"/>
          <w:highlight w:val="none"/>
        </w:rPr>
        <w:t>（1）选择类比对象</w:t>
      </w:r>
    </w:p>
    <w:p w14:paraId="0FDC7A8E">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为预测本项目变电站运行后产生的工频电场、工频磁场对周围环境的电磁环境影响，选取与本项目110kV变电站条件大致相似的110kV变电站，即电压等级相同、容量相近、主接线形式相同、建设规模相对一致的110kV变电站进行类比监测。本次类比对象选择已运行的</w:t>
      </w:r>
      <w:r>
        <w:rPr>
          <w:rFonts w:hint="eastAsia"/>
          <w:color w:val="auto"/>
          <w:sz w:val="24"/>
          <w:highlight w:val="none"/>
        </w:rPr>
        <w:t>龙泉</w:t>
      </w:r>
      <w:r>
        <w:rPr>
          <w:color w:val="auto"/>
          <w:sz w:val="24"/>
          <w:highlight w:val="none"/>
        </w:rPr>
        <w:t>110kV变电站，类比监测数据引用《</w:t>
      </w:r>
      <w:r>
        <w:rPr>
          <w:rFonts w:hint="eastAsia"/>
          <w:color w:val="auto"/>
          <w:sz w:val="24"/>
          <w:highlight w:val="none"/>
        </w:rPr>
        <w:t>宁夏石嘴山龙泉变电站110kV 3号主变扩建工程</w:t>
      </w:r>
      <w:r>
        <w:rPr>
          <w:rFonts w:hint="eastAsia"/>
          <w:color w:val="auto"/>
          <w:sz w:val="24"/>
          <w:highlight w:val="none"/>
          <w:lang w:val="en-US" w:eastAsia="zh-CN"/>
        </w:rPr>
        <w:t>环境影响报告表</w:t>
      </w:r>
      <w:r>
        <w:rPr>
          <w:color w:val="auto"/>
          <w:sz w:val="24"/>
          <w:highlight w:val="none"/>
        </w:rPr>
        <w:t>》中的监测数据</w:t>
      </w:r>
      <w:r>
        <w:rPr>
          <w:rFonts w:hint="eastAsia"/>
          <w:color w:val="auto"/>
          <w:sz w:val="24"/>
          <w:highlight w:val="none"/>
        </w:rPr>
        <w:t>，</w:t>
      </w:r>
      <w:r>
        <w:rPr>
          <w:rFonts w:hint="eastAsia"/>
          <w:color w:val="auto"/>
          <w:sz w:val="24"/>
          <w:highlight w:val="none"/>
          <w:lang w:val="en-US" w:eastAsia="zh-CN"/>
        </w:rPr>
        <w:t>具体</w:t>
      </w:r>
      <w:r>
        <w:rPr>
          <w:rFonts w:hint="eastAsia"/>
          <w:color w:val="auto"/>
          <w:sz w:val="24"/>
          <w:highlight w:val="none"/>
        </w:rPr>
        <w:t>详见附件</w:t>
      </w:r>
      <w:r>
        <w:rPr>
          <w:color w:val="auto"/>
          <w:sz w:val="24"/>
          <w:highlight w:val="none"/>
        </w:rPr>
        <w:t>。</w:t>
      </w:r>
      <w:r>
        <w:rPr>
          <w:rFonts w:hint="eastAsia" w:ascii="Times New Roman" w:hAnsi="Times New Roman" w:cs="Times New Roman"/>
          <w:color w:val="auto"/>
          <w:sz w:val="24"/>
          <w:highlight w:val="none"/>
          <w:lang w:val="en-US" w:eastAsia="zh-CN"/>
        </w:rPr>
        <w:t>类比条件分析详见</w:t>
      </w:r>
      <w:r>
        <w:rPr>
          <w:color w:val="auto"/>
          <w:sz w:val="24"/>
          <w:highlight w:val="none"/>
        </w:rPr>
        <w:t>专题表</w:t>
      </w:r>
      <w:r>
        <w:rPr>
          <w:rFonts w:hint="eastAsia"/>
          <w:color w:val="auto"/>
          <w:sz w:val="24"/>
          <w:highlight w:val="none"/>
        </w:rPr>
        <w:t>3</w:t>
      </w:r>
      <w:r>
        <w:rPr>
          <w:color w:val="auto"/>
          <w:sz w:val="24"/>
          <w:highlight w:val="none"/>
        </w:rPr>
        <w:t>。</w:t>
      </w:r>
    </w:p>
    <w:p w14:paraId="185649B1">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eastAsia="黑体"/>
          <w:b/>
          <w:color w:val="auto"/>
          <w:sz w:val="24"/>
          <w:highlight w:val="none"/>
          <w:lang w:val="en-US" w:eastAsia="zh-CN"/>
        </w:rPr>
      </w:pPr>
      <w:r>
        <w:rPr>
          <w:rFonts w:eastAsia="黑体"/>
          <w:b/>
          <w:color w:val="auto"/>
          <w:sz w:val="24"/>
          <w:highlight w:val="none"/>
        </w:rPr>
        <w:t>专题表</w:t>
      </w:r>
      <w:r>
        <w:rPr>
          <w:rFonts w:hint="eastAsia" w:eastAsia="黑体"/>
          <w:b/>
          <w:color w:val="auto"/>
          <w:sz w:val="24"/>
          <w:highlight w:val="none"/>
        </w:rPr>
        <w:t>3</w:t>
      </w:r>
      <w:r>
        <w:rPr>
          <w:rFonts w:eastAsia="黑体"/>
          <w:b/>
          <w:color w:val="auto"/>
          <w:sz w:val="24"/>
          <w:highlight w:val="none"/>
        </w:rPr>
        <w:t xml:space="preserve">  </w:t>
      </w:r>
      <w:r>
        <w:rPr>
          <w:rFonts w:hint="eastAsia" w:eastAsia="黑体"/>
          <w:b/>
          <w:color w:val="auto"/>
          <w:sz w:val="24"/>
          <w:highlight w:val="none"/>
          <w:lang w:val="en-US" w:eastAsia="zh-CN"/>
        </w:rPr>
        <w:t>110kV</w:t>
      </w:r>
      <w:r>
        <w:rPr>
          <w:rFonts w:eastAsia="黑体"/>
          <w:b/>
          <w:color w:val="auto"/>
          <w:sz w:val="24"/>
          <w:highlight w:val="none"/>
        </w:rPr>
        <w:t>变电站类比</w:t>
      </w:r>
      <w:r>
        <w:rPr>
          <w:rFonts w:hint="eastAsia" w:eastAsia="黑体"/>
          <w:b/>
          <w:color w:val="auto"/>
          <w:sz w:val="24"/>
          <w:highlight w:val="none"/>
          <w:lang w:val="en-US" w:eastAsia="zh-CN"/>
        </w:rPr>
        <w:t>情况一览表</w:t>
      </w:r>
    </w:p>
    <w:tbl>
      <w:tblPr>
        <w:tblStyle w:val="28"/>
        <w:tblW w:w="85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3166"/>
        <w:gridCol w:w="3320"/>
      </w:tblGrid>
      <w:tr w14:paraId="7CBF4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4155D64E">
            <w:pPr>
              <w:pStyle w:val="8"/>
              <w:adjustRightInd w:val="0"/>
              <w:snapToGrid w:val="0"/>
              <w:spacing w:after="0"/>
              <w:ind w:left="0" w:leftChars="0" w:firstLine="0"/>
              <w:jc w:val="center"/>
              <w:rPr>
                <w:b/>
                <w:bCs w:val="0"/>
                <w:color w:val="auto"/>
                <w:highlight w:val="none"/>
              </w:rPr>
            </w:pPr>
            <w:r>
              <w:rPr>
                <w:b/>
                <w:bCs w:val="0"/>
                <w:color w:val="auto"/>
                <w:highlight w:val="none"/>
              </w:rPr>
              <w:t>项目名称</w:t>
            </w:r>
          </w:p>
        </w:tc>
        <w:tc>
          <w:tcPr>
            <w:tcW w:w="3166" w:type="dxa"/>
            <w:vAlign w:val="center"/>
          </w:tcPr>
          <w:p w14:paraId="150B415C">
            <w:pPr>
              <w:pStyle w:val="8"/>
              <w:adjustRightInd w:val="0"/>
              <w:snapToGrid w:val="0"/>
              <w:spacing w:after="0"/>
              <w:ind w:left="0" w:leftChars="0" w:firstLine="0"/>
              <w:jc w:val="center"/>
              <w:rPr>
                <w:rFonts w:hint="eastAsia" w:eastAsia="宋体"/>
                <w:color w:val="auto"/>
                <w:highlight w:val="none"/>
                <w:lang w:eastAsia="zh-CN"/>
              </w:rPr>
            </w:pPr>
            <w:r>
              <w:rPr>
                <w:rFonts w:hint="eastAsia"/>
                <w:color w:val="auto"/>
                <w:highlight w:val="none"/>
                <w:lang w:val="en-US" w:eastAsia="zh-CN"/>
              </w:rPr>
              <w:t>张程</w:t>
            </w:r>
            <w:r>
              <w:rPr>
                <w:color w:val="auto"/>
                <w:highlight w:val="none"/>
              </w:rPr>
              <w:t>110</w:t>
            </w:r>
            <w:r>
              <w:rPr>
                <w:rFonts w:hint="eastAsia"/>
                <w:color w:val="auto"/>
                <w:highlight w:val="none"/>
                <w:lang w:val="en-US" w:eastAsia="zh-CN"/>
              </w:rPr>
              <w:t>千伏</w:t>
            </w:r>
            <w:r>
              <w:rPr>
                <w:color w:val="auto"/>
                <w:highlight w:val="none"/>
              </w:rPr>
              <w:t>变电站</w:t>
            </w:r>
            <w:r>
              <w:rPr>
                <w:rFonts w:hint="eastAsia"/>
                <w:color w:val="auto"/>
                <w:highlight w:val="none"/>
                <w:lang w:eastAsia="zh-CN"/>
              </w:rPr>
              <w:t>（</w:t>
            </w:r>
            <w:r>
              <w:rPr>
                <w:rFonts w:hint="eastAsia"/>
                <w:color w:val="auto"/>
                <w:highlight w:val="none"/>
                <w:lang w:val="en-US" w:eastAsia="zh-CN"/>
              </w:rPr>
              <w:t>本期新建</w:t>
            </w:r>
            <w:r>
              <w:rPr>
                <w:rFonts w:hint="eastAsia"/>
                <w:color w:val="auto"/>
                <w:highlight w:val="none"/>
                <w:lang w:eastAsia="zh-CN"/>
              </w:rPr>
              <w:t>）</w:t>
            </w:r>
          </w:p>
        </w:tc>
        <w:tc>
          <w:tcPr>
            <w:tcW w:w="3320" w:type="dxa"/>
            <w:vAlign w:val="center"/>
          </w:tcPr>
          <w:p w14:paraId="3784CD28">
            <w:pPr>
              <w:pStyle w:val="8"/>
              <w:adjustRightInd w:val="0"/>
              <w:snapToGrid w:val="0"/>
              <w:spacing w:after="0"/>
              <w:ind w:left="0" w:leftChars="0" w:firstLine="0"/>
              <w:jc w:val="center"/>
              <w:rPr>
                <w:color w:val="auto"/>
                <w:highlight w:val="none"/>
              </w:rPr>
            </w:pPr>
            <w:r>
              <w:rPr>
                <w:rFonts w:hint="eastAsia"/>
                <w:color w:val="auto"/>
                <w:highlight w:val="none"/>
              </w:rPr>
              <w:t>龙泉110</w:t>
            </w:r>
            <w:r>
              <w:rPr>
                <w:rFonts w:hint="eastAsia"/>
                <w:color w:val="auto"/>
                <w:highlight w:val="none"/>
                <w:lang w:val="en-US" w:eastAsia="zh-CN"/>
              </w:rPr>
              <w:t>千伏</w:t>
            </w:r>
            <w:r>
              <w:rPr>
                <w:rFonts w:hint="eastAsia"/>
                <w:color w:val="auto"/>
                <w:highlight w:val="none"/>
              </w:rPr>
              <w:t>变电站</w:t>
            </w:r>
            <w:r>
              <w:rPr>
                <w:color w:val="auto"/>
                <w:highlight w:val="none"/>
              </w:rPr>
              <w:t>（类比变电站）</w:t>
            </w:r>
          </w:p>
        </w:tc>
      </w:tr>
      <w:tr w14:paraId="15DF0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81" w:type="dxa"/>
            <w:vAlign w:val="center"/>
          </w:tcPr>
          <w:p w14:paraId="518D8799">
            <w:pPr>
              <w:pStyle w:val="8"/>
              <w:adjustRightInd w:val="0"/>
              <w:snapToGrid w:val="0"/>
              <w:spacing w:after="0"/>
              <w:ind w:left="0" w:leftChars="0" w:firstLine="0"/>
              <w:jc w:val="center"/>
              <w:rPr>
                <w:b/>
                <w:bCs w:val="0"/>
                <w:color w:val="auto"/>
                <w:highlight w:val="none"/>
              </w:rPr>
            </w:pPr>
            <w:r>
              <w:rPr>
                <w:b/>
                <w:bCs w:val="0"/>
                <w:color w:val="auto"/>
                <w:highlight w:val="none"/>
              </w:rPr>
              <w:t>所在位置</w:t>
            </w:r>
          </w:p>
        </w:tc>
        <w:tc>
          <w:tcPr>
            <w:tcW w:w="3166" w:type="dxa"/>
            <w:vAlign w:val="center"/>
          </w:tcPr>
          <w:p w14:paraId="3D97DE1C">
            <w:pPr>
              <w:pStyle w:val="8"/>
              <w:adjustRightInd w:val="0"/>
              <w:snapToGrid w:val="0"/>
              <w:spacing w:after="0"/>
              <w:ind w:left="0" w:leftChars="0" w:firstLine="0"/>
              <w:jc w:val="center"/>
              <w:rPr>
                <w:rFonts w:hint="eastAsia" w:eastAsia="宋体"/>
                <w:color w:val="auto"/>
                <w:highlight w:val="none"/>
                <w:lang w:eastAsia="zh-CN"/>
              </w:rPr>
            </w:pPr>
            <w:r>
              <w:rPr>
                <w:color w:val="auto"/>
                <w:highlight w:val="none"/>
              </w:rPr>
              <w:t>宁夏回族自治区</w:t>
            </w:r>
            <w:r>
              <w:rPr>
                <w:rFonts w:hint="eastAsia"/>
                <w:color w:val="auto"/>
                <w:highlight w:val="none"/>
                <w:lang w:val="en-US" w:eastAsia="zh-CN"/>
              </w:rPr>
              <w:t>固原市</w:t>
            </w:r>
          </w:p>
        </w:tc>
        <w:tc>
          <w:tcPr>
            <w:tcW w:w="3320" w:type="dxa"/>
            <w:vAlign w:val="center"/>
          </w:tcPr>
          <w:p w14:paraId="0630B6BC">
            <w:pPr>
              <w:pStyle w:val="8"/>
              <w:adjustRightInd w:val="0"/>
              <w:snapToGrid w:val="0"/>
              <w:spacing w:after="0"/>
              <w:ind w:left="0" w:leftChars="0" w:firstLine="0"/>
              <w:jc w:val="center"/>
              <w:rPr>
                <w:color w:val="auto"/>
                <w:highlight w:val="none"/>
              </w:rPr>
            </w:pPr>
            <w:r>
              <w:rPr>
                <w:color w:val="auto"/>
                <w:highlight w:val="none"/>
              </w:rPr>
              <w:t>宁夏回族自治区</w:t>
            </w:r>
            <w:r>
              <w:rPr>
                <w:rFonts w:hint="eastAsia"/>
                <w:color w:val="auto"/>
                <w:highlight w:val="none"/>
              </w:rPr>
              <w:t>石嘴山市</w:t>
            </w:r>
          </w:p>
        </w:tc>
      </w:tr>
      <w:tr w14:paraId="404DC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081" w:type="dxa"/>
            <w:shd w:val="clear" w:color="auto" w:fill="auto"/>
            <w:vAlign w:val="center"/>
          </w:tcPr>
          <w:p w14:paraId="63C09481">
            <w:pPr>
              <w:pStyle w:val="8"/>
              <w:adjustRightInd w:val="0"/>
              <w:snapToGrid w:val="0"/>
              <w:spacing w:after="0"/>
              <w:ind w:left="0" w:leftChars="0" w:firstLine="0" w:firstLineChars="0"/>
              <w:jc w:val="center"/>
              <w:rPr>
                <w:rFonts w:ascii="Times New Roman" w:hAnsi="Times New Roman" w:eastAsia="宋体" w:cs="Times New Roman"/>
                <w:b/>
                <w:bCs w:val="0"/>
                <w:color w:val="auto"/>
                <w:kern w:val="2"/>
                <w:sz w:val="21"/>
                <w:szCs w:val="24"/>
                <w:highlight w:val="none"/>
                <w:lang w:val="en-US" w:eastAsia="zh-CN" w:bidi="ar-SA"/>
              </w:rPr>
            </w:pPr>
            <w:r>
              <w:rPr>
                <w:b/>
                <w:bCs w:val="0"/>
                <w:color w:val="auto"/>
                <w:highlight w:val="none"/>
              </w:rPr>
              <w:t>变电站面积</w:t>
            </w:r>
          </w:p>
        </w:tc>
        <w:tc>
          <w:tcPr>
            <w:tcW w:w="3166" w:type="dxa"/>
            <w:shd w:val="clear" w:color="auto" w:fill="auto"/>
            <w:vAlign w:val="center"/>
          </w:tcPr>
          <w:p w14:paraId="4605DF28">
            <w:pPr>
              <w:pStyle w:val="8"/>
              <w:adjustRightInd w:val="0"/>
              <w:snapToGrid w:val="0"/>
              <w:spacing w:after="0"/>
              <w:ind w:left="0" w:leftChars="0"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0.</w:t>
            </w:r>
            <w:r>
              <w:rPr>
                <w:rFonts w:hint="eastAsia"/>
                <w:color w:val="auto"/>
                <w:highlight w:val="none"/>
              </w:rPr>
              <w:t>5</w:t>
            </w:r>
            <w:r>
              <w:rPr>
                <w:rFonts w:hint="eastAsia"/>
                <w:color w:val="auto"/>
                <w:highlight w:val="none"/>
                <w:lang w:val="en-US" w:eastAsia="zh-CN"/>
              </w:rPr>
              <w:t>168</w:t>
            </w:r>
            <w:r>
              <w:rPr>
                <w:color w:val="auto"/>
                <w:highlight w:val="none"/>
              </w:rPr>
              <w:t>hm</w:t>
            </w:r>
            <w:r>
              <w:rPr>
                <w:color w:val="auto"/>
                <w:highlight w:val="none"/>
                <w:vertAlign w:val="superscript"/>
              </w:rPr>
              <w:t>2</w:t>
            </w:r>
          </w:p>
        </w:tc>
        <w:tc>
          <w:tcPr>
            <w:tcW w:w="3320" w:type="dxa"/>
            <w:shd w:val="clear" w:color="auto" w:fill="auto"/>
            <w:vAlign w:val="center"/>
          </w:tcPr>
          <w:p w14:paraId="06D85E96">
            <w:pPr>
              <w:pStyle w:val="8"/>
              <w:adjustRightInd w:val="0"/>
              <w:snapToGrid w:val="0"/>
              <w:spacing w:after="0"/>
              <w:ind w:left="0" w:leftChars="0" w:firstLine="0" w:firstLineChars="0"/>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0.</w:t>
            </w:r>
            <w:r>
              <w:rPr>
                <w:rFonts w:hint="eastAsia"/>
                <w:color w:val="auto"/>
                <w:highlight w:val="none"/>
              </w:rPr>
              <w:t>5275</w:t>
            </w:r>
            <w:r>
              <w:rPr>
                <w:color w:val="auto"/>
                <w:highlight w:val="none"/>
              </w:rPr>
              <w:t>hm</w:t>
            </w:r>
            <w:r>
              <w:rPr>
                <w:color w:val="auto"/>
                <w:highlight w:val="none"/>
                <w:vertAlign w:val="superscript"/>
              </w:rPr>
              <w:t>2</w:t>
            </w:r>
          </w:p>
        </w:tc>
      </w:tr>
      <w:tr w14:paraId="6D5F6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280D9758">
            <w:pPr>
              <w:pStyle w:val="8"/>
              <w:adjustRightInd w:val="0"/>
              <w:snapToGrid w:val="0"/>
              <w:spacing w:after="0"/>
              <w:ind w:left="0" w:leftChars="0" w:firstLine="0"/>
              <w:jc w:val="center"/>
              <w:rPr>
                <w:b/>
                <w:bCs w:val="0"/>
                <w:color w:val="auto"/>
                <w:highlight w:val="none"/>
              </w:rPr>
            </w:pPr>
            <w:r>
              <w:rPr>
                <w:b/>
                <w:bCs w:val="0"/>
                <w:color w:val="auto"/>
                <w:highlight w:val="none"/>
              </w:rPr>
              <w:t>电压等级</w:t>
            </w:r>
          </w:p>
        </w:tc>
        <w:tc>
          <w:tcPr>
            <w:tcW w:w="3166" w:type="dxa"/>
            <w:vAlign w:val="center"/>
          </w:tcPr>
          <w:p w14:paraId="2C73CA6F">
            <w:pPr>
              <w:pStyle w:val="8"/>
              <w:adjustRightInd w:val="0"/>
              <w:snapToGrid w:val="0"/>
              <w:spacing w:after="0"/>
              <w:ind w:left="0" w:leftChars="0" w:firstLine="0"/>
              <w:jc w:val="center"/>
              <w:rPr>
                <w:color w:val="auto"/>
                <w:highlight w:val="none"/>
              </w:rPr>
            </w:pPr>
            <w:r>
              <w:rPr>
                <w:color w:val="auto"/>
                <w:highlight w:val="none"/>
              </w:rPr>
              <w:t>110</w:t>
            </w:r>
            <w:r>
              <w:rPr>
                <w:rFonts w:hint="eastAsia"/>
                <w:color w:val="auto"/>
                <w:highlight w:val="none"/>
              </w:rPr>
              <w:t>/35/10kV</w:t>
            </w:r>
          </w:p>
        </w:tc>
        <w:tc>
          <w:tcPr>
            <w:tcW w:w="3320" w:type="dxa"/>
            <w:vAlign w:val="center"/>
          </w:tcPr>
          <w:p w14:paraId="7129D864">
            <w:pPr>
              <w:pStyle w:val="8"/>
              <w:adjustRightInd w:val="0"/>
              <w:snapToGrid w:val="0"/>
              <w:spacing w:after="0"/>
              <w:ind w:left="0" w:leftChars="0" w:firstLine="0"/>
              <w:jc w:val="center"/>
              <w:rPr>
                <w:color w:val="auto"/>
                <w:highlight w:val="none"/>
              </w:rPr>
            </w:pPr>
            <w:r>
              <w:rPr>
                <w:color w:val="auto"/>
                <w:highlight w:val="none"/>
              </w:rPr>
              <w:t>110</w:t>
            </w:r>
            <w:r>
              <w:rPr>
                <w:rFonts w:hint="eastAsia"/>
                <w:color w:val="auto"/>
                <w:highlight w:val="none"/>
              </w:rPr>
              <w:t>/35/10</w:t>
            </w:r>
            <w:r>
              <w:rPr>
                <w:color w:val="auto"/>
                <w:highlight w:val="none"/>
              </w:rPr>
              <w:t>kV</w:t>
            </w:r>
          </w:p>
        </w:tc>
      </w:tr>
      <w:tr w14:paraId="35A21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00E12459">
            <w:pPr>
              <w:pStyle w:val="8"/>
              <w:adjustRightInd w:val="0"/>
              <w:snapToGrid w:val="0"/>
              <w:spacing w:after="0"/>
              <w:ind w:left="0" w:leftChars="0" w:firstLine="0"/>
              <w:jc w:val="center"/>
              <w:rPr>
                <w:b/>
                <w:bCs w:val="0"/>
                <w:color w:val="auto"/>
                <w:highlight w:val="none"/>
              </w:rPr>
            </w:pPr>
            <w:r>
              <w:rPr>
                <w:b/>
                <w:bCs w:val="0"/>
                <w:color w:val="auto"/>
                <w:highlight w:val="none"/>
              </w:rPr>
              <w:t>主变容量</w:t>
            </w:r>
          </w:p>
        </w:tc>
        <w:tc>
          <w:tcPr>
            <w:tcW w:w="3166" w:type="dxa"/>
            <w:vAlign w:val="center"/>
          </w:tcPr>
          <w:p w14:paraId="583C22C0">
            <w:pPr>
              <w:pStyle w:val="8"/>
              <w:adjustRightInd w:val="0"/>
              <w:snapToGrid w:val="0"/>
              <w:spacing w:after="0"/>
              <w:ind w:left="0" w:leftChars="0" w:firstLine="0"/>
              <w:jc w:val="center"/>
              <w:rPr>
                <w:color w:val="auto"/>
                <w:highlight w:val="none"/>
              </w:rPr>
            </w:pPr>
            <w:r>
              <w:rPr>
                <w:color w:val="auto"/>
                <w:highlight w:val="none"/>
              </w:rPr>
              <w:t>2×</w:t>
            </w:r>
            <w:r>
              <w:rPr>
                <w:rFonts w:hint="eastAsia"/>
                <w:color w:val="auto"/>
                <w:highlight w:val="none"/>
              </w:rPr>
              <w:t>50</w:t>
            </w:r>
            <w:r>
              <w:rPr>
                <w:color w:val="auto"/>
                <w:highlight w:val="none"/>
              </w:rPr>
              <w:t>MVA</w:t>
            </w:r>
          </w:p>
        </w:tc>
        <w:tc>
          <w:tcPr>
            <w:tcW w:w="3320" w:type="dxa"/>
            <w:vAlign w:val="center"/>
          </w:tcPr>
          <w:p w14:paraId="160E1757">
            <w:pPr>
              <w:pStyle w:val="8"/>
              <w:adjustRightInd w:val="0"/>
              <w:snapToGrid w:val="0"/>
              <w:spacing w:after="0"/>
              <w:ind w:left="0" w:leftChars="0" w:firstLine="0"/>
              <w:jc w:val="center"/>
              <w:rPr>
                <w:color w:val="auto"/>
                <w:highlight w:val="none"/>
              </w:rPr>
            </w:pPr>
            <w:r>
              <w:rPr>
                <w:rFonts w:hint="eastAsia"/>
                <w:color w:val="auto"/>
                <w:highlight w:val="none"/>
                <w:lang w:val="en-US" w:eastAsia="zh-CN"/>
              </w:rPr>
              <w:t>2</w:t>
            </w:r>
            <w:r>
              <w:rPr>
                <w:color w:val="auto"/>
                <w:highlight w:val="none"/>
              </w:rPr>
              <w:t>×</w:t>
            </w:r>
            <w:r>
              <w:rPr>
                <w:rFonts w:hint="eastAsia"/>
                <w:color w:val="auto"/>
                <w:highlight w:val="none"/>
              </w:rPr>
              <w:t>50</w:t>
            </w:r>
            <w:r>
              <w:rPr>
                <w:color w:val="auto"/>
                <w:highlight w:val="none"/>
              </w:rPr>
              <w:t>MVA</w:t>
            </w:r>
          </w:p>
        </w:tc>
      </w:tr>
      <w:tr w14:paraId="35422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shd w:val="clear" w:color="auto" w:fill="auto"/>
            <w:vAlign w:val="center"/>
          </w:tcPr>
          <w:p w14:paraId="66EDA110">
            <w:pPr>
              <w:pStyle w:val="8"/>
              <w:adjustRightInd w:val="0"/>
              <w:snapToGrid w:val="0"/>
              <w:spacing w:after="0"/>
              <w:ind w:left="0" w:leftChars="0" w:firstLine="0" w:firstLineChars="0"/>
              <w:jc w:val="center"/>
              <w:rPr>
                <w:rFonts w:ascii="Times New Roman" w:hAnsi="Times New Roman" w:eastAsia="宋体" w:cs="Times New Roman"/>
                <w:b/>
                <w:bCs w:val="0"/>
                <w:color w:val="auto"/>
                <w:kern w:val="2"/>
                <w:sz w:val="21"/>
                <w:szCs w:val="24"/>
                <w:highlight w:val="none"/>
                <w:lang w:val="en-US" w:eastAsia="zh-CN" w:bidi="ar-SA"/>
              </w:rPr>
            </w:pPr>
            <w:r>
              <w:rPr>
                <w:b/>
                <w:bCs w:val="0"/>
                <w:color w:val="auto"/>
                <w:highlight w:val="none"/>
              </w:rPr>
              <w:t>110kV出线间隔</w:t>
            </w:r>
          </w:p>
        </w:tc>
        <w:tc>
          <w:tcPr>
            <w:tcW w:w="3166" w:type="dxa"/>
            <w:shd w:val="clear" w:color="auto" w:fill="auto"/>
            <w:vAlign w:val="center"/>
          </w:tcPr>
          <w:p w14:paraId="2BBC75F0">
            <w:pPr>
              <w:pStyle w:val="8"/>
              <w:adjustRightInd w:val="0"/>
              <w:snapToGrid w:val="0"/>
              <w:spacing w:after="0"/>
              <w:ind w:left="0" w:leftChars="0" w:firstLine="0" w:firstLineChars="0"/>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2</w:t>
            </w:r>
            <w:r>
              <w:rPr>
                <w:color w:val="auto"/>
                <w:highlight w:val="none"/>
              </w:rPr>
              <w:t>回</w:t>
            </w:r>
          </w:p>
        </w:tc>
        <w:tc>
          <w:tcPr>
            <w:tcW w:w="3320" w:type="dxa"/>
            <w:shd w:val="clear" w:color="auto" w:fill="auto"/>
            <w:vAlign w:val="center"/>
          </w:tcPr>
          <w:p w14:paraId="4B9435AE">
            <w:pPr>
              <w:pStyle w:val="8"/>
              <w:adjustRightInd w:val="0"/>
              <w:snapToGrid w:val="0"/>
              <w:spacing w:after="0"/>
              <w:ind w:left="0" w:lef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color w:val="auto"/>
                <w:highlight w:val="none"/>
              </w:rPr>
              <w:t>2回</w:t>
            </w:r>
          </w:p>
        </w:tc>
      </w:tr>
      <w:tr w14:paraId="6D7D7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51BA2062">
            <w:pPr>
              <w:pStyle w:val="8"/>
              <w:adjustRightInd w:val="0"/>
              <w:snapToGrid w:val="0"/>
              <w:spacing w:after="0"/>
              <w:ind w:left="0" w:leftChars="0" w:firstLine="0"/>
              <w:jc w:val="center"/>
              <w:rPr>
                <w:b/>
                <w:bCs w:val="0"/>
                <w:color w:val="auto"/>
                <w:highlight w:val="none"/>
              </w:rPr>
            </w:pPr>
            <w:r>
              <w:rPr>
                <w:b/>
                <w:bCs w:val="0"/>
                <w:color w:val="auto"/>
                <w:highlight w:val="none"/>
              </w:rPr>
              <w:t>出线方式</w:t>
            </w:r>
          </w:p>
        </w:tc>
        <w:tc>
          <w:tcPr>
            <w:tcW w:w="3166" w:type="dxa"/>
            <w:vAlign w:val="center"/>
          </w:tcPr>
          <w:p w14:paraId="6C792910">
            <w:pPr>
              <w:pStyle w:val="8"/>
              <w:adjustRightInd w:val="0"/>
              <w:snapToGrid w:val="0"/>
              <w:spacing w:after="0"/>
              <w:ind w:left="0" w:leftChars="0" w:firstLine="0"/>
              <w:jc w:val="center"/>
              <w:rPr>
                <w:color w:val="auto"/>
                <w:highlight w:val="none"/>
              </w:rPr>
            </w:pPr>
            <w:r>
              <w:rPr>
                <w:rFonts w:hint="eastAsia"/>
                <w:color w:val="auto"/>
                <w:highlight w:val="none"/>
              </w:rPr>
              <w:t>架空出线</w:t>
            </w:r>
          </w:p>
        </w:tc>
        <w:tc>
          <w:tcPr>
            <w:tcW w:w="3320" w:type="dxa"/>
            <w:vAlign w:val="center"/>
          </w:tcPr>
          <w:p w14:paraId="7F29465E">
            <w:pPr>
              <w:pStyle w:val="8"/>
              <w:adjustRightInd w:val="0"/>
              <w:snapToGrid w:val="0"/>
              <w:spacing w:after="0"/>
              <w:ind w:left="0" w:leftChars="0" w:firstLine="0"/>
              <w:jc w:val="center"/>
              <w:rPr>
                <w:color w:val="auto"/>
                <w:highlight w:val="none"/>
              </w:rPr>
            </w:pPr>
            <w:r>
              <w:rPr>
                <w:color w:val="auto"/>
                <w:highlight w:val="none"/>
              </w:rPr>
              <w:t>架空出线</w:t>
            </w:r>
          </w:p>
        </w:tc>
      </w:tr>
      <w:tr w14:paraId="4F64D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51E748C0">
            <w:pPr>
              <w:pStyle w:val="8"/>
              <w:adjustRightInd w:val="0"/>
              <w:snapToGrid w:val="0"/>
              <w:spacing w:after="0"/>
              <w:ind w:left="0" w:leftChars="0" w:firstLine="0"/>
              <w:jc w:val="center"/>
              <w:rPr>
                <w:b/>
                <w:bCs w:val="0"/>
                <w:color w:val="auto"/>
                <w:highlight w:val="none"/>
              </w:rPr>
            </w:pPr>
            <w:r>
              <w:rPr>
                <w:b/>
                <w:bCs w:val="0"/>
                <w:color w:val="auto"/>
                <w:highlight w:val="none"/>
              </w:rPr>
              <w:t>主变布置</w:t>
            </w:r>
          </w:p>
        </w:tc>
        <w:tc>
          <w:tcPr>
            <w:tcW w:w="3166" w:type="dxa"/>
            <w:vAlign w:val="center"/>
          </w:tcPr>
          <w:p w14:paraId="30DED334">
            <w:pPr>
              <w:pStyle w:val="8"/>
              <w:adjustRightInd w:val="0"/>
              <w:snapToGrid w:val="0"/>
              <w:spacing w:after="0"/>
              <w:ind w:left="0" w:leftChars="0" w:firstLine="0"/>
              <w:jc w:val="center"/>
              <w:rPr>
                <w:rFonts w:hint="eastAsia" w:eastAsia="宋体"/>
                <w:color w:val="auto"/>
                <w:highlight w:val="none"/>
                <w:lang w:eastAsia="zh-CN"/>
              </w:rPr>
            </w:pPr>
            <w:r>
              <w:rPr>
                <w:rFonts w:hint="eastAsia"/>
                <w:color w:val="auto"/>
                <w:highlight w:val="none"/>
                <w:lang w:val="en-US" w:eastAsia="zh-CN"/>
              </w:rPr>
              <w:t>户外</w:t>
            </w:r>
          </w:p>
        </w:tc>
        <w:tc>
          <w:tcPr>
            <w:tcW w:w="3320" w:type="dxa"/>
            <w:vAlign w:val="center"/>
          </w:tcPr>
          <w:p w14:paraId="6F59497B">
            <w:pPr>
              <w:pStyle w:val="8"/>
              <w:adjustRightInd w:val="0"/>
              <w:snapToGrid w:val="0"/>
              <w:spacing w:after="0"/>
              <w:ind w:left="0" w:leftChars="0" w:firstLine="0"/>
              <w:jc w:val="center"/>
              <w:rPr>
                <w:color w:val="auto"/>
                <w:highlight w:val="none"/>
              </w:rPr>
            </w:pPr>
            <w:r>
              <w:rPr>
                <w:rFonts w:hint="eastAsia"/>
                <w:color w:val="auto"/>
                <w:highlight w:val="none"/>
              </w:rPr>
              <w:t>户外</w:t>
            </w:r>
          </w:p>
        </w:tc>
      </w:tr>
      <w:tr w14:paraId="7EC84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vAlign w:val="center"/>
          </w:tcPr>
          <w:p w14:paraId="6B1EA8FA">
            <w:pPr>
              <w:pStyle w:val="8"/>
              <w:adjustRightInd w:val="0"/>
              <w:snapToGrid w:val="0"/>
              <w:spacing w:after="0"/>
              <w:ind w:left="0" w:leftChars="0" w:firstLine="0"/>
              <w:jc w:val="center"/>
              <w:rPr>
                <w:b/>
                <w:bCs w:val="0"/>
                <w:color w:val="auto"/>
                <w:highlight w:val="none"/>
              </w:rPr>
            </w:pPr>
            <w:r>
              <w:rPr>
                <w:b/>
                <w:bCs w:val="0"/>
                <w:color w:val="auto"/>
                <w:highlight w:val="none"/>
              </w:rPr>
              <w:t>110kV配电装置布置</w:t>
            </w:r>
          </w:p>
        </w:tc>
        <w:tc>
          <w:tcPr>
            <w:tcW w:w="3166" w:type="dxa"/>
            <w:vAlign w:val="center"/>
          </w:tcPr>
          <w:p w14:paraId="1245682C">
            <w:pPr>
              <w:pStyle w:val="8"/>
              <w:adjustRightInd w:val="0"/>
              <w:snapToGrid w:val="0"/>
              <w:spacing w:after="0"/>
              <w:ind w:left="0" w:leftChars="0" w:firstLine="0"/>
              <w:jc w:val="center"/>
              <w:rPr>
                <w:color w:val="auto"/>
                <w:highlight w:val="none"/>
              </w:rPr>
            </w:pPr>
            <w:r>
              <w:rPr>
                <w:color w:val="auto"/>
                <w:szCs w:val="21"/>
                <w:highlight w:val="none"/>
              </w:rPr>
              <w:t>户外</w:t>
            </w:r>
            <w:r>
              <w:rPr>
                <w:rFonts w:hint="eastAsia"/>
                <w:color w:val="auto"/>
                <w:szCs w:val="21"/>
                <w:highlight w:val="none"/>
              </w:rPr>
              <w:t>H</w:t>
            </w:r>
            <w:r>
              <w:rPr>
                <w:color w:val="auto"/>
                <w:szCs w:val="21"/>
                <w:highlight w:val="none"/>
              </w:rPr>
              <w:t>GIS</w:t>
            </w:r>
          </w:p>
        </w:tc>
        <w:tc>
          <w:tcPr>
            <w:tcW w:w="3320" w:type="dxa"/>
            <w:vAlign w:val="center"/>
          </w:tcPr>
          <w:p w14:paraId="0BBA2273">
            <w:pPr>
              <w:pStyle w:val="8"/>
              <w:adjustRightInd w:val="0"/>
              <w:snapToGrid w:val="0"/>
              <w:spacing w:after="0"/>
              <w:ind w:left="0" w:leftChars="0" w:firstLine="0"/>
              <w:jc w:val="center"/>
              <w:rPr>
                <w:color w:val="auto"/>
                <w:highlight w:val="none"/>
              </w:rPr>
            </w:pPr>
            <w:r>
              <w:rPr>
                <w:color w:val="auto"/>
                <w:szCs w:val="21"/>
                <w:highlight w:val="none"/>
              </w:rPr>
              <w:t>户外GIS</w:t>
            </w:r>
          </w:p>
        </w:tc>
      </w:tr>
      <w:tr w14:paraId="429E4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81" w:type="dxa"/>
            <w:shd w:val="clear" w:color="auto" w:fill="auto"/>
            <w:vAlign w:val="center"/>
          </w:tcPr>
          <w:p w14:paraId="28D792C5">
            <w:pPr>
              <w:pStyle w:val="8"/>
              <w:adjustRightInd w:val="0"/>
              <w:snapToGrid w:val="0"/>
              <w:spacing w:after="0"/>
              <w:ind w:left="0" w:leftChars="0" w:firstLine="0" w:firstLineChars="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
                <w:bCs w:val="0"/>
                <w:color w:val="auto"/>
                <w:highlight w:val="none"/>
                <w:lang w:val="en-US" w:eastAsia="zh-CN"/>
              </w:rPr>
              <w:t>环境条件</w:t>
            </w:r>
          </w:p>
        </w:tc>
        <w:tc>
          <w:tcPr>
            <w:tcW w:w="6486" w:type="dxa"/>
            <w:gridSpan w:val="2"/>
            <w:shd w:val="clear" w:color="auto" w:fill="auto"/>
            <w:vAlign w:val="center"/>
          </w:tcPr>
          <w:p w14:paraId="4D083618">
            <w:pPr>
              <w:pStyle w:val="8"/>
              <w:adjustRightInd w:val="0"/>
              <w:snapToGrid w:val="0"/>
              <w:spacing w:after="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地势均较为开阔，环境条件类似</w:t>
            </w:r>
          </w:p>
        </w:tc>
      </w:tr>
    </w:tbl>
    <w:p w14:paraId="6558ACA7">
      <w:pPr>
        <w:pStyle w:val="4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r>
        <w:rPr>
          <w:color w:val="auto"/>
          <w:sz w:val="24"/>
          <w:highlight w:val="none"/>
        </w:rPr>
        <w:t>由上表可知：</w:t>
      </w:r>
    </w:p>
    <w:p w14:paraId="15E47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color w:val="auto"/>
          <w:kern w:val="0"/>
          <w:sz w:val="24"/>
          <w:highlight w:val="none"/>
        </w:rPr>
        <w:t>①电压等级、主变容量</w:t>
      </w:r>
    </w:p>
    <w:p w14:paraId="787DCD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default" w:ascii="Times New Roman" w:hAnsi="Times New Roman" w:cs="Times New Roman"/>
          <w:color w:val="auto"/>
          <w:kern w:val="0"/>
          <w:sz w:val="24"/>
          <w:highlight w:val="none"/>
        </w:rPr>
        <w:t>本期</w:t>
      </w:r>
      <w:r>
        <w:rPr>
          <w:rFonts w:hint="eastAsia" w:ascii="Times New Roman" w:hAnsi="Times New Roman" w:cs="Times New Roman"/>
          <w:color w:val="auto"/>
          <w:kern w:val="0"/>
          <w:sz w:val="24"/>
          <w:highlight w:val="none"/>
          <w:lang w:val="en-US" w:eastAsia="zh-CN"/>
        </w:rPr>
        <w:t>新建</w:t>
      </w:r>
      <w:r>
        <w:rPr>
          <w:rFonts w:hint="default" w:ascii="Times New Roman" w:hAnsi="Times New Roman" w:cs="Times New Roman"/>
          <w:color w:val="auto"/>
          <w:kern w:val="0"/>
          <w:sz w:val="24"/>
          <w:highlight w:val="none"/>
        </w:rPr>
        <w:t>变电站和类比变电站的电压等级均为</w:t>
      </w:r>
      <w:r>
        <w:rPr>
          <w:rFonts w:hint="eastAsia" w:ascii="Times New Roman" w:hAnsi="Times New Roman" w:cs="Times New Roman"/>
          <w:color w:val="auto"/>
          <w:kern w:val="0"/>
          <w:sz w:val="24"/>
          <w:highlight w:val="none"/>
          <w:lang w:val="en-US" w:eastAsia="zh-CN"/>
        </w:rPr>
        <w:t>11</w:t>
      </w:r>
      <w:r>
        <w:rPr>
          <w:rFonts w:hint="default" w:ascii="Times New Roman" w:hAnsi="Times New Roman" w:cs="Times New Roman"/>
          <w:color w:val="auto"/>
          <w:kern w:val="0"/>
          <w:sz w:val="24"/>
          <w:highlight w:val="none"/>
        </w:rPr>
        <w:t>0kV，电压等级相同</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本期</w:t>
      </w:r>
      <w:r>
        <w:rPr>
          <w:rFonts w:hint="eastAsia" w:cs="Times New Roman"/>
          <w:color w:val="auto"/>
          <w:kern w:val="0"/>
          <w:sz w:val="24"/>
          <w:highlight w:val="none"/>
          <w:lang w:val="en-US" w:eastAsia="zh-CN"/>
        </w:rPr>
        <w:t>新建</w:t>
      </w:r>
      <w:r>
        <w:rPr>
          <w:rFonts w:hint="default" w:ascii="Times New Roman" w:hAnsi="Times New Roman" w:cs="Times New Roman"/>
          <w:color w:val="auto"/>
          <w:kern w:val="0"/>
          <w:sz w:val="24"/>
          <w:highlight w:val="none"/>
          <w:lang w:eastAsia="zh-CN"/>
        </w:rPr>
        <w:t>变电站</w:t>
      </w:r>
      <w:r>
        <w:rPr>
          <w:rFonts w:hint="eastAsia" w:ascii="Times New Roman" w:hAnsi="Times New Roman" w:cs="Times New Roman"/>
          <w:color w:val="auto"/>
          <w:kern w:val="0"/>
          <w:sz w:val="24"/>
          <w:highlight w:val="none"/>
          <w:lang w:val="en-US" w:eastAsia="zh-CN"/>
        </w:rPr>
        <w:t>和类比变电站的</w:t>
      </w:r>
      <w:r>
        <w:rPr>
          <w:rFonts w:hint="default" w:ascii="Times New Roman" w:hAnsi="Times New Roman" w:cs="Times New Roman"/>
          <w:color w:val="auto"/>
          <w:sz w:val="24"/>
          <w:szCs w:val="24"/>
          <w:highlight w:val="none"/>
        </w:rPr>
        <w:t>主变</w:t>
      </w:r>
      <w:r>
        <w:rPr>
          <w:rFonts w:hint="default" w:ascii="Times New Roman" w:hAnsi="Times New Roman" w:eastAsia="宋体" w:cs="Times New Roman"/>
          <w:color w:val="auto"/>
          <w:sz w:val="24"/>
          <w:szCs w:val="24"/>
          <w:highlight w:val="none"/>
          <w:lang w:val="en-US" w:eastAsia="zh-CN"/>
        </w:rPr>
        <w:t>容量</w:t>
      </w:r>
      <w:r>
        <w:rPr>
          <w:rFonts w:hint="eastAsia" w:ascii="Times New Roman" w:hAnsi="Times New Roman" w:cs="Times New Roman"/>
          <w:color w:val="auto"/>
          <w:kern w:val="0"/>
          <w:sz w:val="24"/>
          <w:highlight w:val="none"/>
          <w:lang w:val="en-US" w:eastAsia="zh-CN"/>
        </w:rPr>
        <w:t>均</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MVA</w:t>
      </w:r>
      <w:r>
        <w:rPr>
          <w:rFonts w:hint="eastAsia" w:cs="Times New Roman"/>
          <w:color w:val="auto"/>
          <w:sz w:val="24"/>
          <w:szCs w:val="24"/>
          <w:highlight w:val="none"/>
          <w:lang w:val="en-US" w:eastAsia="zh-CN"/>
        </w:rPr>
        <w:t>，主变容量相同</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电压等级和主变容量是影响站外电磁环境大小的主要因素。</w:t>
      </w:r>
      <w:r>
        <w:rPr>
          <w:color w:val="auto"/>
          <w:sz w:val="24"/>
          <w:highlight w:val="none"/>
        </w:rPr>
        <w:t>因此，选用</w:t>
      </w:r>
      <w:r>
        <w:rPr>
          <w:rFonts w:hint="eastAsia"/>
          <w:color w:val="auto"/>
          <w:sz w:val="24"/>
          <w:highlight w:val="none"/>
        </w:rPr>
        <w:t>龙泉</w:t>
      </w:r>
      <w:r>
        <w:rPr>
          <w:color w:val="auto"/>
          <w:sz w:val="24"/>
          <w:highlight w:val="none"/>
        </w:rPr>
        <w:t>110</w:t>
      </w:r>
      <w:r>
        <w:rPr>
          <w:rFonts w:hint="eastAsia"/>
          <w:color w:val="auto"/>
          <w:sz w:val="24"/>
          <w:highlight w:val="none"/>
          <w:lang w:val="en-US" w:eastAsia="zh-CN"/>
        </w:rPr>
        <w:t>千伏</w:t>
      </w:r>
      <w:r>
        <w:rPr>
          <w:color w:val="auto"/>
          <w:sz w:val="24"/>
          <w:highlight w:val="none"/>
        </w:rPr>
        <w:t>变电站进行类比预测是可行的。</w:t>
      </w:r>
    </w:p>
    <w:p w14:paraId="5C353062">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②</w:t>
      </w:r>
      <w:r>
        <w:rPr>
          <w:rFonts w:hint="eastAsia" w:ascii="Times New Roman" w:hAnsi="Times New Roman" w:cs="Times New Roman"/>
          <w:color w:val="auto"/>
          <w:kern w:val="0"/>
          <w:sz w:val="24"/>
          <w:highlight w:val="none"/>
          <w:lang w:val="en-US" w:eastAsia="zh-CN"/>
        </w:rPr>
        <w:t>11</w:t>
      </w:r>
      <w:r>
        <w:rPr>
          <w:rFonts w:hint="default" w:ascii="Times New Roman" w:hAnsi="Times New Roman" w:cs="Times New Roman"/>
          <w:color w:val="auto"/>
          <w:kern w:val="0"/>
          <w:sz w:val="24"/>
          <w:highlight w:val="none"/>
        </w:rPr>
        <w:t>0kV出线间隔规模</w:t>
      </w:r>
      <w:r>
        <w:rPr>
          <w:rFonts w:hint="eastAsia" w:ascii="Times New Roman" w:hAnsi="Times New Roman" w:cs="Times New Roman"/>
          <w:color w:val="auto"/>
          <w:kern w:val="0"/>
          <w:sz w:val="24"/>
          <w:highlight w:val="none"/>
          <w:lang w:val="en-US" w:eastAsia="zh-CN"/>
        </w:rPr>
        <w:t>及出线方式</w:t>
      </w:r>
    </w:p>
    <w:p w14:paraId="17AC40A3">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rPr>
        <w:t>本期</w:t>
      </w:r>
      <w:r>
        <w:rPr>
          <w:rFonts w:hint="eastAsia" w:cs="Times New Roman"/>
          <w:color w:val="auto"/>
          <w:kern w:val="0"/>
          <w:sz w:val="24"/>
          <w:highlight w:val="none"/>
          <w:lang w:val="en-US" w:eastAsia="zh-CN"/>
        </w:rPr>
        <w:t>新建</w:t>
      </w:r>
      <w:r>
        <w:rPr>
          <w:rFonts w:hint="default" w:ascii="Times New Roman" w:hAnsi="Times New Roman" w:cs="Times New Roman"/>
          <w:color w:val="auto"/>
          <w:kern w:val="0"/>
          <w:sz w:val="24"/>
          <w:highlight w:val="none"/>
          <w:lang w:val="en-US" w:eastAsia="zh-CN"/>
        </w:rPr>
        <w:t>变电站</w:t>
      </w:r>
      <w:r>
        <w:rPr>
          <w:rFonts w:hint="eastAsia" w:ascii="Times New Roman" w:hAnsi="Times New Roman" w:cs="Times New Roman"/>
          <w:color w:val="auto"/>
          <w:kern w:val="0"/>
          <w:sz w:val="24"/>
          <w:highlight w:val="none"/>
          <w:lang w:val="en-US" w:eastAsia="zh-CN"/>
        </w:rPr>
        <w:t>和类比变电站的11</w:t>
      </w:r>
      <w:r>
        <w:rPr>
          <w:rFonts w:hint="default"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rPr>
        <w:t>kV出线间隔</w:t>
      </w:r>
      <w:r>
        <w:rPr>
          <w:rFonts w:hint="eastAsia" w:ascii="Times New Roman" w:hAnsi="Times New Roman" w:cs="Times New Roman"/>
          <w:color w:val="auto"/>
          <w:kern w:val="0"/>
          <w:sz w:val="24"/>
          <w:highlight w:val="none"/>
          <w:lang w:val="en-US" w:eastAsia="zh-CN"/>
        </w:rPr>
        <w:t>均为</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回</w:t>
      </w:r>
      <w:r>
        <w:rPr>
          <w:rFonts w:hint="eastAsia"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11</w:t>
      </w:r>
      <w:r>
        <w:rPr>
          <w:rFonts w:hint="default" w:ascii="Times New Roman" w:hAnsi="Times New Roman" w:cs="Times New Roman"/>
          <w:color w:val="auto"/>
          <w:kern w:val="0"/>
          <w:sz w:val="24"/>
          <w:highlight w:val="none"/>
        </w:rPr>
        <w:t>0kV出线间隔规模</w:t>
      </w:r>
      <w:r>
        <w:rPr>
          <w:rFonts w:hint="eastAsia" w:ascii="Times New Roman" w:hAnsi="Times New Roman" w:cs="Times New Roman"/>
          <w:color w:val="auto"/>
          <w:kern w:val="0"/>
          <w:sz w:val="24"/>
          <w:highlight w:val="none"/>
          <w:lang w:val="en-US" w:eastAsia="zh-CN"/>
        </w:rPr>
        <w:t>相同；</w:t>
      </w:r>
      <w:r>
        <w:rPr>
          <w:rFonts w:hint="default" w:ascii="Times New Roman" w:hAnsi="Times New Roman" w:cs="Times New Roman"/>
          <w:color w:val="auto"/>
          <w:kern w:val="0"/>
          <w:sz w:val="24"/>
          <w:highlight w:val="none"/>
        </w:rPr>
        <w:t>本期</w:t>
      </w:r>
      <w:r>
        <w:rPr>
          <w:rFonts w:hint="eastAsia" w:cs="Times New Roman"/>
          <w:color w:val="auto"/>
          <w:kern w:val="0"/>
          <w:sz w:val="24"/>
          <w:highlight w:val="none"/>
          <w:lang w:val="en-US" w:eastAsia="zh-CN"/>
        </w:rPr>
        <w:t>新建</w:t>
      </w:r>
      <w:r>
        <w:rPr>
          <w:rFonts w:hint="default" w:ascii="Times New Roman" w:hAnsi="Times New Roman" w:cs="Times New Roman"/>
          <w:color w:val="auto"/>
          <w:kern w:val="0"/>
          <w:sz w:val="24"/>
          <w:highlight w:val="none"/>
          <w:lang w:val="en-US" w:eastAsia="zh-CN"/>
        </w:rPr>
        <w:t>变电站</w:t>
      </w:r>
      <w:r>
        <w:rPr>
          <w:rFonts w:hint="eastAsia" w:ascii="Times New Roman" w:hAnsi="Times New Roman" w:cs="Times New Roman"/>
          <w:color w:val="auto"/>
          <w:kern w:val="0"/>
          <w:sz w:val="24"/>
          <w:highlight w:val="none"/>
          <w:lang w:val="en-US" w:eastAsia="zh-CN"/>
        </w:rPr>
        <w:t>和类比变电站的出线方式均为架空出线，出线方式相同</w:t>
      </w:r>
      <w:r>
        <w:rPr>
          <w:rFonts w:hint="default" w:ascii="Times New Roman" w:hAnsi="Times New Roman" w:cs="Times New Roman"/>
          <w:color w:val="auto"/>
          <w:kern w:val="0"/>
          <w:sz w:val="24"/>
          <w:highlight w:val="none"/>
          <w:lang w:val="en-US" w:eastAsia="zh-CN"/>
        </w:rPr>
        <w:t>。因此，选用</w:t>
      </w:r>
      <w:r>
        <w:rPr>
          <w:rFonts w:hint="eastAsia" w:ascii="Times New Roman" w:hAnsi="Times New Roman" w:cs="Times New Roman"/>
          <w:color w:val="auto"/>
          <w:sz w:val="24"/>
          <w:highlight w:val="none"/>
          <w:lang w:val="en-US" w:eastAsia="zh-CN"/>
        </w:rPr>
        <w:t>龙泉</w:t>
      </w:r>
      <w:r>
        <w:rPr>
          <w:rFonts w:hint="eastAsia" w:ascii="Times New Roman" w:hAnsi="Times New Roman" w:eastAsia="宋体" w:cs="Times New Roman"/>
          <w:color w:val="auto"/>
          <w:sz w:val="24"/>
          <w:highlight w:val="none"/>
          <w:lang w:val="en-US" w:eastAsia="zh-CN"/>
        </w:rPr>
        <w:t>110千伏</w:t>
      </w:r>
      <w:r>
        <w:rPr>
          <w:rFonts w:hint="default" w:ascii="Times New Roman" w:hAnsi="Times New Roman" w:cs="Times New Roman"/>
          <w:color w:val="auto"/>
          <w:kern w:val="0"/>
          <w:sz w:val="24"/>
          <w:highlight w:val="none"/>
          <w:lang w:val="en-US" w:eastAsia="zh-CN"/>
        </w:rPr>
        <w:t>变电站进行类比分析具有可比性。</w:t>
      </w:r>
    </w:p>
    <w:p w14:paraId="0D495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rFonts w:hint="eastAsia"/>
          <w:color w:val="auto"/>
          <w:kern w:val="0"/>
          <w:sz w:val="24"/>
          <w:highlight w:val="none"/>
          <w:lang w:val="en-US" w:eastAsia="zh-CN"/>
        </w:rPr>
        <w:t>③</w:t>
      </w:r>
      <w:r>
        <w:rPr>
          <w:color w:val="auto"/>
          <w:kern w:val="0"/>
          <w:sz w:val="24"/>
          <w:highlight w:val="none"/>
        </w:rPr>
        <w:t>电气设备布置方式</w:t>
      </w:r>
    </w:p>
    <w:p w14:paraId="509F3D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kern w:val="0"/>
          <w:sz w:val="24"/>
          <w:highlight w:val="none"/>
        </w:rPr>
      </w:pPr>
      <w:r>
        <w:rPr>
          <w:color w:val="auto"/>
          <w:kern w:val="0"/>
          <w:sz w:val="24"/>
          <w:highlight w:val="none"/>
        </w:rPr>
        <w:t>本</w:t>
      </w:r>
      <w:r>
        <w:rPr>
          <w:rFonts w:hint="default" w:ascii="Times New Roman" w:hAnsi="Times New Roman" w:cs="Times New Roman"/>
          <w:color w:val="auto"/>
          <w:kern w:val="0"/>
          <w:sz w:val="24"/>
          <w:highlight w:val="none"/>
        </w:rPr>
        <w:t>期</w:t>
      </w:r>
      <w:r>
        <w:rPr>
          <w:rFonts w:hint="eastAsia" w:cs="Times New Roman"/>
          <w:color w:val="auto"/>
          <w:kern w:val="0"/>
          <w:sz w:val="24"/>
          <w:highlight w:val="none"/>
          <w:lang w:val="en-US" w:eastAsia="zh-CN"/>
        </w:rPr>
        <w:t>新建</w:t>
      </w:r>
      <w:r>
        <w:rPr>
          <w:rFonts w:hint="default" w:ascii="Times New Roman" w:hAnsi="Times New Roman" w:cs="Times New Roman"/>
          <w:color w:val="auto"/>
          <w:kern w:val="0"/>
          <w:sz w:val="24"/>
          <w:highlight w:val="none"/>
        </w:rPr>
        <w:t>变电站</w:t>
      </w:r>
      <w:r>
        <w:rPr>
          <w:rFonts w:hint="eastAsia" w:ascii="Times New Roman" w:hAnsi="Times New Roman" w:cs="Times New Roman"/>
          <w:color w:val="auto"/>
          <w:kern w:val="0"/>
          <w:sz w:val="24"/>
          <w:highlight w:val="none"/>
          <w:lang w:val="en-US" w:eastAsia="zh-CN"/>
        </w:rPr>
        <w:t>和类比变电站的主变均采用户外布置，布置型式相同；本期新建变电站110kV配电装置采用户外HGIS布置，类比变电站110kV配电装置采用户外GIS布置</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110kV配电装置布置型式</w:t>
      </w:r>
      <w:r>
        <w:rPr>
          <w:rFonts w:hint="eastAsia" w:cs="Times New Roman"/>
          <w:color w:val="auto"/>
          <w:kern w:val="0"/>
          <w:sz w:val="24"/>
          <w:highlight w:val="none"/>
          <w:lang w:val="en-US" w:eastAsia="zh-CN"/>
        </w:rPr>
        <w:t>相似。</w:t>
      </w:r>
      <w:r>
        <w:rPr>
          <w:color w:val="auto"/>
          <w:kern w:val="0"/>
          <w:sz w:val="24"/>
          <w:highlight w:val="none"/>
        </w:rPr>
        <w:t>因此，选用</w:t>
      </w:r>
      <w:r>
        <w:rPr>
          <w:rFonts w:hint="eastAsia"/>
          <w:color w:val="auto"/>
          <w:sz w:val="24"/>
          <w:highlight w:val="none"/>
        </w:rPr>
        <w:t>龙泉110</w:t>
      </w:r>
      <w:r>
        <w:rPr>
          <w:rFonts w:hint="eastAsia"/>
          <w:color w:val="auto"/>
          <w:sz w:val="24"/>
          <w:highlight w:val="none"/>
          <w:lang w:val="en-US" w:eastAsia="zh-CN"/>
        </w:rPr>
        <w:t>千伏</w:t>
      </w:r>
      <w:r>
        <w:rPr>
          <w:color w:val="auto"/>
          <w:sz w:val="24"/>
          <w:highlight w:val="none"/>
        </w:rPr>
        <w:t>变电站进行类比分析是</w:t>
      </w:r>
      <w:r>
        <w:rPr>
          <w:rFonts w:hint="eastAsia"/>
          <w:color w:val="auto"/>
          <w:sz w:val="24"/>
          <w:highlight w:val="none"/>
        </w:rPr>
        <w:t>可行</w:t>
      </w:r>
      <w:r>
        <w:rPr>
          <w:color w:val="auto"/>
          <w:sz w:val="24"/>
          <w:highlight w:val="none"/>
        </w:rPr>
        <w:t>的。</w:t>
      </w:r>
    </w:p>
    <w:p w14:paraId="0817FFF3">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rFonts w:hint="eastAsia"/>
          <w:color w:val="auto"/>
          <w:sz w:val="24"/>
          <w:highlight w:val="none"/>
          <w:lang w:val="en-US" w:eastAsia="zh-CN"/>
        </w:rPr>
        <w:t>④环境条件</w:t>
      </w:r>
    </w:p>
    <w:p w14:paraId="1BC2C6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本期</w:t>
      </w:r>
      <w:r>
        <w:rPr>
          <w:rFonts w:hint="eastAsia"/>
          <w:color w:val="auto"/>
          <w:sz w:val="24"/>
          <w:highlight w:val="none"/>
          <w:lang w:val="en-US" w:eastAsia="zh-CN"/>
        </w:rPr>
        <w:t>新建</w:t>
      </w:r>
      <w:r>
        <w:rPr>
          <w:color w:val="auto"/>
          <w:kern w:val="0"/>
          <w:sz w:val="24"/>
          <w:highlight w:val="none"/>
        </w:rPr>
        <w:t>变电站</w:t>
      </w:r>
      <w:r>
        <w:rPr>
          <w:rFonts w:hint="eastAsia"/>
          <w:color w:val="auto"/>
          <w:kern w:val="0"/>
          <w:sz w:val="24"/>
          <w:highlight w:val="none"/>
          <w:lang w:val="en-US" w:eastAsia="zh-CN"/>
        </w:rPr>
        <w:t>和</w:t>
      </w:r>
      <w:r>
        <w:rPr>
          <w:color w:val="auto"/>
          <w:sz w:val="24"/>
          <w:highlight w:val="none"/>
        </w:rPr>
        <w:t>类比变电站</w:t>
      </w:r>
      <w:r>
        <w:rPr>
          <w:rFonts w:hint="eastAsia" w:ascii="Times New Roman" w:hAnsi="Times New Roman" w:cs="Times New Roman"/>
          <w:color w:val="auto"/>
          <w:sz w:val="24"/>
          <w:szCs w:val="24"/>
          <w:highlight w:val="none"/>
          <w:lang w:val="en-US" w:eastAsia="zh-CN"/>
        </w:rPr>
        <w:t>周围地势均较为开阔，其他电磁</w:t>
      </w:r>
      <w:r>
        <w:rPr>
          <w:rFonts w:hint="default" w:ascii="Times New Roman" w:hAnsi="Times New Roman" w:cs="Times New Roman"/>
          <w:color w:val="auto"/>
          <w:sz w:val="24"/>
          <w:szCs w:val="24"/>
          <w:highlight w:val="none"/>
          <w:lang w:val="en-US" w:eastAsia="zh-CN"/>
        </w:rPr>
        <w:t>环境条件相似</w:t>
      </w:r>
      <w:r>
        <w:rPr>
          <w:rFonts w:hint="eastAsia" w:ascii="Times New Roman" w:hAnsi="Times New Roman" w:eastAsia="宋体" w:cs="Times New Roman"/>
          <w:color w:val="auto"/>
          <w:sz w:val="24"/>
          <w:highlight w:val="none"/>
          <w:lang w:val="en-US" w:eastAsia="zh-CN"/>
        </w:rPr>
        <w:t>。</w:t>
      </w:r>
      <w:r>
        <w:rPr>
          <w:color w:val="auto"/>
          <w:sz w:val="24"/>
          <w:highlight w:val="none"/>
        </w:rPr>
        <w:t>因此，选用</w:t>
      </w:r>
      <w:r>
        <w:rPr>
          <w:rFonts w:hint="eastAsia"/>
          <w:color w:val="auto"/>
          <w:sz w:val="24"/>
          <w:highlight w:val="none"/>
        </w:rPr>
        <w:t>龙泉</w:t>
      </w:r>
      <w:r>
        <w:rPr>
          <w:color w:val="auto"/>
          <w:sz w:val="24"/>
          <w:highlight w:val="none"/>
        </w:rPr>
        <w:t>110千伏变电站进行类比分析是可行的。</w:t>
      </w:r>
    </w:p>
    <w:p w14:paraId="7F0E31A3">
      <w:pPr>
        <w:spacing w:line="360" w:lineRule="auto"/>
        <w:ind w:firstLine="480" w:firstLineChars="200"/>
        <w:rPr>
          <w:rFonts w:hint="default" w:ascii="Times New Roman" w:hAnsi="Times New Roman" w:eastAsia="宋体" w:cs="Times New Roman"/>
          <w:bCs/>
          <w:color w:val="auto"/>
          <w:sz w:val="24"/>
          <w:highlight w:val="none"/>
          <w:lang w:eastAsia="zh-CN"/>
        </w:rPr>
      </w:pPr>
      <w:r>
        <w:rPr>
          <w:rFonts w:hint="eastAsia" w:ascii="Times New Roman" w:hAnsi="Times New Roman" w:cs="Times New Roman"/>
          <w:bCs/>
          <w:color w:val="auto"/>
          <w:sz w:val="24"/>
          <w:highlight w:val="none"/>
          <w:lang w:val="en-US" w:eastAsia="zh-CN"/>
        </w:rPr>
        <w:t>⑤</w:t>
      </w:r>
      <w:r>
        <w:rPr>
          <w:rFonts w:hint="default" w:ascii="Times New Roman" w:hAnsi="Times New Roman" w:cs="Times New Roman"/>
          <w:bCs/>
          <w:color w:val="auto"/>
          <w:sz w:val="24"/>
          <w:highlight w:val="none"/>
          <w:lang w:val="en-US" w:eastAsia="zh-CN"/>
        </w:rPr>
        <w:t>变电站</w:t>
      </w:r>
      <w:r>
        <w:rPr>
          <w:rFonts w:hint="default" w:ascii="Times New Roman" w:hAnsi="Times New Roman" w:cs="Times New Roman"/>
          <w:bCs/>
          <w:color w:val="auto"/>
          <w:sz w:val="24"/>
          <w:highlight w:val="none"/>
          <w:lang w:eastAsia="zh-CN"/>
        </w:rPr>
        <w:t>占地面积</w:t>
      </w:r>
    </w:p>
    <w:p w14:paraId="3111DBD6">
      <w:pPr>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本期</w:t>
      </w:r>
      <w:r>
        <w:rPr>
          <w:rFonts w:hint="eastAsia" w:cs="Times New Roman"/>
          <w:bCs/>
          <w:color w:val="auto"/>
          <w:sz w:val="24"/>
          <w:highlight w:val="none"/>
          <w:lang w:val="en-US" w:eastAsia="zh-CN"/>
        </w:rPr>
        <w:t>新建</w:t>
      </w:r>
      <w:r>
        <w:rPr>
          <w:rFonts w:hint="default" w:ascii="Times New Roman" w:hAnsi="Times New Roman" w:cs="Times New Roman"/>
          <w:bCs/>
          <w:color w:val="auto"/>
          <w:sz w:val="24"/>
          <w:highlight w:val="none"/>
        </w:rPr>
        <w:t>变电站</w:t>
      </w:r>
      <w:r>
        <w:rPr>
          <w:rFonts w:hint="default" w:ascii="Times New Roman" w:hAnsi="Times New Roman" w:cs="Times New Roman"/>
          <w:bCs/>
          <w:color w:val="auto"/>
          <w:sz w:val="24"/>
          <w:highlight w:val="none"/>
          <w:lang w:eastAsia="zh-CN"/>
        </w:rPr>
        <w:t>占地面积</w:t>
      </w:r>
      <w:r>
        <w:rPr>
          <w:rFonts w:hint="default" w:ascii="Times New Roman" w:hAnsi="Times New Roman" w:cs="Times New Roman"/>
          <w:bCs/>
          <w:color w:val="auto"/>
          <w:sz w:val="24"/>
          <w:highlight w:val="none"/>
          <w:lang w:val="en-US" w:eastAsia="zh-CN"/>
        </w:rPr>
        <w:t>0.</w:t>
      </w:r>
      <w:r>
        <w:rPr>
          <w:rFonts w:hint="eastAsia" w:cs="Times New Roman"/>
          <w:bCs/>
          <w:color w:val="auto"/>
          <w:sz w:val="24"/>
          <w:highlight w:val="none"/>
          <w:lang w:val="en-US" w:eastAsia="zh-CN"/>
        </w:rPr>
        <w:t>5168</w:t>
      </w:r>
      <w:r>
        <w:rPr>
          <w:rFonts w:hint="default" w:ascii="Times New Roman" w:hAnsi="Times New Roman" w:cs="Times New Roman"/>
          <w:bCs/>
          <w:color w:val="auto"/>
          <w:sz w:val="24"/>
          <w:highlight w:val="none"/>
          <w:lang w:val="en-US" w:eastAsia="zh-CN"/>
        </w:rPr>
        <w:t>hm</w:t>
      </w:r>
      <w:r>
        <w:rPr>
          <w:rFonts w:hint="default" w:ascii="Times New Roman" w:hAnsi="Times New Roman" w:cs="Times New Roman"/>
          <w:bCs/>
          <w:color w:val="auto"/>
          <w:sz w:val="24"/>
          <w:highlight w:val="none"/>
          <w:vertAlign w:val="superscript"/>
          <w:lang w:val="en-US" w:eastAsia="zh-CN"/>
        </w:rPr>
        <w:t>2</w:t>
      </w:r>
      <w:r>
        <w:rPr>
          <w:rFonts w:hint="default" w:ascii="Times New Roman" w:hAnsi="Times New Roman" w:cs="Times New Roman"/>
          <w:bCs/>
          <w:color w:val="auto"/>
          <w:sz w:val="24"/>
          <w:highlight w:val="none"/>
          <w:vertAlign w:val="baseline"/>
          <w:lang w:val="en-US" w:eastAsia="zh-CN"/>
        </w:rPr>
        <w:t>，</w:t>
      </w:r>
      <w:r>
        <w:rPr>
          <w:rFonts w:hint="default" w:ascii="Times New Roman" w:hAnsi="Times New Roman" w:cs="Times New Roman"/>
          <w:bCs/>
          <w:color w:val="auto"/>
          <w:sz w:val="24"/>
          <w:highlight w:val="none"/>
        </w:rPr>
        <w:t>类比变电站</w:t>
      </w:r>
      <w:r>
        <w:rPr>
          <w:rFonts w:hint="default" w:ascii="Times New Roman" w:hAnsi="Times New Roman" w:cs="Times New Roman"/>
          <w:bCs/>
          <w:color w:val="auto"/>
          <w:sz w:val="24"/>
          <w:highlight w:val="none"/>
          <w:lang w:eastAsia="zh-CN"/>
        </w:rPr>
        <w:t>占地面积</w:t>
      </w:r>
      <w:r>
        <w:rPr>
          <w:rFonts w:hint="eastAsia" w:ascii="Times New Roman" w:hAnsi="Times New Roman" w:cs="Times New Roman"/>
          <w:bCs/>
          <w:color w:val="auto"/>
          <w:sz w:val="24"/>
          <w:highlight w:val="none"/>
          <w:lang w:val="en-US" w:eastAsia="zh-CN"/>
        </w:rPr>
        <w:t>0.5275</w:t>
      </w:r>
      <w:r>
        <w:rPr>
          <w:rFonts w:hint="default" w:ascii="Times New Roman" w:hAnsi="Times New Roman" w:cs="Times New Roman"/>
          <w:bCs/>
          <w:color w:val="auto"/>
          <w:sz w:val="24"/>
          <w:highlight w:val="none"/>
          <w:lang w:val="en-US" w:eastAsia="zh-CN"/>
        </w:rPr>
        <w:t>hm</w:t>
      </w:r>
      <w:r>
        <w:rPr>
          <w:rFonts w:hint="default" w:ascii="Times New Roman" w:hAnsi="Times New Roman" w:cs="Times New Roman"/>
          <w:bCs/>
          <w:color w:val="auto"/>
          <w:sz w:val="24"/>
          <w:highlight w:val="none"/>
          <w:vertAlign w:val="superscript"/>
          <w:lang w:val="en-US" w:eastAsia="zh-CN"/>
        </w:rPr>
        <w:t>2</w:t>
      </w:r>
      <w:r>
        <w:rPr>
          <w:rFonts w:hint="default" w:ascii="Times New Roman" w:hAnsi="Times New Roman" w:cs="Times New Roman"/>
          <w:bCs/>
          <w:color w:val="auto"/>
          <w:sz w:val="24"/>
          <w:highlight w:val="none"/>
          <w:lang w:val="en-US" w:eastAsia="zh-CN"/>
        </w:rPr>
        <w:t>，</w:t>
      </w:r>
      <w:r>
        <w:rPr>
          <w:rFonts w:hint="default" w:ascii="Times New Roman" w:hAnsi="Times New Roman" w:cs="Times New Roman"/>
          <w:color w:val="auto"/>
          <w:sz w:val="24"/>
          <w:szCs w:val="24"/>
          <w:highlight w:val="none"/>
          <w:lang w:val="en-US" w:eastAsia="zh-CN"/>
        </w:rPr>
        <w:t>本期</w:t>
      </w:r>
      <w:r>
        <w:rPr>
          <w:rFonts w:hint="eastAsia" w:ascii="Times New Roman" w:hAnsi="Times New Roman" w:cs="Times New Roman"/>
          <w:color w:val="auto"/>
          <w:sz w:val="24"/>
          <w:szCs w:val="24"/>
          <w:highlight w:val="none"/>
          <w:lang w:val="en-US" w:eastAsia="zh-CN"/>
        </w:rPr>
        <w:t>新建</w:t>
      </w:r>
      <w:r>
        <w:rPr>
          <w:rFonts w:hint="default" w:ascii="Times New Roman" w:hAnsi="Times New Roman" w:cs="Times New Roman"/>
          <w:color w:val="auto"/>
          <w:sz w:val="24"/>
          <w:szCs w:val="24"/>
          <w:highlight w:val="none"/>
          <w:lang w:val="en-US" w:eastAsia="zh-CN"/>
        </w:rPr>
        <w:t>变电站</w:t>
      </w:r>
      <w:r>
        <w:rPr>
          <w:rFonts w:hint="eastAsia" w:ascii="Times New Roman" w:hAnsi="Times New Roman" w:cs="Times New Roman"/>
          <w:color w:val="auto"/>
          <w:sz w:val="24"/>
          <w:szCs w:val="24"/>
          <w:highlight w:val="none"/>
          <w:lang w:val="en-US" w:eastAsia="zh-CN"/>
        </w:rPr>
        <w:t>和</w:t>
      </w:r>
      <w:r>
        <w:rPr>
          <w:rFonts w:hint="default" w:ascii="Times New Roman" w:hAnsi="Times New Roman" w:cs="Times New Roman"/>
          <w:color w:val="auto"/>
          <w:sz w:val="24"/>
          <w:szCs w:val="24"/>
          <w:highlight w:val="none"/>
          <w:lang w:val="en-US" w:eastAsia="zh-CN"/>
        </w:rPr>
        <w:t>类比变电站占地面积</w:t>
      </w:r>
      <w:r>
        <w:rPr>
          <w:rFonts w:hint="eastAsia" w:ascii="Times New Roman" w:hAnsi="Times New Roman" w:cs="Times New Roman"/>
          <w:color w:val="auto"/>
          <w:sz w:val="24"/>
          <w:szCs w:val="24"/>
          <w:highlight w:val="none"/>
          <w:lang w:val="en-US" w:eastAsia="zh-CN"/>
        </w:rPr>
        <w:t>相差不大</w:t>
      </w:r>
      <w:r>
        <w:rPr>
          <w:rFonts w:hint="default" w:ascii="Times New Roman" w:hAnsi="Times New Roman" w:cs="Times New Roman"/>
          <w:bCs/>
          <w:color w:val="auto"/>
          <w:sz w:val="24"/>
          <w:highlight w:val="none"/>
        </w:rPr>
        <w:t>。因此，选用</w:t>
      </w:r>
      <w:r>
        <w:rPr>
          <w:rFonts w:hint="eastAsia" w:ascii="Times New Roman" w:hAnsi="Times New Roman" w:cs="Times New Roman"/>
          <w:color w:val="auto"/>
          <w:sz w:val="24"/>
          <w:highlight w:val="none"/>
          <w:lang w:val="en-US" w:eastAsia="zh-CN"/>
        </w:rPr>
        <w:t>龙泉</w:t>
      </w:r>
      <w:r>
        <w:rPr>
          <w:rFonts w:hint="eastAsia" w:ascii="Times New Roman" w:hAnsi="Times New Roman" w:eastAsia="宋体" w:cs="Times New Roman"/>
          <w:color w:val="auto"/>
          <w:sz w:val="24"/>
          <w:highlight w:val="none"/>
          <w:lang w:val="en-US" w:eastAsia="zh-CN"/>
        </w:rPr>
        <w:t>110千伏</w:t>
      </w:r>
      <w:r>
        <w:rPr>
          <w:rFonts w:hint="default" w:ascii="Times New Roman" w:hAnsi="Times New Roman" w:cs="Times New Roman"/>
          <w:bCs/>
          <w:color w:val="auto"/>
          <w:sz w:val="24"/>
          <w:highlight w:val="none"/>
        </w:rPr>
        <w:t>变电站进行类比分析是可行的。</w:t>
      </w:r>
    </w:p>
    <w:p w14:paraId="1A32B4BC">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color w:val="auto"/>
          <w:kern w:val="0"/>
          <w:sz w:val="24"/>
          <w:highlight w:val="none"/>
        </w:rPr>
        <w:t>综上所述，选用</w:t>
      </w:r>
      <w:r>
        <w:rPr>
          <w:rFonts w:hint="eastAsia"/>
          <w:color w:val="auto"/>
          <w:kern w:val="0"/>
          <w:sz w:val="24"/>
          <w:highlight w:val="none"/>
        </w:rPr>
        <w:t>龙泉</w:t>
      </w:r>
      <w:r>
        <w:rPr>
          <w:color w:val="auto"/>
          <w:sz w:val="24"/>
          <w:highlight w:val="none"/>
        </w:rPr>
        <w:t>110千伏</w:t>
      </w:r>
      <w:r>
        <w:rPr>
          <w:color w:val="auto"/>
          <w:kern w:val="0"/>
          <w:sz w:val="24"/>
          <w:highlight w:val="none"/>
        </w:rPr>
        <w:t>变电站与本期</w:t>
      </w:r>
      <w:r>
        <w:rPr>
          <w:rFonts w:hint="eastAsia"/>
          <w:color w:val="auto"/>
          <w:sz w:val="24"/>
          <w:highlight w:val="none"/>
          <w:lang w:val="en-US" w:eastAsia="zh-CN"/>
        </w:rPr>
        <w:t>新建</w:t>
      </w:r>
      <w:r>
        <w:rPr>
          <w:color w:val="auto"/>
          <w:kern w:val="0"/>
          <w:sz w:val="24"/>
          <w:highlight w:val="none"/>
        </w:rPr>
        <w:t>变电站从电压等级、主变容量、</w:t>
      </w:r>
      <w:r>
        <w:rPr>
          <w:rFonts w:hint="eastAsia"/>
          <w:color w:val="auto"/>
          <w:kern w:val="0"/>
          <w:sz w:val="24"/>
          <w:highlight w:val="none"/>
          <w:lang w:val="en-US" w:eastAsia="zh-CN"/>
        </w:rPr>
        <w:t>110kV</w:t>
      </w:r>
      <w:r>
        <w:rPr>
          <w:color w:val="auto"/>
          <w:kern w:val="0"/>
          <w:sz w:val="24"/>
          <w:highlight w:val="none"/>
        </w:rPr>
        <w:t>出线间隔规模、</w:t>
      </w:r>
      <w:r>
        <w:rPr>
          <w:rFonts w:hint="eastAsia"/>
          <w:color w:val="auto"/>
          <w:kern w:val="0"/>
          <w:sz w:val="24"/>
          <w:highlight w:val="none"/>
          <w:lang w:val="en-US" w:eastAsia="zh-CN"/>
        </w:rPr>
        <w:t>出线方式、</w:t>
      </w:r>
      <w:r>
        <w:rPr>
          <w:color w:val="auto"/>
          <w:kern w:val="0"/>
          <w:sz w:val="24"/>
          <w:highlight w:val="none"/>
        </w:rPr>
        <w:t>电气设备布置方式等分析大致相一致，环境条件均满足相关要求。因此，选用</w:t>
      </w:r>
      <w:r>
        <w:rPr>
          <w:rFonts w:hint="eastAsia"/>
          <w:color w:val="auto"/>
          <w:kern w:val="0"/>
          <w:sz w:val="24"/>
          <w:highlight w:val="none"/>
        </w:rPr>
        <w:t>龙泉</w:t>
      </w:r>
      <w:r>
        <w:rPr>
          <w:color w:val="auto"/>
          <w:sz w:val="24"/>
          <w:highlight w:val="none"/>
        </w:rPr>
        <w:t>110千伏变电站</w:t>
      </w:r>
      <w:r>
        <w:rPr>
          <w:color w:val="auto"/>
          <w:kern w:val="0"/>
          <w:sz w:val="24"/>
          <w:highlight w:val="none"/>
        </w:rPr>
        <w:t>类比监测结果来预测分析本期</w:t>
      </w:r>
      <w:r>
        <w:rPr>
          <w:rFonts w:hint="eastAsia"/>
          <w:color w:val="auto"/>
          <w:sz w:val="24"/>
          <w:highlight w:val="none"/>
          <w:lang w:val="en-US" w:eastAsia="zh-CN"/>
        </w:rPr>
        <w:t>新建</w:t>
      </w:r>
      <w:r>
        <w:rPr>
          <w:color w:val="auto"/>
          <w:kern w:val="0"/>
          <w:sz w:val="24"/>
          <w:highlight w:val="none"/>
        </w:rPr>
        <w:t>变电站建成后的电磁环境影响是合理的，可以反映出</w:t>
      </w:r>
      <w:r>
        <w:rPr>
          <w:rFonts w:hint="eastAsia"/>
          <w:color w:val="auto"/>
          <w:sz w:val="24"/>
          <w:highlight w:val="none"/>
          <w:lang w:val="en-US" w:eastAsia="zh-CN"/>
        </w:rPr>
        <w:t>张程</w:t>
      </w:r>
      <w:r>
        <w:rPr>
          <w:color w:val="auto"/>
          <w:kern w:val="0"/>
          <w:sz w:val="24"/>
          <w:highlight w:val="none"/>
        </w:rPr>
        <w:t>110kV变电站本期工程运行后对周围电磁环境的影响程度。</w:t>
      </w:r>
    </w:p>
    <w:p w14:paraId="5872251F">
      <w:pPr>
        <w:spacing w:line="360" w:lineRule="auto"/>
        <w:ind w:firstLine="480" w:firstLineChars="200"/>
        <w:rPr>
          <w:color w:val="auto"/>
          <w:sz w:val="24"/>
          <w:highlight w:val="none"/>
        </w:rPr>
      </w:pPr>
      <w:r>
        <w:rPr>
          <w:color w:val="auto"/>
          <w:sz w:val="24"/>
          <w:highlight w:val="none"/>
        </w:rPr>
        <w:t>（2）类比监测单位</w:t>
      </w:r>
    </w:p>
    <w:p w14:paraId="230672CF">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ascii="Times New Roman" w:hAnsi="Times New Roman" w:eastAsia="宋体" w:cs="Times New Roman"/>
          <w:color w:val="auto"/>
          <w:sz w:val="24"/>
          <w:szCs w:val="24"/>
          <w:highlight w:val="none"/>
          <w:lang w:val="en-US" w:eastAsia="zh-CN"/>
        </w:rPr>
        <w:t>宁夏盛世蓝天环保技术</w:t>
      </w:r>
      <w:r>
        <w:rPr>
          <w:rFonts w:hint="default" w:ascii="Times New Roman" w:hAnsi="Times New Roman" w:eastAsia="宋体" w:cs="Times New Roman"/>
          <w:color w:val="auto"/>
          <w:sz w:val="24"/>
          <w:szCs w:val="24"/>
          <w:highlight w:val="none"/>
          <w:lang w:val="en-US" w:eastAsia="zh-CN"/>
        </w:rPr>
        <w:t>有限公司</w:t>
      </w:r>
      <w:r>
        <w:rPr>
          <w:color w:val="auto"/>
          <w:sz w:val="24"/>
          <w:highlight w:val="none"/>
        </w:rPr>
        <w:t>。</w:t>
      </w:r>
    </w:p>
    <w:p w14:paraId="264C55C2">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（3）类比监测项目</w:t>
      </w:r>
    </w:p>
    <w:p w14:paraId="5982B590">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工频电场、工频磁场。</w:t>
      </w:r>
    </w:p>
    <w:p w14:paraId="067C3719">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color w:val="auto"/>
          <w:sz w:val="24"/>
          <w:highlight w:val="none"/>
        </w:rPr>
        <w:t>类比监测频次</w:t>
      </w:r>
    </w:p>
    <w:p w14:paraId="665A6F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监测</w:t>
      </w:r>
      <w:r>
        <w:rPr>
          <w:rFonts w:hint="eastAsia"/>
          <w:color w:val="auto"/>
          <w:sz w:val="24"/>
          <w:highlight w:val="none"/>
          <w:lang w:val="en-US" w:eastAsia="zh-CN"/>
        </w:rPr>
        <w:t>1</w:t>
      </w:r>
      <w:r>
        <w:rPr>
          <w:color w:val="auto"/>
          <w:sz w:val="24"/>
          <w:highlight w:val="none"/>
        </w:rPr>
        <w:t>次。</w:t>
      </w:r>
    </w:p>
    <w:p w14:paraId="366635E8">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）类比监测方法</w:t>
      </w:r>
    </w:p>
    <w:p w14:paraId="0A2ED4D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highlight w:val="none"/>
        </w:rPr>
      </w:pPr>
      <w:r>
        <w:rPr>
          <w:color w:val="auto"/>
          <w:sz w:val="24"/>
          <w:highlight w:val="none"/>
        </w:rPr>
        <w:t>按照《交流输变电工程电磁环境监测方法（试行）》（HJ681-2013）要求。</w:t>
      </w:r>
    </w:p>
    <w:p w14:paraId="41A8ABA7">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w:t>
      </w:r>
      <w:r>
        <w:rPr>
          <w:rFonts w:hint="eastAsia"/>
          <w:color w:val="auto"/>
          <w:sz w:val="24"/>
          <w:highlight w:val="none"/>
          <w:lang w:val="en-US" w:eastAsia="zh-CN"/>
        </w:rPr>
        <w:t>6</w:t>
      </w:r>
      <w:r>
        <w:rPr>
          <w:color w:val="auto"/>
          <w:sz w:val="24"/>
          <w:highlight w:val="none"/>
        </w:rPr>
        <w:t>）类比监测仪器</w:t>
      </w:r>
    </w:p>
    <w:p w14:paraId="7ECDF4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监测名称：SEM-600/LF-01</w:t>
      </w:r>
      <w:r>
        <w:rPr>
          <w:rFonts w:hint="eastAsia"/>
          <w:color w:val="auto"/>
          <w:sz w:val="24"/>
          <w:highlight w:val="none"/>
        </w:rPr>
        <w:t>D</w:t>
      </w:r>
      <w:r>
        <w:rPr>
          <w:color w:val="auto"/>
          <w:sz w:val="24"/>
          <w:highlight w:val="none"/>
        </w:rPr>
        <w:t>电磁场探头和读出装置；</w:t>
      </w:r>
    </w:p>
    <w:p w14:paraId="3E1DE3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测量范围：工频电场0.5V/m~100kV/m，工频磁场10nT~3mT；</w:t>
      </w:r>
    </w:p>
    <w:p w14:paraId="1BAAAE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生产厂家：北京森馥科技股份有限公司；</w:t>
      </w:r>
    </w:p>
    <w:p w14:paraId="7DF65A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color w:val="auto"/>
          <w:sz w:val="24"/>
          <w:highlight w:val="none"/>
        </w:rPr>
        <w:t>出厂编号：</w:t>
      </w:r>
      <w:r>
        <w:rPr>
          <w:rFonts w:hint="eastAsia"/>
          <w:color w:val="auto"/>
          <w:sz w:val="24"/>
          <w:highlight w:val="none"/>
        </w:rPr>
        <w:t>G</w:t>
      </w:r>
      <w:r>
        <w:rPr>
          <w:color w:val="auto"/>
          <w:sz w:val="24"/>
          <w:highlight w:val="none"/>
        </w:rPr>
        <w:t>-</w:t>
      </w:r>
      <w:r>
        <w:rPr>
          <w:rFonts w:hint="eastAsia"/>
          <w:color w:val="auto"/>
          <w:sz w:val="24"/>
          <w:highlight w:val="none"/>
        </w:rPr>
        <w:t>2240</w:t>
      </w:r>
      <w:r>
        <w:rPr>
          <w:rFonts w:hint="eastAsia"/>
          <w:color w:val="auto"/>
          <w:sz w:val="24"/>
          <w:highlight w:val="none"/>
          <w:lang w:val="en-US" w:eastAsia="zh-CN"/>
        </w:rPr>
        <w:t>/</w:t>
      </w:r>
      <w:r>
        <w:rPr>
          <w:rFonts w:hint="eastAsia"/>
          <w:color w:val="auto"/>
          <w:sz w:val="24"/>
          <w:highlight w:val="none"/>
        </w:rPr>
        <w:t>D-2238</w:t>
      </w:r>
      <w:r>
        <w:rPr>
          <w:color w:val="auto"/>
          <w:sz w:val="24"/>
          <w:highlight w:val="none"/>
        </w:rPr>
        <w:t>；</w:t>
      </w:r>
    </w:p>
    <w:p w14:paraId="6EF697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rFonts w:hint="eastAsia"/>
          <w:color w:val="auto"/>
          <w:sz w:val="24"/>
          <w:highlight w:val="none"/>
        </w:rPr>
        <w:t>内部</w:t>
      </w:r>
      <w:r>
        <w:rPr>
          <w:color w:val="auto"/>
          <w:sz w:val="24"/>
          <w:highlight w:val="none"/>
        </w:rPr>
        <w:t>编号：LT-DC0</w:t>
      </w:r>
      <w:r>
        <w:rPr>
          <w:rFonts w:hint="eastAsia"/>
          <w:color w:val="auto"/>
          <w:sz w:val="24"/>
          <w:highlight w:val="none"/>
        </w:rPr>
        <w:t>3</w:t>
      </w:r>
      <w:r>
        <w:rPr>
          <w:color w:val="auto"/>
          <w:sz w:val="24"/>
          <w:highlight w:val="none"/>
        </w:rPr>
        <w:t>-1；</w:t>
      </w:r>
    </w:p>
    <w:p w14:paraId="050BD1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检定单位：</w:t>
      </w:r>
      <w:r>
        <w:rPr>
          <w:rFonts w:hint="eastAsia"/>
          <w:color w:val="auto"/>
          <w:sz w:val="24"/>
          <w:highlight w:val="none"/>
        </w:rPr>
        <w:t>华南</w:t>
      </w:r>
      <w:r>
        <w:rPr>
          <w:color w:val="auto"/>
          <w:sz w:val="24"/>
          <w:highlight w:val="none"/>
        </w:rPr>
        <w:t>国家计量测试中心</w:t>
      </w:r>
      <w:r>
        <w:rPr>
          <w:rFonts w:hint="eastAsia"/>
          <w:color w:val="auto"/>
          <w:sz w:val="24"/>
          <w:highlight w:val="none"/>
        </w:rPr>
        <w:t>（广东省计量科学研究院）</w:t>
      </w:r>
      <w:r>
        <w:rPr>
          <w:color w:val="auto"/>
          <w:sz w:val="24"/>
          <w:highlight w:val="none"/>
        </w:rPr>
        <w:t>；</w:t>
      </w:r>
    </w:p>
    <w:p w14:paraId="317AFB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检定证书号：</w:t>
      </w:r>
      <w:r>
        <w:rPr>
          <w:rFonts w:hint="eastAsia"/>
          <w:color w:val="auto"/>
          <w:sz w:val="24"/>
          <w:highlight w:val="none"/>
        </w:rPr>
        <w:t>WWD202403202</w:t>
      </w:r>
      <w:r>
        <w:rPr>
          <w:color w:val="auto"/>
          <w:sz w:val="24"/>
          <w:highlight w:val="none"/>
        </w:rPr>
        <w:t>；</w:t>
      </w:r>
    </w:p>
    <w:p w14:paraId="561FCE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color w:val="auto"/>
          <w:sz w:val="24"/>
          <w:highlight w:val="none"/>
        </w:rPr>
        <w:t>有效期：202</w:t>
      </w:r>
      <w:r>
        <w:rPr>
          <w:rFonts w:hint="eastAsia"/>
          <w:color w:val="auto"/>
          <w:sz w:val="24"/>
          <w:highlight w:val="none"/>
        </w:rPr>
        <w:t>4</w:t>
      </w:r>
      <w:r>
        <w:rPr>
          <w:color w:val="auto"/>
          <w:sz w:val="24"/>
          <w:highlight w:val="none"/>
        </w:rPr>
        <w:t>.0</w:t>
      </w:r>
      <w:r>
        <w:rPr>
          <w:rFonts w:hint="eastAsia"/>
          <w:color w:val="auto"/>
          <w:sz w:val="24"/>
          <w:highlight w:val="none"/>
        </w:rPr>
        <w:t>9</w:t>
      </w:r>
      <w:r>
        <w:rPr>
          <w:color w:val="auto"/>
          <w:sz w:val="24"/>
          <w:highlight w:val="none"/>
        </w:rPr>
        <w:t>.2</w:t>
      </w:r>
      <w:r>
        <w:rPr>
          <w:rFonts w:hint="eastAsia"/>
          <w:color w:val="auto"/>
          <w:sz w:val="24"/>
          <w:highlight w:val="none"/>
        </w:rPr>
        <w:t>3</w:t>
      </w:r>
      <w:r>
        <w:rPr>
          <w:color w:val="auto"/>
          <w:sz w:val="24"/>
          <w:highlight w:val="none"/>
        </w:rPr>
        <w:t>-202</w:t>
      </w:r>
      <w:r>
        <w:rPr>
          <w:rFonts w:hint="eastAsia"/>
          <w:color w:val="auto"/>
          <w:sz w:val="24"/>
          <w:highlight w:val="none"/>
        </w:rPr>
        <w:t>5</w:t>
      </w:r>
      <w:r>
        <w:rPr>
          <w:color w:val="auto"/>
          <w:sz w:val="24"/>
          <w:highlight w:val="none"/>
        </w:rPr>
        <w:t>.0</w:t>
      </w:r>
      <w:r>
        <w:rPr>
          <w:rFonts w:hint="eastAsia"/>
          <w:color w:val="auto"/>
          <w:sz w:val="24"/>
          <w:highlight w:val="none"/>
        </w:rPr>
        <w:t>9</w:t>
      </w:r>
      <w:r>
        <w:rPr>
          <w:color w:val="auto"/>
          <w:sz w:val="24"/>
          <w:highlight w:val="none"/>
        </w:rPr>
        <w:t>.2</w:t>
      </w:r>
      <w:r>
        <w:rPr>
          <w:rFonts w:hint="eastAsia"/>
          <w:color w:val="auto"/>
          <w:sz w:val="24"/>
          <w:highlight w:val="none"/>
        </w:rPr>
        <w:t>2</w:t>
      </w:r>
      <w:r>
        <w:rPr>
          <w:color w:val="auto"/>
          <w:sz w:val="24"/>
          <w:highlight w:val="none"/>
        </w:rPr>
        <w:t>。</w:t>
      </w:r>
    </w:p>
    <w:p w14:paraId="1D3C13F6">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color w:val="auto"/>
          <w:sz w:val="24"/>
          <w:highlight w:val="none"/>
        </w:rPr>
      </w:pPr>
      <w:r>
        <w:rPr>
          <w:color w:val="auto"/>
          <w:sz w:val="24"/>
          <w:highlight w:val="none"/>
        </w:rPr>
        <w:t>（</w:t>
      </w:r>
      <w:r>
        <w:rPr>
          <w:rFonts w:hint="eastAsia"/>
          <w:color w:val="auto"/>
          <w:sz w:val="24"/>
          <w:highlight w:val="none"/>
          <w:lang w:val="en-US" w:eastAsia="zh-CN"/>
        </w:rPr>
        <w:t>7</w:t>
      </w:r>
      <w:r>
        <w:rPr>
          <w:color w:val="auto"/>
          <w:sz w:val="24"/>
          <w:highlight w:val="none"/>
        </w:rPr>
        <w:t>）类比监测条件</w:t>
      </w:r>
    </w:p>
    <w:p w14:paraId="24D67FDD">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highlight w:val="none"/>
        </w:rPr>
      </w:pPr>
      <w:r>
        <w:rPr>
          <w:color w:val="auto"/>
          <w:kern w:val="0"/>
          <w:sz w:val="24"/>
          <w:highlight w:val="none"/>
        </w:rPr>
        <w:t>202</w:t>
      </w:r>
      <w:r>
        <w:rPr>
          <w:rFonts w:hint="eastAsia"/>
          <w:color w:val="auto"/>
          <w:kern w:val="0"/>
          <w:sz w:val="24"/>
          <w:highlight w:val="none"/>
        </w:rPr>
        <w:t>5</w:t>
      </w:r>
      <w:r>
        <w:rPr>
          <w:color w:val="auto"/>
          <w:kern w:val="0"/>
          <w:sz w:val="24"/>
          <w:highlight w:val="none"/>
        </w:rPr>
        <w:t>年</w:t>
      </w:r>
      <w:r>
        <w:rPr>
          <w:rFonts w:hint="eastAsia"/>
          <w:color w:val="auto"/>
          <w:kern w:val="0"/>
          <w:sz w:val="24"/>
          <w:highlight w:val="none"/>
        </w:rPr>
        <w:t>3</w:t>
      </w:r>
      <w:r>
        <w:rPr>
          <w:color w:val="auto"/>
          <w:kern w:val="0"/>
          <w:sz w:val="24"/>
          <w:highlight w:val="none"/>
        </w:rPr>
        <w:t>月</w:t>
      </w:r>
      <w:r>
        <w:rPr>
          <w:rFonts w:hint="eastAsia"/>
          <w:color w:val="auto"/>
          <w:kern w:val="0"/>
          <w:sz w:val="24"/>
          <w:highlight w:val="none"/>
        </w:rPr>
        <w:t>26</w:t>
      </w:r>
      <w:r>
        <w:rPr>
          <w:color w:val="auto"/>
          <w:kern w:val="0"/>
          <w:sz w:val="24"/>
          <w:highlight w:val="none"/>
        </w:rPr>
        <w:t>日</w:t>
      </w:r>
      <w:r>
        <w:rPr>
          <w:rFonts w:hint="eastAsia"/>
          <w:color w:val="auto"/>
          <w:kern w:val="0"/>
          <w:sz w:val="24"/>
          <w:highlight w:val="none"/>
          <w:lang w:eastAsia="zh-CN"/>
        </w:rPr>
        <w:t>：</w:t>
      </w:r>
      <w:r>
        <w:rPr>
          <w:color w:val="auto"/>
          <w:kern w:val="0"/>
          <w:sz w:val="24"/>
          <w:highlight w:val="none"/>
        </w:rPr>
        <w:t>昼间天气晴，温度</w:t>
      </w:r>
      <w:r>
        <w:rPr>
          <w:rFonts w:hint="eastAsia"/>
          <w:color w:val="auto"/>
          <w:kern w:val="0"/>
          <w:sz w:val="24"/>
          <w:highlight w:val="none"/>
        </w:rPr>
        <w:t>18.1</w:t>
      </w:r>
      <w:r>
        <w:rPr>
          <w:color w:val="auto"/>
          <w:kern w:val="0"/>
          <w:sz w:val="24"/>
          <w:highlight w:val="none"/>
        </w:rPr>
        <w:t>℃，湿度3</w:t>
      </w:r>
      <w:r>
        <w:rPr>
          <w:rFonts w:hint="eastAsia"/>
          <w:color w:val="auto"/>
          <w:kern w:val="0"/>
          <w:sz w:val="24"/>
          <w:highlight w:val="none"/>
        </w:rPr>
        <w:t>0.5</w:t>
      </w:r>
      <w:r>
        <w:rPr>
          <w:color w:val="auto"/>
          <w:kern w:val="0"/>
          <w:sz w:val="24"/>
          <w:highlight w:val="none"/>
        </w:rPr>
        <w:t>%，风速</w:t>
      </w:r>
      <w:r>
        <w:rPr>
          <w:rFonts w:hint="eastAsia"/>
          <w:color w:val="auto"/>
          <w:kern w:val="0"/>
          <w:sz w:val="24"/>
          <w:highlight w:val="none"/>
          <w:lang w:val="en-US" w:eastAsia="zh-CN"/>
        </w:rPr>
        <w:t>1.5m/s</w:t>
      </w:r>
      <w:r>
        <w:rPr>
          <w:color w:val="auto"/>
          <w:kern w:val="0"/>
          <w:sz w:val="24"/>
          <w:highlight w:val="none"/>
        </w:rPr>
        <w:t>，大气压8</w:t>
      </w:r>
      <w:r>
        <w:rPr>
          <w:rFonts w:hint="eastAsia"/>
          <w:color w:val="auto"/>
          <w:kern w:val="0"/>
          <w:sz w:val="24"/>
          <w:highlight w:val="none"/>
        </w:rPr>
        <w:t>79.8</w:t>
      </w:r>
      <w:r>
        <w:rPr>
          <w:color w:val="auto"/>
          <w:kern w:val="0"/>
          <w:sz w:val="24"/>
          <w:highlight w:val="none"/>
        </w:rPr>
        <w:t>hPa。</w:t>
      </w:r>
    </w:p>
    <w:p w14:paraId="53F3FD4D">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bCs/>
          <w:color w:val="auto"/>
          <w:sz w:val="24"/>
          <w:highlight w:val="none"/>
        </w:rPr>
      </w:pPr>
      <w:r>
        <w:rPr>
          <w:bCs/>
          <w:color w:val="auto"/>
          <w:sz w:val="24"/>
          <w:highlight w:val="none"/>
        </w:rPr>
        <w:t>（</w:t>
      </w:r>
      <w:r>
        <w:rPr>
          <w:rFonts w:hint="eastAsia"/>
          <w:bCs/>
          <w:color w:val="auto"/>
          <w:sz w:val="24"/>
          <w:highlight w:val="none"/>
          <w:lang w:val="en-US" w:eastAsia="zh-CN"/>
        </w:rPr>
        <w:t>8</w:t>
      </w:r>
      <w:r>
        <w:rPr>
          <w:bCs/>
          <w:color w:val="auto"/>
          <w:sz w:val="24"/>
          <w:highlight w:val="none"/>
        </w:rPr>
        <w:t>）类比监测点位</w:t>
      </w:r>
    </w:p>
    <w:p w14:paraId="52495FC5">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pacing w:val="0"/>
          <w:sz w:val="24"/>
          <w:szCs w:val="24"/>
          <w:highlight w:val="none"/>
        </w:rPr>
      </w:pPr>
      <w:r>
        <w:rPr>
          <w:color w:val="auto"/>
          <w:spacing w:val="0"/>
          <w:sz w:val="24"/>
          <w:szCs w:val="24"/>
          <w:highlight w:val="none"/>
        </w:rPr>
        <w:t>监测点选择在变电站无进出线或远离进出线（距离边导线地面投影不少于20m）的围墙外且距离围墙5m处布置，距离地面1.5m位置。断面监测路径选择在以变电站围墙</w:t>
      </w:r>
      <w:r>
        <w:rPr>
          <w:rFonts w:hint="eastAsia"/>
          <w:color w:val="auto"/>
          <w:spacing w:val="0"/>
          <w:sz w:val="24"/>
          <w:szCs w:val="24"/>
          <w:highlight w:val="none"/>
          <w:lang w:val="en-US" w:eastAsia="zh-CN"/>
        </w:rPr>
        <w:t>北</w:t>
      </w:r>
      <w:r>
        <w:rPr>
          <w:color w:val="auto"/>
          <w:spacing w:val="0"/>
          <w:sz w:val="24"/>
          <w:szCs w:val="24"/>
          <w:highlight w:val="none"/>
        </w:rPr>
        <w:t>侧（监测最大值）为起点，在垂直于围墙的方向上布置，监测点间距为5m，顺序测至距离围墙50m处为止。</w:t>
      </w:r>
    </w:p>
    <w:p w14:paraId="63EBD883">
      <w:pPr>
        <w:pStyle w:val="46"/>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highlight w:val="none"/>
        </w:rPr>
      </w:pPr>
      <w:r>
        <w:rPr>
          <w:rFonts w:hint="eastAsia"/>
          <w:bCs/>
          <w:color w:val="auto"/>
          <w:sz w:val="24"/>
          <w:highlight w:val="none"/>
        </w:rPr>
        <w:t>龙泉</w:t>
      </w:r>
      <w:r>
        <w:rPr>
          <w:bCs/>
          <w:color w:val="auto"/>
          <w:sz w:val="24"/>
          <w:highlight w:val="none"/>
        </w:rPr>
        <w:t>110</w:t>
      </w:r>
      <w:r>
        <w:rPr>
          <w:rFonts w:hint="eastAsia"/>
          <w:bCs/>
          <w:color w:val="auto"/>
          <w:sz w:val="24"/>
          <w:highlight w:val="none"/>
          <w:lang w:val="en-US" w:eastAsia="zh-CN"/>
        </w:rPr>
        <w:t>kV</w:t>
      </w:r>
      <w:r>
        <w:rPr>
          <w:color w:val="auto"/>
          <w:sz w:val="24"/>
          <w:highlight w:val="none"/>
        </w:rPr>
        <w:t>变电站监测点位示意图见专题图2。</w:t>
      </w:r>
    </w:p>
    <w:p w14:paraId="45762677">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黑体" w:cs="Times New Roman"/>
          <w:b w:val="0"/>
          <w:bCs w:val="0"/>
          <w:color w:val="auto"/>
          <w:sz w:val="24"/>
          <w:szCs w:val="24"/>
          <w:highlight w:val="none"/>
          <w:lang w:val="en-US" w:eastAsia="zh-CN"/>
        </w:rPr>
      </w:pPr>
      <w:r>
        <w:rPr>
          <w:rFonts w:hint="eastAsia" w:eastAsia="黑体" w:cs="Times New Roman"/>
          <w:b w:val="0"/>
          <w:bCs w:val="0"/>
          <w:color w:val="auto"/>
          <w:sz w:val="24"/>
          <w:szCs w:val="24"/>
          <w:highlight w:val="none"/>
          <w:lang w:val="en-US" w:eastAsia="zh-CN"/>
        </w:rPr>
        <w:t>******</w:t>
      </w:r>
    </w:p>
    <w:p w14:paraId="5140BBA2">
      <w:pPr>
        <w:pStyle w:val="46"/>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color w:val="auto"/>
          <w:sz w:val="24"/>
          <w:highlight w:val="none"/>
        </w:rPr>
      </w:pPr>
      <w:r>
        <w:rPr>
          <w:rFonts w:eastAsia="黑体"/>
          <w:b/>
          <w:bCs/>
          <w:color w:val="auto"/>
          <w:sz w:val="24"/>
          <w:highlight w:val="none"/>
        </w:rPr>
        <w:t>专题图2  类比变电站监测点位示意图</w:t>
      </w:r>
    </w:p>
    <w:p w14:paraId="5B088CD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auto"/>
          <w:sz w:val="24"/>
          <w:highlight w:val="none"/>
        </w:rPr>
      </w:pPr>
      <w:r>
        <w:rPr>
          <w:color w:val="auto"/>
          <w:sz w:val="24"/>
          <w:highlight w:val="none"/>
        </w:rPr>
        <w:t>（</w:t>
      </w:r>
      <w:r>
        <w:rPr>
          <w:rFonts w:hint="eastAsia"/>
          <w:color w:val="auto"/>
          <w:sz w:val="24"/>
          <w:highlight w:val="none"/>
          <w:lang w:val="en-US" w:eastAsia="zh-CN"/>
        </w:rPr>
        <w:t>9</w:t>
      </w:r>
      <w:r>
        <w:rPr>
          <w:color w:val="auto"/>
          <w:sz w:val="24"/>
          <w:highlight w:val="none"/>
        </w:rPr>
        <w:t>）类比运行工况</w:t>
      </w:r>
    </w:p>
    <w:p w14:paraId="7210F0E5">
      <w:pPr>
        <w:pStyle w:val="46"/>
        <w:spacing w:line="360" w:lineRule="auto"/>
        <w:ind w:firstLine="480" w:firstLineChars="200"/>
        <w:rPr>
          <w:bCs/>
          <w:color w:val="auto"/>
          <w:sz w:val="24"/>
          <w:highlight w:val="none"/>
        </w:rPr>
      </w:pPr>
      <w:r>
        <w:rPr>
          <w:rFonts w:hint="eastAsia"/>
          <w:bCs/>
          <w:color w:val="auto"/>
          <w:sz w:val="24"/>
          <w:highlight w:val="none"/>
        </w:rPr>
        <w:t>龙泉</w:t>
      </w:r>
      <w:r>
        <w:rPr>
          <w:bCs/>
          <w:color w:val="auto"/>
          <w:sz w:val="24"/>
          <w:highlight w:val="none"/>
        </w:rPr>
        <w:t>110kV变电站监测期间运行工况见专题表</w:t>
      </w:r>
      <w:r>
        <w:rPr>
          <w:rFonts w:hint="eastAsia"/>
          <w:bCs/>
          <w:color w:val="auto"/>
          <w:sz w:val="24"/>
          <w:highlight w:val="none"/>
        </w:rPr>
        <w:t>4</w:t>
      </w:r>
      <w:r>
        <w:rPr>
          <w:bCs/>
          <w:color w:val="auto"/>
          <w:sz w:val="24"/>
          <w:highlight w:val="none"/>
        </w:rPr>
        <w:t>。</w:t>
      </w:r>
    </w:p>
    <w:p w14:paraId="0EF66FA4">
      <w:pPr>
        <w:pStyle w:val="48"/>
        <w:spacing w:line="360" w:lineRule="auto"/>
        <w:ind w:firstLine="0" w:firstLineChars="0"/>
        <w:rPr>
          <w:rFonts w:eastAsia="黑体"/>
          <w:color w:val="auto"/>
          <w:sz w:val="24"/>
          <w:szCs w:val="24"/>
          <w:highlight w:val="none"/>
        </w:rPr>
      </w:pPr>
      <w:r>
        <w:rPr>
          <w:rFonts w:eastAsia="黑体"/>
          <w:color w:val="auto"/>
          <w:sz w:val="24"/>
          <w:szCs w:val="24"/>
          <w:highlight w:val="none"/>
        </w:rPr>
        <w:t>专题表</w:t>
      </w:r>
      <w:r>
        <w:rPr>
          <w:rFonts w:hint="eastAsia" w:eastAsia="黑体"/>
          <w:color w:val="auto"/>
          <w:sz w:val="24"/>
          <w:szCs w:val="24"/>
          <w:highlight w:val="none"/>
        </w:rPr>
        <w:t>4</w:t>
      </w:r>
      <w:r>
        <w:rPr>
          <w:rFonts w:eastAsia="黑体"/>
          <w:color w:val="auto"/>
          <w:sz w:val="24"/>
          <w:szCs w:val="24"/>
          <w:highlight w:val="none"/>
        </w:rPr>
        <w:t xml:space="preserve">  类比变电站监测期间运行工况一览表</w:t>
      </w:r>
    </w:p>
    <w:tbl>
      <w:tblPr>
        <w:tblStyle w:val="28"/>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816"/>
        <w:gridCol w:w="1534"/>
        <w:gridCol w:w="1500"/>
        <w:gridCol w:w="1379"/>
      </w:tblGrid>
      <w:tr w14:paraId="380A3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pct"/>
            <w:vAlign w:val="center"/>
          </w:tcPr>
          <w:p w14:paraId="7F186DD3">
            <w:pPr>
              <w:pStyle w:val="48"/>
              <w:adjustRightInd/>
              <w:ind w:firstLine="0" w:firstLineChars="0"/>
              <w:rPr>
                <w:bCs/>
                <w:color w:val="auto"/>
                <w:kern w:val="0"/>
                <w:szCs w:val="21"/>
                <w:highlight w:val="none"/>
              </w:rPr>
            </w:pPr>
            <w:r>
              <w:rPr>
                <w:bCs/>
                <w:color w:val="auto"/>
                <w:kern w:val="0"/>
                <w:szCs w:val="21"/>
                <w:highlight w:val="none"/>
              </w:rPr>
              <w:t>工程名称</w:t>
            </w:r>
          </w:p>
        </w:tc>
        <w:tc>
          <w:tcPr>
            <w:tcW w:w="1070" w:type="pct"/>
            <w:vAlign w:val="center"/>
          </w:tcPr>
          <w:p w14:paraId="0676C3E9">
            <w:pPr>
              <w:pStyle w:val="48"/>
              <w:adjustRightInd/>
              <w:ind w:firstLine="0" w:firstLineChars="0"/>
              <w:rPr>
                <w:bCs/>
                <w:color w:val="auto"/>
                <w:kern w:val="0"/>
                <w:szCs w:val="21"/>
                <w:highlight w:val="none"/>
              </w:rPr>
            </w:pPr>
            <w:r>
              <w:rPr>
                <w:bCs/>
                <w:color w:val="auto"/>
                <w:kern w:val="0"/>
                <w:szCs w:val="21"/>
                <w:highlight w:val="none"/>
              </w:rPr>
              <w:t>电压</w:t>
            </w:r>
          </w:p>
          <w:p w14:paraId="673A3E4C">
            <w:pPr>
              <w:pStyle w:val="48"/>
              <w:adjustRightInd/>
              <w:ind w:firstLine="0" w:firstLineChars="0"/>
              <w:rPr>
                <w:bCs/>
                <w:color w:val="auto"/>
                <w:kern w:val="0"/>
                <w:szCs w:val="21"/>
                <w:highlight w:val="none"/>
              </w:rPr>
            </w:pPr>
            <w:r>
              <w:rPr>
                <w:bCs/>
                <w:color w:val="auto"/>
                <w:kern w:val="0"/>
                <w:szCs w:val="21"/>
                <w:highlight w:val="none"/>
              </w:rPr>
              <w:t>（kV）</w:t>
            </w:r>
          </w:p>
        </w:tc>
        <w:tc>
          <w:tcPr>
            <w:tcW w:w="904" w:type="pct"/>
            <w:vAlign w:val="center"/>
          </w:tcPr>
          <w:p w14:paraId="56BDC260">
            <w:pPr>
              <w:pStyle w:val="48"/>
              <w:adjustRightInd/>
              <w:ind w:firstLine="0" w:firstLineChars="0"/>
              <w:rPr>
                <w:bCs/>
                <w:color w:val="auto"/>
                <w:kern w:val="0"/>
                <w:szCs w:val="21"/>
                <w:highlight w:val="none"/>
              </w:rPr>
            </w:pPr>
            <w:r>
              <w:rPr>
                <w:bCs/>
                <w:color w:val="auto"/>
                <w:kern w:val="0"/>
                <w:szCs w:val="21"/>
                <w:highlight w:val="none"/>
              </w:rPr>
              <w:t>电流</w:t>
            </w:r>
          </w:p>
          <w:p w14:paraId="4074D32F">
            <w:pPr>
              <w:pStyle w:val="48"/>
              <w:adjustRightInd/>
              <w:ind w:firstLine="0" w:firstLineChars="0"/>
              <w:rPr>
                <w:bCs/>
                <w:color w:val="auto"/>
                <w:kern w:val="0"/>
                <w:szCs w:val="21"/>
                <w:highlight w:val="none"/>
              </w:rPr>
            </w:pPr>
            <w:r>
              <w:rPr>
                <w:bCs/>
                <w:color w:val="auto"/>
                <w:kern w:val="0"/>
                <w:szCs w:val="21"/>
                <w:highlight w:val="none"/>
              </w:rPr>
              <w:t>（A）</w:t>
            </w:r>
          </w:p>
        </w:tc>
        <w:tc>
          <w:tcPr>
            <w:tcW w:w="884" w:type="pct"/>
            <w:vAlign w:val="center"/>
          </w:tcPr>
          <w:p w14:paraId="5CD6894A">
            <w:pPr>
              <w:pStyle w:val="48"/>
              <w:adjustRightInd/>
              <w:ind w:firstLine="0" w:firstLineChars="0"/>
              <w:rPr>
                <w:bCs/>
                <w:color w:val="auto"/>
                <w:kern w:val="0"/>
                <w:szCs w:val="21"/>
                <w:highlight w:val="none"/>
              </w:rPr>
            </w:pPr>
            <w:r>
              <w:rPr>
                <w:bCs/>
                <w:color w:val="auto"/>
                <w:kern w:val="0"/>
                <w:szCs w:val="21"/>
                <w:highlight w:val="none"/>
              </w:rPr>
              <w:t>有功功率</w:t>
            </w:r>
          </w:p>
          <w:p w14:paraId="2D5DC635">
            <w:pPr>
              <w:pStyle w:val="48"/>
              <w:adjustRightInd/>
              <w:ind w:firstLine="211" w:firstLineChars="100"/>
              <w:jc w:val="both"/>
              <w:rPr>
                <w:bCs/>
                <w:color w:val="auto"/>
                <w:kern w:val="0"/>
                <w:szCs w:val="21"/>
                <w:highlight w:val="none"/>
              </w:rPr>
            </w:pPr>
            <w:r>
              <w:rPr>
                <w:bCs/>
                <w:color w:val="auto"/>
                <w:kern w:val="0"/>
                <w:szCs w:val="21"/>
                <w:highlight w:val="none"/>
              </w:rPr>
              <w:t>（MW）</w:t>
            </w:r>
          </w:p>
        </w:tc>
        <w:tc>
          <w:tcPr>
            <w:tcW w:w="813" w:type="pct"/>
            <w:vAlign w:val="center"/>
          </w:tcPr>
          <w:p w14:paraId="0189AF6E">
            <w:pPr>
              <w:pStyle w:val="48"/>
              <w:adjustRightInd/>
              <w:ind w:firstLine="0" w:firstLineChars="0"/>
              <w:rPr>
                <w:bCs/>
                <w:color w:val="auto"/>
                <w:kern w:val="0"/>
                <w:szCs w:val="21"/>
                <w:highlight w:val="none"/>
              </w:rPr>
            </w:pPr>
            <w:r>
              <w:rPr>
                <w:bCs/>
                <w:color w:val="auto"/>
                <w:kern w:val="0"/>
                <w:szCs w:val="21"/>
                <w:highlight w:val="none"/>
              </w:rPr>
              <w:t>无功功率</w:t>
            </w:r>
          </w:p>
          <w:p w14:paraId="1A1BD014">
            <w:pPr>
              <w:pStyle w:val="48"/>
              <w:adjustRightInd/>
              <w:ind w:firstLine="211" w:firstLineChars="100"/>
              <w:jc w:val="both"/>
              <w:rPr>
                <w:bCs/>
                <w:color w:val="auto"/>
                <w:kern w:val="0"/>
                <w:szCs w:val="21"/>
                <w:highlight w:val="none"/>
              </w:rPr>
            </w:pPr>
            <w:r>
              <w:rPr>
                <w:bCs/>
                <w:color w:val="auto"/>
                <w:kern w:val="0"/>
                <w:szCs w:val="21"/>
                <w:highlight w:val="none"/>
              </w:rPr>
              <w:t>（MW）</w:t>
            </w:r>
          </w:p>
        </w:tc>
      </w:tr>
      <w:tr w14:paraId="1B7FA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pct"/>
            <w:vAlign w:val="center"/>
          </w:tcPr>
          <w:p w14:paraId="64E9C8E0">
            <w:pPr>
              <w:jc w:val="center"/>
              <w:rPr>
                <w:color w:val="auto"/>
                <w:szCs w:val="21"/>
                <w:highlight w:val="none"/>
              </w:rPr>
            </w:pPr>
            <w:r>
              <w:rPr>
                <w:rFonts w:hint="eastAsia"/>
                <w:color w:val="auto"/>
                <w:szCs w:val="21"/>
                <w:highlight w:val="none"/>
              </w:rPr>
              <w:t>龙泉110kV变</w:t>
            </w:r>
            <w:r>
              <w:rPr>
                <w:color w:val="auto"/>
                <w:szCs w:val="21"/>
                <w:highlight w:val="none"/>
              </w:rPr>
              <w:t>1#主变</w:t>
            </w:r>
          </w:p>
        </w:tc>
        <w:tc>
          <w:tcPr>
            <w:tcW w:w="1070" w:type="pct"/>
            <w:vAlign w:val="center"/>
          </w:tcPr>
          <w:p w14:paraId="77CC2797">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904" w:type="pct"/>
            <w:vAlign w:val="center"/>
          </w:tcPr>
          <w:p w14:paraId="6E17D379">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884" w:type="pct"/>
            <w:vAlign w:val="center"/>
          </w:tcPr>
          <w:p w14:paraId="2318C078">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813" w:type="pct"/>
            <w:vAlign w:val="center"/>
          </w:tcPr>
          <w:p w14:paraId="079C8AA6">
            <w:pPr>
              <w:snapToGrid w:val="0"/>
              <w:jc w:val="center"/>
              <w:rPr>
                <w:color w:val="auto"/>
                <w:kern w:val="24"/>
                <w:sz w:val="21"/>
                <w:szCs w:val="21"/>
                <w:highlight w:val="none"/>
              </w:rPr>
            </w:pPr>
            <w:r>
              <w:rPr>
                <w:rFonts w:hint="eastAsia"/>
                <w:color w:val="auto"/>
                <w:sz w:val="21"/>
                <w:szCs w:val="21"/>
                <w:highlight w:val="none"/>
                <w:lang w:val="en-US" w:eastAsia="zh-CN"/>
              </w:rPr>
              <w:t>******</w:t>
            </w:r>
          </w:p>
        </w:tc>
      </w:tr>
      <w:tr w14:paraId="05F304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6" w:type="pct"/>
            <w:vAlign w:val="center"/>
          </w:tcPr>
          <w:p w14:paraId="548AC192">
            <w:pPr>
              <w:jc w:val="center"/>
              <w:rPr>
                <w:color w:val="auto"/>
                <w:szCs w:val="21"/>
                <w:highlight w:val="none"/>
              </w:rPr>
            </w:pPr>
            <w:r>
              <w:rPr>
                <w:rFonts w:hint="eastAsia"/>
                <w:color w:val="auto"/>
                <w:szCs w:val="21"/>
                <w:highlight w:val="none"/>
              </w:rPr>
              <w:t>龙泉110kV变</w:t>
            </w:r>
            <w:r>
              <w:rPr>
                <w:color w:val="auto"/>
                <w:szCs w:val="21"/>
                <w:highlight w:val="none"/>
              </w:rPr>
              <w:t>2#主变</w:t>
            </w:r>
          </w:p>
        </w:tc>
        <w:tc>
          <w:tcPr>
            <w:tcW w:w="1070" w:type="pct"/>
            <w:vAlign w:val="center"/>
          </w:tcPr>
          <w:p w14:paraId="6A30D22E">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904" w:type="pct"/>
            <w:vAlign w:val="center"/>
          </w:tcPr>
          <w:p w14:paraId="6DFC2E3D">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884" w:type="pct"/>
            <w:vAlign w:val="center"/>
          </w:tcPr>
          <w:p w14:paraId="7E86B9D7">
            <w:pPr>
              <w:snapToGrid w:val="0"/>
              <w:jc w:val="center"/>
              <w:rPr>
                <w:color w:val="auto"/>
                <w:kern w:val="24"/>
                <w:sz w:val="21"/>
                <w:szCs w:val="21"/>
                <w:highlight w:val="none"/>
              </w:rPr>
            </w:pPr>
            <w:r>
              <w:rPr>
                <w:rFonts w:hint="eastAsia"/>
                <w:color w:val="auto"/>
                <w:sz w:val="21"/>
                <w:szCs w:val="21"/>
                <w:highlight w:val="none"/>
                <w:lang w:val="en-US" w:eastAsia="zh-CN"/>
              </w:rPr>
              <w:t>******</w:t>
            </w:r>
          </w:p>
        </w:tc>
        <w:tc>
          <w:tcPr>
            <w:tcW w:w="813" w:type="pct"/>
            <w:vAlign w:val="center"/>
          </w:tcPr>
          <w:p w14:paraId="11946BAA">
            <w:pPr>
              <w:snapToGrid w:val="0"/>
              <w:jc w:val="center"/>
              <w:rPr>
                <w:color w:val="auto"/>
                <w:kern w:val="24"/>
                <w:sz w:val="21"/>
                <w:szCs w:val="21"/>
                <w:highlight w:val="none"/>
              </w:rPr>
            </w:pPr>
            <w:r>
              <w:rPr>
                <w:rFonts w:hint="eastAsia"/>
                <w:color w:val="auto"/>
                <w:sz w:val="21"/>
                <w:szCs w:val="21"/>
                <w:highlight w:val="none"/>
                <w:lang w:val="en-US" w:eastAsia="zh-CN"/>
              </w:rPr>
              <w:t>******</w:t>
            </w:r>
          </w:p>
        </w:tc>
      </w:tr>
    </w:tbl>
    <w:p w14:paraId="56F8792D">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10</w:t>
      </w:r>
      <w:r>
        <w:rPr>
          <w:color w:val="auto"/>
          <w:sz w:val="24"/>
          <w:highlight w:val="none"/>
        </w:rPr>
        <w:t>）类比监测结果</w:t>
      </w:r>
    </w:p>
    <w:p w14:paraId="154D9B93">
      <w:pPr>
        <w:spacing w:line="360" w:lineRule="auto"/>
        <w:ind w:firstLine="480"/>
        <w:rPr>
          <w:bCs/>
          <w:color w:val="auto"/>
          <w:sz w:val="24"/>
          <w:highlight w:val="none"/>
        </w:rPr>
      </w:pPr>
      <w:r>
        <w:rPr>
          <w:rFonts w:hint="eastAsia"/>
          <w:bCs/>
          <w:color w:val="auto"/>
          <w:sz w:val="24"/>
          <w:highlight w:val="none"/>
        </w:rPr>
        <w:t>龙泉</w:t>
      </w:r>
      <w:r>
        <w:rPr>
          <w:bCs/>
          <w:color w:val="auto"/>
          <w:sz w:val="24"/>
          <w:highlight w:val="none"/>
        </w:rPr>
        <w:t>110kV变电站运行产生的工频电场、工频磁场见专题表</w:t>
      </w:r>
      <w:r>
        <w:rPr>
          <w:rFonts w:hint="eastAsia"/>
          <w:bCs/>
          <w:color w:val="auto"/>
          <w:sz w:val="24"/>
          <w:highlight w:val="none"/>
        </w:rPr>
        <w:t>5</w:t>
      </w:r>
      <w:r>
        <w:rPr>
          <w:bCs/>
          <w:color w:val="auto"/>
          <w:sz w:val="24"/>
          <w:highlight w:val="none"/>
        </w:rPr>
        <w:t>。</w:t>
      </w:r>
    </w:p>
    <w:p w14:paraId="0DFEB58E">
      <w:pPr>
        <w:spacing w:line="360" w:lineRule="auto"/>
        <w:jc w:val="center"/>
        <w:rPr>
          <w:rFonts w:eastAsia="黑体"/>
          <w:b/>
          <w:color w:val="auto"/>
          <w:sz w:val="24"/>
          <w:highlight w:val="none"/>
        </w:rPr>
      </w:pPr>
    </w:p>
    <w:p w14:paraId="26313042">
      <w:pPr>
        <w:spacing w:line="360" w:lineRule="auto"/>
        <w:jc w:val="center"/>
        <w:rPr>
          <w:rFonts w:eastAsia="黑体"/>
          <w:b/>
          <w:color w:val="auto"/>
          <w:sz w:val="24"/>
          <w:highlight w:val="none"/>
        </w:rPr>
      </w:pPr>
    </w:p>
    <w:p w14:paraId="5D562347">
      <w:pPr>
        <w:spacing w:line="360" w:lineRule="auto"/>
        <w:jc w:val="center"/>
        <w:rPr>
          <w:rFonts w:eastAsia="黑体"/>
          <w:b/>
          <w:color w:val="auto"/>
          <w:sz w:val="24"/>
          <w:highlight w:val="none"/>
        </w:rPr>
      </w:pPr>
      <w:r>
        <w:rPr>
          <w:rFonts w:eastAsia="黑体"/>
          <w:b/>
          <w:color w:val="auto"/>
          <w:sz w:val="24"/>
          <w:highlight w:val="none"/>
        </w:rPr>
        <w:t>专题表</w:t>
      </w:r>
      <w:r>
        <w:rPr>
          <w:rFonts w:hint="eastAsia" w:eastAsia="黑体"/>
          <w:b/>
          <w:color w:val="auto"/>
          <w:sz w:val="24"/>
          <w:highlight w:val="none"/>
        </w:rPr>
        <w:t>5</w:t>
      </w:r>
      <w:r>
        <w:rPr>
          <w:rFonts w:eastAsia="黑体"/>
          <w:b/>
          <w:color w:val="auto"/>
          <w:sz w:val="24"/>
          <w:highlight w:val="none"/>
        </w:rPr>
        <w:t xml:space="preserve">  类比变电站运行产生的工频电场、工频磁场</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3426"/>
        <w:gridCol w:w="1083"/>
        <w:gridCol w:w="1667"/>
        <w:gridCol w:w="1639"/>
      </w:tblGrid>
      <w:tr w14:paraId="22EDB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649" w:type="dxa"/>
            <w:vAlign w:val="center"/>
          </w:tcPr>
          <w:p w14:paraId="4C944291">
            <w:pPr>
              <w:adjustRightInd w:val="0"/>
              <w:snapToGrid w:val="0"/>
              <w:jc w:val="center"/>
              <w:rPr>
                <w:b/>
                <w:color w:val="auto"/>
                <w:szCs w:val="21"/>
                <w:highlight w:val="none"/>
              </w:rPr>
            </w:pPr>
            <w:r>
              <w:rPr>
                <w:b/>
                <w:color w:val="auto"/>
                <w:szCs w:val="21"/>
                <w:highlight w:val="none"/>
              </w:rPr>
              <w:t>序号</w:t>
            </w:r>
          </w:p>
        </w:tc>
        <w:tc>
          <w:tcPr>
            <w:tcW w:w="3426" w:type="dxa"/>
            <w:vAlign w:val="center"/>
          </w:tcPr>
          <w:p w14:paraId="6ECAA477">
            <w:pPr>
              <w:adjustRightInd w:val="0"/>
              <w:snapToGrid w:val="0"/>
              <w:jc w:val="center"/>
              <w:rPr>
                <w:b/>
                <w:color w:val="auto"/>
                <w:szCs w:val="21"/>
                <w:highlight w:val="none"/>
              </w:rPr>
            </w:pPr>
            <w:r>
              <w:rPr>
                <w:b/>
                <w:color w:val="auto"/>
                <w:szCs w:val="21"/>
                <w:highlight w:val="none"/>
              </w:rPr>
              <w:t>测点位置</w:t>
            </w:r>
          </w:p>
        </w:tc>
        <w:tc>
          <w:tcPr>
            <w:tcW w:w="1083" w:type="dxa"/>
            <w:vAlign w:val="center"/>
          </w:tcPr>
          <w:p w14:paraId="6F1469BB">
            <w:pPr>
              <w:adjustRightInd w:val="0"/>
              <w:snapToGrid w:val="0"/>
              <w:ind w:left="-105" w:leftChars="-50" w:right="-105" w:rightChars="-50"/>
              <w:jc w:val="center"/>
              <w:rPr>
                <w:b/>
                <w:color w:val="auto"/>
                <w:szCs w:val="21"/>
                <w:highlight w:val="none"/>
              </w:rPr>
            </w:pPr>
            <w:r>
              <w:rPr>
                <w:b/>
                <w:color w:val="auto"/>
                <w:szCs w:val="21"/>
                <w:highlight w:val="none"/>
              </w:rPr>
              <w:t>测量高度</w:t>
            </w:r>
          </w:p>
          <w:p w14:paraId="7D29188D">
            <w:pPr>
              <w:adjustRightInd w:val="0"/>
              <w:snapToGrid w:val="0"/>
              <w:jc w:val="center"/>
              <w:rPr>
                <w:b/>
                <w:color w:val="auto"/>
                <w:szCs w:val="21"/>
                <w:highlight w:val="none"/>
              </w:rPr>
            </w:pPr>
            <w:r>
              <w:rPr>
                <w:b/>
                <w:color w:val="auto"/>
                <w:szCs w:val="21"/>
                <w:highlight w:val="none"/>
              </w:rPr>
              <w:t>(m)</w:t>
            </w:r>
          </w:p>
        </w:tc>
        <w:tc>
          <w:tcPr>
            <w:tcW w:w="1667" w:type="dxa"/>
            <w:vAlign w:val="center"/>
          </w:tcPr>
          <w:p w14:paraId="2C9FCF89">
            <w:pPr>
              <w:adjustRightInd w:val="0"/>
              <w:snapToGrid w:val="0"/>
              <w:jc w:val="center"/>
              <w:rPr>
                <w:b/>
                <w:color w:val="auto"/>
                <w:szCs w:val="21"/>
                <w:highlight w:val="none"/>
              </w:rPr>
            </w:pPr>
            <w:r>
              <w:rPr>
                <w:b/>
                <w:color w:val="auto"/>
                <w:szCs w:val="21"/>
                <w:highlight w:val="none"/>
              </w:rPr>
              <w:t>工频电场强度</w:t>
            </w:r>
          </w:p>
          <w:p w14:paraId="09E98D6B">
            <w:pPr>
              <w:adjustRightInd w:val="0"/>
              <w:snapToGrid w:val="0"/>
              <w:jc w:val="center"/>
              <w:rPr>
                <w:b/>
                <w:color w:val="auto"/>
                <w:szCs w:val="21"/>
                <w:highlight w:val="none"/>
              </w:rPr>
            </w:pPr>
            <w:r>
              <w:rPr>
                <w:b/>
                <w:color w:val="auto"/>
                <w:szCs w:val="21"/>
                <w:highlight w:val="none"/>
              </w:rPr>
              <w:t>(V/m)</w:t>
            </w:r>
          </w:p>
        </w:tc>
        <w:tc>
          <w:tcPr>
            <w:tcW w:w="1639" w:type="dxa"/>
            <w:vAlign w:val="center"/>
          </w:tcPr>
          <w:p w14:paraId="5FE302C2">
            <w:pPr>
              <w:tabs>
                <w:tab w:val="left" w:pos="1058"/>
              </w:tabs>
              <w:adjustRightInd w:val="0"/>
              <w:snapToGrid w:val="0"/>
              <w:jc w:val="center"/>
              <w:rPr>
                <w:b/>
                <w:color w:val="auto"/>
                <w:szCs w:val="21"/>
                <w:highlight w:val="none"/>
              </w:rPr>
            </w:pPr>
            <w:r>
              <w:rPr>
                <w:b/>
                <w:color w:val="auto"/>
                <w:szCs w:val="21"/>
                <w:highlight w:val="none"/>
              </w:rPr>
              <w:t>工频磁感应强度(μT)</w:t>
            </w:r>
          </w:p>
        </w:tc>
      </w:tr>
      <w:tr w14:paraId="2ABAA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13CCEF2F">
            <w:pPr>
              <w:spacing w:line="240" w:lineRule="atLeast"/>
              <w:jc w:val="center"/>
              <w:rPr>
                <w:bCs/>
                <w:color w:val="auto"/>
                <w:szCs w:val="21"/>
                <w:highlight w:val="none"/>
              </w:rPr>
            </w:pPr>
            <w:r>
              <w:rPr>
                <w:bCs/>
                <w:color w:val="auto"/>
                <w:szCs w:val="21"/>
                <w:highlight w:val="none"/>
              </w:rPr>
              <w:t>1</w:t>
            </w:r>
          </w:p>
        </w:tc>
        <w:tc>
          <w:tcPr>
            <w:tcW w:w="3426" w:type="dxa"/>
            <w:vAlign w:val="center"/>
          </w:tcPr>
          <w:p w14:paraId="3800A2A2">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变电站东侧围墙外5m（1#）</w:t>
            </w:r>
          </w:p>
        </w:tc>
        <w:tc>
          <w:tcPr>
            <w:tcW w:w="1083" w:type="dxa"/>
            <w:vAlign w:val="center"/>
          </w:tcPr>
          <w:p w14:paraId="0B6C0269">
            <w:pPr>
              <w:spacing w:line="240" w:lineRule="atLeast"/>
              <w:jc w:val="center"/>
              <w:rPr>
                <w:bCs/>
                <w:color w:val="auto"/>
                <w:szCs w:val="21"/>
                <w:highlight w:val="none"/>
              </w:rPr>
            </w:pPr>
            <w:r>
              <w:rPr>
                <w:bCs/>
                <w:color w:val="auto"/>
                <w:szCs w:val="21"/>
                <w:highlight w:val="none"/>
              </w:rPr>
              <w:t>1.5</w:t>
            </w:r>
          </w:p>
        </w:tc>
        <w:tc>
          <w:tcPr>
            <w:tcW w:w="1667" w:type="dxa"/>
            <w:vAlign w:val="center"/>
          </w:tcPr>
          <w:p w14:paraId="49A53CA7">
            <w:pPr>
              <w:adjustRightInd w:val="0"/>
              <w:snapToGrid w:val="0"/>
              <w:jc w:val="center"/>
              <w:rPr>
                <w:color w:val="auto"/>
                <w:szCs w:val="21"/>
                <w:highlight w:val="none"/>
              </w:rPr>
            </w:pPr>
            <w:r>
              <w:rPr>
                <w:rFonts w:hint="eastAsia"/>
                <w:color w:val="auto"/>
                <w:szCs w:val="21"/>
                <w:highlight w:val="none"/>
              </w:rPr>
              <w:t>67.15</w:t>
            </w:r>
          </w:p>
        </w:tc>
        <w:tc>
          <w:tcPr>
            <w:tcW w:w="1639" w:type="dxa"/>
            <w:vAlign w:val="center"/>
          </w:tcPr>
          <w:p w14:paraId="6314A995">
            <w:pPr>
              <w:adjustRightInd w:val="0"/>
              <w:snapToGrid w:val="0"/>
              <w:jc w:val="center"/>
              <w:rPr>
                <w:color w:val="auto"/>
                <w:szCs w:val="21"/>
                <w:highlight w:val="none"/>
              </w:rPr>
            </w:pPr>
            <w:r>
              <w:rPr>
                <w:rFonts w:hint="eastAsia"/>
                <w:color w:val="auto"/>
                <w:szCs w:val="21"/>
                <w:highlight w:val="none"/>
              </w:rPr>
              <w:t>0.1355</w:t>
            </w:r>
          </w:p>
        </w:tc>
      </w:tr>
      <w:tr w14:paraId="7F7B1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56AFD735">
            <w:pPr>
              <w:spacing w:line="240" w:lineRule="atLeast"/>
              <w:jc w:val="center"/>
              <w:rPr>
                <w:bCs/>
                <w:color w:val="auto"/>
                <w:szCs w:val="21"/>
                <w:highlight w:val="none"/>
              </w:rPr>
            </w:pPr>
            <w:r>
              <w:rPr>
                <w:bCs/>
                <w:color w:val="auto"/>
                <w:szCs w:val="21"/>
                <w:highlight w:val="none"/>
              </w:rPr>
              <w:t>2</w:t>
            </w:r>
          </w:p>
        </w:tc>
        <w:tc>
          <w:tcPr>
            <w:tcW w:w="3426" w:type="dxa"/>
            <w:vAlign w:val="center"/>
          </w:tcPr>
          <w:p w14:paraId="32DFF23C">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变电站东侧围墙外5m（2#）</w:t>
            </w:r>
          </w:p>
        </w:tc>
        <w:tc>
          <w:tcPr>
            <w:tcW w:w="1083" w:type="dxa"/>
            <w:vAlign w:val="center"/>
          </w:tcPr>
          <w:p w14:paraId="545CA370">
            <w:pPr>
              <w:jc w:val="center"/>
              <w:rPr>
                <w:bCs/>
                <w:color w:val="auto"/>
                <w:highlight w:val="none"/>
              </w:rPr>
            </w:pPr>
            <w:r>
              <w:rPr>
                <w:bCs/>
                <w:color w:val="auto"/>
                <w:szCs w:val="21"/>
                <w:highlight w:val="none"/>
              </w:rPr>
              <w:t>1.5</w:t>
            </w:r>
          </w:p>
        </w:tc>
        <w:tc>
          <w:tcPr>
            <w:tcW w:w="1667" w:type="dxa"/>
            <w:vAlign w:val="center"/>
          </w:tcPr>
          <w:p w14:paraId="00F6F002">
            <w:pPr>
              <w:adjustRightInd w:val="0"/>
              <w:snapToGrid w:val="0"/>
              <w:jc w:val="center"/>
              <w:rPr>
                <w:color w:val="auto"/>
                <w:szCs w:val="21"/>
                <w:highlight w:val="none"/>
              </w:rPr>
            </w:pPr>
            <w:r>
              <w:rPr>
                <w:rFonts w:hint="eastAsia"/>
                <w:color w:val="auto"/>
                <w:szCs w:val="21"/>
                <w:highlight w:val="none"/>
              </w:rPr>
              <w:t>35.98</w:t>
            </w:r>
          </w:p>
        </w:tc>
        <w:tc>
          <w:tcPr>
            <w:tcW w:w="1639" w:type="dxa"/>
            <w:vAlign w:val="center"/>
          </w:tcPr>
          <w:p w14:paraId="1C623AEB">
            <w:pPr>
              <w:adjustRightInd w:val="0"/>
              <w:snapToGrid w:val="0"/>
              <w:jc w:val="center"/>
              <w:rPr>
                <w:color w:val="auto"/>
                <w:szCs w:val="21"/>
                <w:highlight w:val="none"/>
              </w:rPr>
            </w:pPr>
            <w:r>
              <w:rPr>
                <w:rFonts w:hint="eastAsia"/>
                <w:color w:val="auto"/>
                <w:szCs w:val="21"/>
                <w:highlight w:val="none"/>
              </w:rPr>
              <w:t>0.1526</w:t>
            </w:r>
          </w:p>
        </w:tc>
      </w:tr>
      <w:tr w14:paraId="43414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30A3FB92">
            <w:pPr>
              <w:spacing w:line="240" w:lineRule="atLeast"/>
              <w:jc w:val="center"/>
              <w:rPr>
                <w:bCs/>
                <w:color w:val="auto"/>
                <w:szCs w:val="21"/>
                <w:highlight w:val="none"/>
              </w:rPr>
            </w:pPr>
            <w:r>
              <w:rPr>
                <w:bCs/>
                <w:color w:val="auto"/>
                <w:szCs w:val="21"/>
                <w:highlight w:val="none"/>
              </w:rPr>
              <w:t>3</w:t>
            </w:r>
          </w:p>
        </w:tc>
        <w:tc>
          <w:tcPr>
            <w:tcW w:w="3426" w:type="dxa"/>
            <w:vAlign w:val="center"/>
          </w:tcPr>
          <w:p w14:paraId="1DF6D5CD">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变电站南侧围墙外5m（3#）</w:t>
            </w:r>
          </w:p>
        </w:tc>
        <w:tc>
          <w:tcPr>
            <w:tcW w:w="1083" w:type="dxa"/>
            <w:vAlign w:val="center"/>
          </w:tcPr>
          <w:p w14:paraId="2174D112">
            <w:pPr>
              <w:spacing w:line="240" w:lineRule="atLeast"/>
              <w:jc w:val="center"/>
              <w:rPr>
                <w:bCs/>
                <w:color w:val="auto"/>
                <w:szCs w:val="21"/>
                <w:highlight w:val="none"/>
              </w:rPr>
            </w:pPr>
            <w:r>
              <w:rPr>
                <w:bCs/>
                <w:color w:val="auto"/>
                <w:szCs w:val="21"/>
                <w:highlight w:val="none"/>
              </w:rPr>
              <w:t>1.5</w:t>
            </w:r>
          </w:p>
        </w:tc>
        <w:tc>
          <w:tcPr>
            <w:tcW w:w="1667" w:type="dxa"/>
            <w:vAlign w:val="center"/>
          </w:tcPr>
          <w:p w14:paraId="198570D7">
            <w:pPr>
              <w:adjustRightInd w:val="0"/>
              <w:snapToGrid w:val="0"/>
              <w:jc w:val="center"/>
              <w:rPr>
                <w:color w:val="auto"/>
                <w:szCs w:val="21"/>
                <w:highlight w:val="none"/>
              </w:rPr>
            </w:pPr>
            <w:r>
              <w:rPr>
                <w:rFonts w:hint="eastAsia"/>
                <w:color w:val="auto"/>
                <w:szCs w:val="21"/>
                <w:highlight w:val="none"/>
              </w:rPr>
              <w:t>22.07</w:t>
            </w:r>
          </w:p>
        </w:tc>
        <w:tc>
          <w:tcPr>
            <w:tcW w:w="1639" w:type="dxa"/>
            <w:vAlign w:val="center"/>
          </w:tcPr>
          <w:p w14:paraId="2F469EA8">
            <w:pPr>
              <w:adjustRightInd w:val="0"/>
              <w:snapToGrid w:val="0"/>
              <w:jc w:val="center"/>
              <w:rPr>
                <w:color w:val="auto"/>
                <w:szCs w:val="21"/>
                <w:highlight w:val="none"/>
              </w:rPr>
            </w:pPr>
            <w:r>
              <w:rPr>
                <w:rFonts w:hint="eastAsia"/>
                <w:color w:val="auto"/>
                <w:szCs w:val="21"/>
                <w:highlight w:val="none"/>
              </w:rPr>
              <w:t>0.1775</w:t>
            </w:r>
          </w:p>
        </w:tc>
      </w:tr>
      <w:tr w14:paraId="31C09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3B93AB61">
            <w:pPr>
              <w:spacing w:line="240" w:lineRule="atLeast"/>
              <w:jc w:val="center"/>
              <w:rPr>
                <w:bCs/>
                <w:color w:val="auto"/>
                <w:szCs w:val="21"/>
                <w:highlight w:val="none"/>
              </w:rPr>
            </w:pPr>
            <w:r>
              <w:rPr>
                <w:bCs/>
                <w:color w:val="auto"/>
                <w:szCs w:val="21"/>
                <w:highlight w:val="none"/>
              </w:rPr>
              <w:t>4</w:t>
            </w:r>
          </w:p>
        </w:tc>
        <w:tc>
          <w:tcPr>
            <w:tcW w:w="3426" w:type="dxa"/>
            <w:vAlign w:val="center"/>
          </w:tcPr>
          <w:p w14:paraId="2B2285D3">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变电站南侧围墙外5m（4#）</w:t>
            </w:r>
          </w:p>
        </w:tc>
        <w:tc>
          <w:tcPr>
            <w:tcW w:w="1083" w:type="dxa"/>
            <w:vAlign w:val="center"/>
          </w:tcPr>
          <w:p w14:paraId="6674C478">
            <w:pPr>
              <w:jc w:val="center"/>
              <w:rPr>
                <w:bCs/>
                <w:color w:val="auto"/>
                <w:szCs w:val="21"/>
                <w:highlight w:val="none"/>
              </w:rPr>
            </w:pPr>
            <w:r>
              <w:rPr>
                <w:bCs/>
                <w:color w:val="auto"/>
                <w:szCs w:val="21"/>
                <w:highlight w:val="none"/>
              </w:rPr>
              <w:t>1.5</w:t>
            </w:r>
          </w:p>
        </w:tc>
        <w:tc>
          <w:tcPr>
            <w:tcW w:w="1667" w:type="dxa"/>
            <w:vAlign w:val="center"/>
          </w:tcPr>
          <w:p w14:paraId="28A2211D">
            <w:pPr>
              <w:jc w:val="center"/>
              <w:rPr>
                <w:color w:val="auto"/>
                <w:szCs w:val="21"/>
                <w:highlight w:val="none"/>
              </w:rPr>
            </w:pPr>
            <w:r>
              <w:rPr>
                <w:rFonts w:hint="eastAsia"/>
                <w:color w:val="auto"/>
                <w:szCs w:val="21"/>
                <w:highlight w:val="none"/>
              </w:rPr>
              <w:t>18.28</w:t>
            </w:r>
          </w:p>
        </w:tc>
        <w:tc>
          <w:tcPr>
            <w:tcW w:w="1639" w:type="dxa"/>
            <w:vAlign w:val="center"/>
          </w:tcPr>
          <w:p w14:paraId="6EDD1020">
            <w:pPr>
              <w:jc w:val="center"/>
              <w:rPr>
                <w:color w:val="auto"/>
                <w:szCs w:val="21"/>
                <w:highlight w:val="none"/>
              </w:rPr>
            </w:pPr>
            <w:r>
              <w:rPr>
                <w:rFonts w:hint="eastAsia"/>
                <w:color w:val="auto"/>
                <w:szCs w:val="21"/>
                <w:highlight w:val="none"/>
              </w:rPr>
              <w:t>0.1424</w:t>
            </w:r>
          </w:p>
        </w:tc>
      </w:tr>
      <w:tr w14:paraId="35D7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jc w:val="center"/>
        </w:trPr>
        <w:tc>
          <w:tcPr>
            <w:tcW w:w="649" w:type="dxa"/>
            <w:vAlign w:val="center"/>
          </w:tcPr>
          <w:p w14:paraId="456622EB">
            <w:pPr>
              <w:spacing w:line="240" w:lineRule="atLeast"/>
              <w:jc w:val="center"/>
              <w:rPr>
                <w:bCs/>
                <w:color w:val="auto"/>
                <w:szCs w:val="21"/>
                <w:highlight w:val="none"/>
              </w:rPr>
            </w:pPr>
            <w:r>
              <w:rPr>
                <w:bCs/>
                <w:color w:val="auto"/>
                <w:szCs w:val="21"/>
                <w:highlight w:val="none"/>
              </w:rPr>
              <w:t>5</w:t>
            </w:r>
          </w:p>
        </w:tc>
        <w:tc>
          <w:tcPr>
            <w:tcW w:w="3426" w:type="dxa"/>
            <w:vAlign w:val="center"/>
          </w:tcPr>
          <w:p w14:paraId="7A5663CA">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变电站西侧围墙外5m（5#）</w:t>
            </w:r>
          </w:p>
        </w:tc>
        <w:tc>
          <w:tcPr>
            <w:tcW w:w="1083" w:type="dxa"/>
            <w:vAlign w:val="center"/>
          </w:tcPr>
          <w:p w14:paraId="5F3F3517">
            <w:pPr>
              <w:spacing w:line="240" w:lineRule="atLeast"/>
              <w:jc w:val="center"/>
              <w:rPr>
                <w:bCs/>
                <w:color w:val="auto"/>
                <w:szCs w:val="21"/>
                <w:highlight w:val="none"/>
              </w:rPr>
            </w:pPr>
            <w:r>
              <w:rPr>
                <w:bCs/>
                <w:color w:val="auto"/>
                <w:szCs w:val="21"/>
                <w:highlight w:val="none"/>
              </w:rPr>
              <w:t>1.5</w:t>
            </w:r>
          </w:p>
        </w:tc>
        <w:tc>
          <w:tcPr>
            <w:tcW w:w="1667" w:type="dxa"/>
            <w:vAlign w:val="center"/>
          </w:tcPr>
          <w:p w14:paraId="16E4A52D">
            <w:pPr>
              <w:jc w:val="center"/>
              <w:rPr>
                <w:color w:val="auto"/>
                <w:szCs w:val="21"/>
                <w:highlight w:val="none"/>
              </w:rPr>
            </w:pPr>
            <w:r>
              <w:rPr>
                <w:rFonts w:hint="eastAsia"/>
                <w:color w:val="auto"/>
                <w:szCs w:val="21"/>
                <w:highlight w:val="none"/>
              </w:rPr>
              <w:t>14.47</w:t>
            </w:r>
          </w:p>
        </w:tc>
        <w:tc>
          <w:tcPr>
            <w:tcW w:w="1639" w:type="dxa"/>
            <w:vAlign w:val="center"/>
          </w:tcPr>
          <w:p w14:paraId="5CA15F73">
            <w:pPr>
              <w:jc w:val="center"/>
              <w:rPr>
                <w:color w:val="auto"/>
                <w:szCs w:val="21"/>
                <w:highlight w:val="none"/>
              </w:rPr>
            </w:pPr>
            <w:r>
              <w:rPr>
                <w:rFonts w:hint="eastAsia"/>
                <w:color w:val="auto"/>
                <w:szCs w:val="21"/>
                <w:highlight w:val="none"/>
              </w:rPr>
              <w:t>0.5245</w:t>
            </w:r>
          </w:p>
        </w:tc>
      </w:tr>
      <w:tr w14:paraId="1FF7D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2E8D4E77">
            <w:pPr>
              <w:spacing w:line="240" w:lineRule="atLeast"/>
              <w:jc w:val="center"/>
              <w:rPr>
                <w:bCs/>
                <w:color w:val="auto"/>
                <w:szCs w:val="21"/>
                <w:highlight w:val="none"/>
              </w:rPr>
            </w:pPr>
            <w:r>
              <w:rPr>
                <w:bCs/>
                <w:color w:val="auto"/>
                <w:szCs w:val="21"/>
                <w:highlight w:val="none"/>
              </w:rPr>
              <w:t>6</w:t>
            </w:r>
          </w:p>
        </w:tc>
        <w:tc>
          <w:tcPr>
            <w:tcW w:w="3426" w:type="dxa"/>
            <w:vAlign w:val="center"/>
          </w:tcPr>
          <w:p w14:paraId="7E07E898">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变电站西侧围墙外5m（6#）</w:t>
            </w:r>
          </w:p>
        </w:tc>
        <w:tc>
          <w:tcPr>
            <w:tcW w:w="1083" w:type="dxa"/>
            <w:vAlign w:val="center"/>
          </w:tcPr>
          <w:p w14:paraId="1073065C">
            <w:pPr>
              <w:jc w:val="center"/>
              <w:rPr>
                <w:bCs/>
                <w:color w:val="auto"/>
                <w:szCs w:val="21"/>
                <w:highlight w:val="none"/>
              </w:rPr>
            </w:pPr>
            <w:r>
              <w:rPr>
                <w:bCs/>
                <w:color w:val="auto"/>
                <w:szCs w:val="21"/>
                <w:highlight w:val="none"/>
              </w:rPr>
              <w:t>1.5</w:t>
            </w:r>
          </w:p>
        </w:tc>
        <w:tc>
          <w:tcPr>
            <w:tcW w:w="1667" w:type="dxa"/>
            <w:vAlign w:val="center"/>
          </w:tcPr>
          <w:p w14:paraId="27C7A3B5">
            <w:pPr>
              <w:jc w:val="center"/>
              <w:rPr>
                <w:color w:val="auto"/>
                <w:szCs w:val="21"/>
                <w:highlight w:val="none"/>
              </w:rPr>
            </w:pPr>
            <w:r>
              <w:rPr>
                <w:rFonts w:hint="eastAsia"/>
                <w:color w:val="auto"/>
                <w:szCs w:val="21"/>
                <w:highlight w:val="none"/>
              </w:rPr>
              <w:t>30.12</w:t>
            </w:r>
          </w:p>
        </w:tc>
        <w:tc>
          <w:tcPr>
            <w:tcW w:w="1639" w:type="dxa"/>
            <w:vAlign w:val="center"/>
          </w:tcPr>
          <w:p w14:paraId="30E017A5">
            <w:pPr>
              <w:jc w:val="center"/>
              <w:rPr>
                <w:color w:val="auto"/>
                <w:szCs w:val="21"/>
                <w:highlight w:val="none"/>
              </w:rPr>
            </w:pPr>
            <w:r>
              <w:rPr>
                <w:rFonts w:hint="eastAsia"/>
                <w:color w:val="auto"/>
                <w:szCs w:val="21"/>
                <w:highlight w:val="none"/>
              </w:rPr>
              <w:t>0.1468</w:t>
            </w:r>
          </w:p>
        </w:tc>
      </w:tr>
      <w:tr w14:paraId="74046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018B2EA2">
            <w:pPr>
              <w:spacing w:line="240" w:lineRule="atLeast"/>
              <w:jc w:val="center"/>
              <w:rPr>
                <w:bCs/>
                <w:color w:val="auto"/>
                <w:szCs w:val="21"/>
                <w:highlight w:val="none"/>
              </w:rPr>
            </w:pPr>
            <w:r>
              <w:rPr>
                <w:bCs/>
                <w:color w:val="auto"/>
                <w:szCs w:val="21"/>
                <w:highlight w:val="none"/>
              </w:rPr>
              <w:t>7</w:t>
            </w:r>
          </w:p>
        </w:tc>
        <w:tc>
          <w:tcPr>
            <w:tcW w:w="3426" w:type="dxa"/>
            <w:vAlign w:val="center"/>
          </w:tcPr>
          <w:p w14:paraId="53889B0C">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变电站北侧围墙外5m（7#）</w:t>
            </w:r>
          </w:p>
        </w:tc>
        <w:tc>
          <w:tcPr>
            <w:tcW w:w="1083" w:type="dxa"/>
            <w:vAlign w:val="center"/>
          </w:tcPr>
          <w:p w14:paraId="3AB0FCEB">
            <w:pPr>
              <w:spacing w:line="240" w:lineRule="atLeast"/>
              <w:jc w:val="center"/>
              <w:rPr>
                <w:bCs/>
                <w:color w:val="auto"/>
                <w:szCs w:val="21"/>
                <w:highlight w:val="none"/>
              </w:rPr>
            </w:pPr>
            <w:r>
              <w:rPr>
                <w:bCs/>
                <w:color w:val="auto"/>
                <w:szCs w:val="21"/>
                <w:highlight w:val="none"/>
              </w:rPr>
              <w:t>1.5</w:t>
            </w:r>
          </w:p>
        </w:tc>
        <w:tc>
          <w:tcPr>
            <w:tcW w:w="1667" w:type="dxa"/>
            <w:vAlign w:val="center"/>
          </w:tcPr>
          <w:p w14:paraId="32E39558">
            <w:pPr>
              <w:jc w:val="center"/>
              <w:rPr>
                <w:color w:val="auto"/>
                <w:szCs w:val="21"/>
                <w:highlight w:val="none"/>
              </w:rPr>
            </w:pPr>
            <w:r>
              <w:rPr>
                <w:rFonts w:hint="eastAsia"/>
                <w:color w:val="auto"/>
                <w:szCs w:val="21"/>
                <w:highlight w:val="none"/>
              </w:rPr>
              <w:t>165.3</w:t>
            </w:r>
          </w:p>
        </w:tc>
        <w:tc>
          <w:tcPr>
            <w:tcW w:w="1639" w:type="dxa"/>
            <w:vAlign w:val="center"/>
          </w:tcPr>
          <w:p w14:paraId="5FE51FDE">
            <w:pPr>
              <w:jc w:val="center"/>
              <w:rPr>
                <w:color w:val="auto"/>
                <w:szCs w:val="21"/>
                <w:highlight w:val="none"/>
              </w:rPr>
            </w:pPr>
            <w:r>
              <w:rPr>
                <w:rFonts w:hint="eastAsia"/>
                <w:color w:val="auto"/>
                <w:szCs w:val="21"/>
                <w:highlight w:val="none"/>
              </w:rPr>
              <w:t>0.1961</w:t>
            </w:r>
          </w:p>
        </w:tc>
      </w:tr>
      <w:tr w14:paraId="3622D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68A6985D">
            <w:pPr>
              <w:spacing w:line="240" w:lineRule="atLeast"/>
              <w:jc w:val="center"/>
              <w:rPr>
                <w:bCs/>
                <w:color w:val="auto"/>
                <w:szCs w:val="21"/>
                <w:highlight w:val="none"/>
              </w:rPr>
            </w:pPr>
            <w:r>
              <w:rPr>
                <w:bCs/>
                <w:color w:val="auto"/>
                <w:szCs w:val="21"/>
                <w:highlight w:val="none"/>
              </w:rPr>
              <w:t>8</w:t>
            </w:r>
          </w:p>
        </w:tc>
        <w:tc>
          <w:tcPr>
            <w:tcW w:w="3426" w:type="dxa"/>
            <w:vAlign w:val="center"/>
          </w:tcPr>
          <w:p w14:paraId="5A300C1D">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变电站北侧围墙外10m</w:t>
            </w:r>
          </w:p>
        </w:tc>
        <w:tc>
          <w:tcPr>
            <w:tcW w:w="1083" w:type="dxa"/>
            <w:vAlign w:val="center"/>
          </w:tcPr>
          <w:p w14:paraId="004D96B2">
            <w:pPr>
              <w:jc w:val="center"/>
              <w:rPr>
                <w:bCs/>
                <w:color w:val="auto"/>
                <w:szCs w:val="21"/>
                <w:highlight w:val="none"/>
              </w:rPr>
            </w:pPr>
            <w:r>
              <w:rPr>
                <w:bCs/>
                <w:color w:val="auto"/>
                <w:szCs w:val="21"/>
                <w:highlight w:val="none"/>
              </w:rPr>
              <w:t>1.5</w:t>
            </w:r>
          </w:p>
        </w:tc>
        <w:tc>
          <w:tcPr>
            <w:tcW w:w="1667" w:type="dxa"/>
            <w:vAlign w:val="center"/>
          </w:tcPr>
          <w:p w14:paraId="3B9ADC31">
            <w:pPr>
              <w:jc w:val="center"/>
              <w:rPr>
                <w:color w:val="auto"/>
                <w:szCs w:val="21"/>
                <w:highlight w:val="none"/>
              </w:rPr>
            </w:pPr>
            <w:r>
              <w:rPr>
                <w:rFonts w:hint="eastAsia"/>
                <w:color w:val="auto"/>
                <w:szCs w:val="21"/>
                <w:highlight w:val="none"/>
              </w:rPr>
              <w:t>142.6</w:t>
            </w:r>
          </w:p>
        </w:tc>
        <w:tc>
          <w:tcPr>
            <w:tcW w:w="1639" w:type="dxa"/>
            <w:vAlign w:val="center"/>
          </w:tcPr>
          <w:p w14:paraId="3EFE201D">
            <w:pPr>
              <w:jc w:val="center"/>
              <w:rPr>
                <w:color w:val="auto"/>
                <w:szCs w:val="21"/>
                <w:highlight w:val="none"/>
              </w:rPr>
            </w:pPr>
            <w:r>
              <w:rPr>
                <w:rFonts w:hint="eastAsia"/>
                <w:color w:val="auto"/>
                <w:szCs w:val="21"/>
                <w:highlight w:val="none"/>
              </w:rPr>
              <w:t>0.1785</w:t>
            </w:r>
          </w:p>
        </w:tc>
      </w:tr>
      <w:tr w14:paraId="05CFF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71D37433">
            <w:pPr>
              <w:spacing w:line="240" w:lineRule="atLeast"/>
              <w:jc w:val="center"/>
              <w:rPr>
                <w:bCs/>
                <w:color w:val="auto"/>
                <w:szCs w:val="21"/>
                <w:highlight w:val="none"/>
              </w:rPr>
            </w:pPr>
            <w:r>
              <w:rPr>
                <w:bCs/>
                <w:color w:val="auto"/>
                <w:szCs w:val="21"/>
                <w:highlight w:val="none"/>
              </w:rPr>
              <w:t>9</w:t>
            </w:r>
          </w:p>
        </w:tc>
        <w:tc>
          <w:tcPr>
            <w:tcW w:w="3426" w:type="dxa"/>
            <w:vAlign w:val="center"/>
          </w:tcPr>
          <w:p w14:paraId="581DB180">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变电站北侧围墙外15m</w:t>
            </w:r>
          </w:p>
        </w:tc>
        <w:tc>
          <w:tcPr>
            <w:tcW w:w="1083" w:type="dxa"/>
            <w:vAlign w:val="center"/>
          </w:tcPr>
          <w:p w14:paraId="062F67C6">
            <w:pPr>
              <w:spacing w:line="240" w:lineRule="atLeast"/>
              <w:jc w:val="center"/>
              <w:rPr>
                <w:bCs/>
                <w:color w:val="auto"/>
                <w:szCs w:val="21"/>
                <w:highlight w:val="none"/>
              </w:rPr>
            </w:pPr>
            <w:r>
              <w:rPr>
                <w:bCs/>
                <w:color w:val="auto"/>
                <w:szCs w:val="21"/>
                <w:highlight w:val="none"/>
              </w:rPr>
              <w:t>1.5</w:t>
            </w:r>
          </w:p>
        </w:tc>
        <w:tc>
          <w:tcPr>
            <w:tcW w:w="1667" w:type="dxa"/>
            <w:vAlign w:val="center"/>
          </w:tcPr>
          <w:p w14:paraId="63ACDC76">
            <w:pPr>
              <w:jc w:val="center"/>
              <w:rPr>
                <w:color w:val="auto"/>
                <w:szCs w:val="21"/>
                <w:highlight w:val="none"/>
              </w:rPr>
            </w:pPr>
            <w:r>
              <w:rPr>
                <w:rFonts w:hint="eastAsia"/>
                <w:color w:val="auto"/>
                <w:szCs w:val="21"/>
                <w:highlight w:val="none"/>
              </w:rPr>
              <w:t>119.58</w:t>
            </w:r>
          </w:p>
        </w:tc>
        <w:tc>
          <w:tcPr>
            <w:tcW w:w="1639" w:type="dxa"/>
            <w:vAlign w:val="center"/>
          </w:tcPr>
          <w:p w14:paraId="79928A48">
            <w:pPr>
              <w:jc w:val="center"/>
              <w:rPr>
                <w:color w:val="auto"/>
                <w:szCs w:val="21"/>
                <w:highlight w:val="none"/>
              </w:rPr>
            </w:pPr>
            <w:r>
              <w:rPr>
                <w:rFonts w:hint="eastAsia"/>
                <w:color w:val="auto"/>
                <w:szCs w:val="21"/>
                <w:highlight w:val="none"/>
              </w:rPr>
              <w:t>0.1682</w:t>
            </w:r>
          </w:p>
        </w:tc>
      </w:tr>
      <w:tr w14:paraId="5EE6A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153DF0A7">
            <w:pPr>
              <w:spacing w:line="240" w:lineRule="atLeast"/>
              <w:jc w:val="center"/>
              <w:rPr>
                <w:bCs/>
                <w:color w:val="auto"/>
                <w:szCs w:val="21"/>
                <w:highlight w:val="none"/>
              </w:rPr>
            </w:pPr>
            <w:r>
              <w:rPr>
                <w:bCs/>
                <w:color w:val="auto"/>
                <w:szCs w:val="21"/>
                <w:highlight w:val="none"/>
              </w:rPr>
              <w:t>10</w:t>
            </w:r>
          </w:p>
        </w:tc>
        <w:tc>
          <w:tcPr>
            <w:tcW w:w="3426" w:type="dxa"/>
            <w:vAlign w:val="center"/>
          </w:tcPr>
          <w:p w14:paraId="0445E547">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变电站北侧围墙外20m</w:t>
            </w:r>
          </w:p>
        </w:tc>
        <w:tc>
          <w:tcPr>
            <w:tcW w:w="1083" w:type="dxa"/>
            <w:vAlign w:val="center"/>
          </w:tcPr>
          <w:p w14:paraId="08798786">
            <w:pPr>
              <w:jc w:val="center"/>
              <w:rPr>
                <w:bCs/>
                <w:color w:val="auto"/>
                <w:szCs w:val="21"/>
                <w:highlight w:val="none"/>
              </w:rPr>
            </w:pPr>
            <w:r>
              <w:rPr>
                <w:bCs/>
                <w:color w:val="auto"/>
                <w:szCs w:val="21"/>
                <w:highlight w:val="none"/>
              </w:rPr>
              <w:t>1.5</w:t>
            </w:r>
          </w:p>
        </w:tc>
        <w:tc>
          <w:tcPr>
            <w:tcW w:w="1667" w:type="dxa"/>
            <w:vAlign w:val="center"/>
          </w:tcPr>
          <w:p w14:paraId="3950D208">
            <w:pPr>
              <w:jc w:val="center"/>
              <w:rPr>
                <w:color w:val="auto"/>
                <w:szCs w:val="21"/>
                <w:highlight w:val="none"/>
              </w:rPr>
            </w:pPr>
            <w:r>
              <w:rPr>
                <w:rFonts w:hint="eastAsia"/>
                <w:color w:val="auto"/>
                <w:szCs w:val="21"/>
                <w:highlight w:val="none"/>
              </w:rPr>
              <w:t>89.64</w:t>
            </w:r>
          </w:p>
        </w:tc>
        <w:tc>
          <w:tcPr>
            <w:tcW w:w="1639" w:type="dxa"/>
            <w:vAlign w:val="center"/>
          </w:tcPr>
          <w:p w14:paraId="6C965924">
            <w:pPr>
              <w:jc w:val="center"/>
              <w:rPr>
                <w:color w:val="auto"/>
                <w:szCs w:val="21"/>
                <w:highlight w:val="none"/>
              </w:rPr>
            </w:pPr>
            <w:r>
              <w:rPr>
                <w:rFonts w:hint="eastAsia"/>
                <w:color w:val="auto"/>
                <w:szCs w:val="21"/>
                <w:highlight w:val="none"/>
              </w:rPr>
              <w:t>0.1534</w:t>
            </w:r>
          </w:p>
        </w:tc>
      </w:tr>
      <w:tr w14:paraId="104C5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5237E87D">
            <w:pPr>
              <w:spacing w:line="240" w:lineRule="atLeast"/>
              <w:jc w:val="center"/>
              <w:rPr>
                <w:bCs/>
                <w:color w:val="auto"/>
                <w:szCs w:val="21"/>
                <w:highlight w:val="none"/>
              </w:rPr>
            </w:pPr>
            <w:r>
              <w:rPr>
                <w:bCs/>
                <w:color w:val="auto"/>
                <w:szCs w:val="21"/>
                <w:highlight w:val="none"/>
              </w:rPr>
              <w:t>11</w:t>
            </w:r>
          </w:p>
        </w:tc>
        <w:tc>
          <w:tcPr>
            <w:tcW w:w="3426" w:type="dxa"/>
            <w:vAlign w:val="center"/>
          </w:tcPr>
          <w:p w14:paraId="45DEEB8F">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变电站北侧围墙外25m</w:t>
            </w:r>
          </w:p>
        </w:tc>
        <w:tc>
          <w:tcPr>
            <w:tcW w:w="1083" w:type="dxa"/>
            <w:vAlign w:val="center"/>
          </w:tcPr>
          <w:p w14:paraId="13FFB939">
            <w:pPr>
              <w:spacing w:line="240" w:lineRule="atLeast"/>
              <w:jc w:val="center"/>
              <w:rPr>
                <w:bCs/>
                <w:color w:val="auto"/>
                <w:szCs w:val="21"/>
                <w:highlight w:val="none"/>
              </w:rPr>
            </w:pPr>
            <w:r>
              <w:rPr>
                <w:bCs/>
                <w:color w:val="auto"/>
                <w:szCs w:val="21"/>
                <w:highlight w:val="none"/>
              </w:rPr>
              <w:t>1.5</w:t>
            </w:r>
          </w:p>
        </w:tc>
        <w:tc>
          <w:tcPr>
            <w:tcW w:w="1667" w:type="dxa"/>
            <w:vAlign w:val="center"/>
          </w:tcPr>
          <w:p w14:paraId="5471853D">
            <w:pPr>
              <w:jc w:val="center"/>
              <w:rPr>
                <w:color w:val="auto"/>
                <w:szCs w:val="21"/>
                <w:highlight w:val="none"/>
              </w:rPr>
            </w:pPr>
            <w:r>
              <w:rPr>
                <w:rFonts w:hint="eastAsia"/>
                <w:color w:val="auto"/>
                <w:szCs w:val="21"/>
                <w:highlight w:val="none"/>
              </w:rPr>
              <w:t>65.24</w:t>
            </w:r>
          </w:p>
        </w:tc>
        <w:tc>
          <w:tcPr>
            <w:tcW w:w="1639" w:type="dxa"/>
            <w:vAlign w:val="center"/>
          </w:tcPr>
          <w:p w14:paraId="22116495">
            <w:pPr>
              <w:jc w:val="center"/>
              <w:rPr>
                <w:color w:val="auto"/>
                <w:szCs w:val="21"/>
                <w:highlight w:val="none"/>
              </w:rPr>
            </w:pPr>
            <w:r>
              <w:rPr>
                <w:rFonts w:hint="eastAsia"/>
                <w:color w:val="auto"/>
                <w:szCs w:val="21"/>
                <w:highlight w:val="none"/>
              </w:rPr>
              <w:t>0.1329</w:t>
            </w:r>
          </w:p>
        </w:tc>
      </w:tr>
      <w:tr w14:paraId="6E5F3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5CF5B462">
            <w:pPr>
              <w:spacing w:line="240" w:lineRule="atLeast"/>
              <w:jc w:val="center"/>
              <w:rPr>
                <w:bCs/>
                <w:color w:val="auto"/>
                <w:szCs w:val="21"/>
                <w:highlight w:val="none"/>
              </w:rPr>
            </w:pPr>
            <w:r>
              <w:rPr>
                <w:bCs/>
                <w:color w:val="auto"/>
                <w:szCs w:val="21"/>
                <w:highlight w:val="none"/>
              </w:rPr>
              <w:t>12</w:t>
            </w:r>
          </w:p>
        </w:tc>
        <w:tc>
          <w:tcPr>
            <w:tcW w:w="3426" w:type="dxa"/>
            <w:vAlign w:val="center"/>
          </w:tcPr>
          <w:p w14:paraId="591600FF">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变电站北侧围墙外30m</w:t>
            </w:r>
          </w:p>
        </w:tc>
        <w:tc>
          <w:tcPr>
            <w:tcW w:w="1083" w:type="dxa"/>
            <w:vAlign w:val="center"/>
          </w:tcPr>
          <w:p w14:paraId="3C3117F8">
            <w:pPr>
              <w:jc w:val="center"/>
              <w:rPr>
                <w:bCs/>
                <w:color w:val="auto"/>
                <w:szCs w:val="21"/>
                <w:highlight w:val="none"/>
              </w:rPr>
            </w:pPr>
            <w:r>
              <w:rPr>
                <w:bCs/>
                <w:color w:val="auto"/>
                <w:szCs w:val="21"/>
                <w:highlight w:val="none"/>
              </w:rPr>
              <w:t>1.5</w:t>
            </w:r>
          </w:p>
        </w:tc>
        <w:tc>
          <w:tcPr>
            <w:tcW w:w="1667" w:type="dxa"/>
            <w:vAlign w:val="center"/>
          </w:tcPr>
          <w:p w14:paraId="42715D0F">
            <w:pPr>
              <w:jc w:val="center"/>
              <w:rPr>
                <w:color w:val="auto"/>
                <w:szCs w:val="21"/>
                <w:highlight w:val="none"/>
              </w:rPr>
            </w:pPr>
            <w:r>
              <w:rPr>
                <w:rFonts w:hint="eastAsia"/>
                <w:color w:val="auto"/>
                <w:szCs w:val="21"/>
                <w:highlight w:val="none"/>
              </w:rPr>
              <w:t>51.02</w:t>
            </w:r>
          </w:p>
        </w:tc>
        <w:tc>
          <w:tcPr>
            <w:tcW w:w="1639" w:type="dxa"/>
            <w:vAlign w:val="center"/>
          </w:tcPr>
          <w:p w14:paraId="120BEBBB">
            <w:pPr>
              <w:jc w:val="center"/>
              <w:rPr>
                <w:color w:val="auto"/>
                <w:szCs w:val="21"/>
                <w:highlight w:val="none"/>
              </w:rPr>
            </w:pPr>
            <w:r>
              <w:rPr>
                <w:rFonts w:hint="eastAsia"/>
                <w:color w:val="auto"/>
                <w:szCs w:val="21"/>
                <w:highlight w:val="none"/>
              </w:rPr>
              <w:t>0.1203</w:t>
            </w:r>
          </w:p>
        </w:tc>
      </w:tr>
      <w:tr w14:paraId="77168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5517F933">
            <w:pPr>
              <w:spacing w:line="240" w:lineRule="atLeast"/>
              <w:jc w:val="center"/>
              <w:rPr>
                <w:bCs/>
                <w:color w:val="auto"/>
                <w:szCs w:val="21"/>
                <w:highlight w:val="none"/>
              </w:rPr>
            </w:pPr>
            <w:r>
              <w:rPr>
                <w:bCs/>
                <w:color w:val="auto"/>
                <w:szCs w:val="21"/>
                <w:highlight w:val="none"/>
              </w:rPr>
              <w:t>13</w:t>
            </w:r>
          </w:p>
        </w:tc>
        <w:tc>
          <w:tcPr>
            <w:tcW w:w="3426" w:type="dxa"/>
            <w:vAlign w:val="center"/>
          </w:tcPr>
          <w:p w14:paraId="13BFF0AC">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变电站北侧围墙外35m</w:t>
            </w:r>
          </w:p>
        </w:tc>
        <w:tc>
          <w:tcPr>
            <w:tcW w:w="1083" w:type="dxa"/>
            <w:vAlign w:val="center"/>
          </w:tcPr>
          <w:p w14:paraId="4580B37A">
            <w:pPr>
              <w:spacing w:line="240" w:lineRule="atLeast"/>
              <w:jc w:val="center"/>
              <w:rPr>
                <w:bCs/>
                <w:color w:val="auto"/>
                <w:szCs w:val="21"/>
                <w:highlight w:val="none"/>
              </w:rPr>
            </w:pPr>
            <w:r>
              <w:rPr>
                <w:bCs/>
                <w:color w:val="auto"/>
                <w:szCs w:val="21"/>
                <w:highlight w:val="none"/>
              </w:rPr>
              <w:t>1.5</w:t>
            </w:r>
          </w:p>
        </w:tc>
        <w:tc>
          <w:tcPr>
            <w:tcW w:w="1667" w:type="dxa"/>
            <w:vAlign w:val="center"/>
          </w:tcPr>
          <w:p w14:paraId="7572239D">
            <w:pPr>
              <w:jc w:val="center"/>
              <w:rPr>
                <w:color w:val="auto"/>
                <w:szCs w:val="21"/>
                <w:highlight w:val="none"/>
              </w:rPr>
            </w:pPr>
            <w:r>
              <w:rPr>
                <w:rFonts w:hint="eastAsia"/>
                <w:color w:val="auto"/>
                <w:szCs w:val="21"/>
                <w:highlight w:val="none"/>
              </w:rPr>
              <w:t>36.54</w:t>
            </w:r>
          </w:p>
        </w:tc>
        <w:tc>
          <w:tcPr>
            <w:tcW w:w="1639" w:type="dxa"/>
            <w:vAlign w:val="center"/>
          </w:tcPr>
          <w:p w14:paraId="36CD2523">
            <w:pPr>
              <w:jc w:val="center"/>
              <w:rPr>
                <w:color w:val="auto"/>
                <w:szCs w:val="21"/>
                <w:highlight w:val="none"/>
              </w:rPr>
            </w:pPr>
            <w:r>
              <w:rPr>
                <w:rFonts w:hint="eastAsia"/>
                <w:color w:val="auto"/>
                <w:szCs w:val="21"/>
                <w:highlight w:val="none"/>
              </w:rPr>
              <w:t>0.1087</w:t>
            </w:r>
          </w:p>
        </w:tc>
      </w:tr>
      <w:tr w14:paraId="66398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364BE266">
            <w:pPr>
              <w:spacing w:line="240" w:lineRule="atLeast"/>
              <w:jc w:val="center"/>
              <w:rPr>
                <w:bCs/>
                <w:color w:val="auto"/>
                <w:szCs w:val="21"/>
                <w:highlight w:val="none"/>
              </w:rPr>
            </w:pPr>
            <w:r>
              <w:rPr>
                <w:bCs/>
                <w:color w:val="auto"/>
                <w:szCs w:val="21"/>
                <w:highlight w:val="none"/>
              </w:rPr>
              <w:t>14</w:t>
            </w:r>
          </w:p>
        </w:tc>
        <w:tc>
          <w:tcPr>
            <w:tcW w:w="3426" w:type="dxa"/>
            <w:vAlign w:val="center"/>
          </w:tcPr>
          <w:p w14:paraId="18392704">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变电站北侧围墙外40m</w:t>
            </w:r>
          </w:p>
        </w:tc>
        <w:tc>
          <w:tcPr>
            <w:tcW w:w="1083" w:type="dxa"/>
            <w:vAlign w:val="center"/>
          </w:tcPr>
          <w:p w14:paraId="639A94A0">
            <w:pPr>
              <w:spacing w:line="240" w:lineRule="atLeast"/>
              <w:jc w:val="center"/>
              <w:rPr>
                <w:bCs/>
                <w:color w:val="auto"/>
                <w:szCs w:val="21"/>
                <w:highlight w:val="none"/>
              </w:rPr>
            </w:pPr>
            <w:r>
              <w:rPr>
                <w:bCs/>
                <w:color w:val="auto"/>
                <w:szCs w:val="21"/>
                <w:highlight w:val="none"/>
              </w:rPr>
              <w:t>1.5</w:t>
            </w:r>
          </w:p>
        </w:tc>
        <w:tc>
          <w:tcPr>
            <w:tcW w:w="1667" w:type="dxa"/>
            <w:vAlign w:val="center"/>
          </w:tcPr>
          <w:p w14:paraId="3C44A59A">
            <w:pPr>
              <w:jc w:val="center"/>
              <w:rPr>
                <w:color w:val="auto"/>
                <w:szCs w:val="21"/>
                <w:highlight w:val="none"/>
              </w:rPr>
            </w:pPr>
            <w:r>
              <w:rPr>
                <w:rFonts w:hint="eastAsia"/>
                <w:color w:val="auto"/>
                <w:szCs w:val="21"/>
                <w:highlight w:val="none"/>
              </w:rPr>
              <w:t>25.68</w:t>
            </w:r>
          </w:p>
        </w:tc>
        <w:tc>
          <w:tcPr>
            <w:tcW w:w="1639" w:type="dxa"/>
            <w:vAlign w:val="center"/>
          </w:tcPr>
          <w:p w14:paraId="3091D8DE">
            <w:pPr>
              <w:jc w:val="center"/>
              <w:rPr>
                <w:color w:val="auto"/>
                <w:szCs w:val="21"/>
                <w:highlight w:val="none"/>
              </w:rPr>
            </w:pPr>
            <w:r>
              <w:rPr>
                <w:rFonts w:hint="eastAsia"/>
                <w:color w:val="auto"/>
                <w:szCs w:val="21"/>
                <w:highlight w:val="none"/>
              </w:rPr>
              <w:t>0.0951</w:t>
            </w:r>
          </w:p>
        </w:tc>
      </w:tr>
      <w:tr w14:paraId="45513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47133054">
            <w:pPr>
              <w:spacing w:line="240" w:lineRule="atLeast"/>
              <w:jc w:val="center"/>
              <w:rPr>
                <w:bCs/>
                <w:color w:val="auto"/>
                <w:szCs w:val="21"/>
                <w:highlight w:val="none"/>
              </w:rPr>
            </w:pPr>
            <w:r>
              <w:rPr>
                <w:bCs/>
                <w:color w:val="auto"/>
                <w:szCs w:val="21"/>
                <w:highlight w:val="none"/>
              </w:rPr>
              <w:t>15</w:t>
            </w:r>
          </w:p>
        </w:tc>
        <w:tc>
          <w:tcPr>
            <w:tcW w:w="3426" w:type="dxa"/>
            <w:vAlign w:val="center"/>
          </w:tcPr>
          <w:p w14:paraId="4631DD82">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变电站北侧围墙外45m</w:t>
            </w:r>
          </w:p>
        </w:tc>
        <w:tc>
          <w:tcPr>
            <w:tcW w:w="1083" w:type="dxa"/>
            <w:vAlign w:val="center"/>
          </w:tcPr>
          <w:p w14:paraId="020B99A6">
            <w:pPr>
              <w:spacing w:line="240" w:lineRule="atLeast"/>
              <w:jc w:val="center"/>
              <w:rPr>
                <w:bCs/>
                <w:color w:val="auto"/>
                <w:szCs w:val="21"/>
                <w:highlight w:val="none"/>
              </w:rPr>
            </w:pPr>
            <w:r>
              <w:rPr>
                <w:bCs/>
                <w:color w:val="auto"/>
                <w:szCs w:val="21"/>
                <w:highlight w:val="none"/>
              </w:rPr>
              <w:t>1.5</w:t>
            </w:r>
          </w:p>
        </w:tc>
        <w:tc>
          <w:tcPr>
            <w:tcW w:w="1667" w:type="dxa"/>
            <w:vAlign w:val="center"/>
          </w:tcPr>
          <w:p w14:paraId="12122B7B">
            <w:pPr>
              <w:jc w:val="center"/>
              <w:rPr>
                <w:color w:val="auto"/>
                <w:szCs w:val="21"/>
                <w:highlight w:val="none"/>
              </w:rPr>
            </w:pPr>
            <w:r>
              <w:rPr>
                <w:rFonts w:hint="eastAsia"/>
                <w:color w:val="auto"/>
                <w:szCs w:val="21"/>
                <w:highlight w:val="none"/>
              </w:rPr>
              <w:t>20.73</w:t>
            </w:r>
          </w:p>
        </w:tc>
        <w:tc>
          <w:tcPr>
            <w:tcW w:w="1639" w:type="dxa"/>
            <w:vAlign w:val="center"/>
          </w:tcPr>
          <w:p w14:paraId="5E1ACDAC">
            <w:pPr>
              <w:jc w:val="center"/>
              <w:rPr>
                <w:color w:val="auto"/>
                <w:szCs w:val="21"/>
                <w:highlight w:val="none"/>
              </w:rPr>
            </w:pPr>
            <w:r>
              <w:rPr>
                <w:rFonts w:hint="eastAsia"/>
                <w:color w:val="auto"/>
                <w:szCs w:val="21"/>
                <w:highlight w:val="none"/>
              </w:rPr>
              <w:t>0.0876</w:t>
            </w:r>
          </w:p>
        </w:tc>
      </w:tr>
      <w:tr w14:paraId="0A59E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576A071A">
            <w:pPr>
              <w:spacing w:line="240" w:lineRule="atLeast"/>
              <w:jc w:val="center"/>
              <w:rPr>
                <w:bCs/>
                <w:color w:val="auto"/>
                <w:szCs w:val="21"/>
                <w:highlight w:val="none"/>
              </w:rPr>
            </w:pPr>
            <w:r>
              <w:rPr>
                <w:rFonts w:hint="eastAsia"/>
                <w:bCs/>
                <w:color w:val="auto"/>
                <w:szCs w:val="21"/>
                <w:highlight w:val="none"/>
              </w:rPr>
              <w:t>16</w:t>
            </w:r>
          </w:p>
        </w:tc>
        <w:tc>
          <w:tcPr>
            <w:tcW w:w="3426" w:type="dxa"/>
            <w:vAlign w:val="center"/>
          </w:tcPr>
          <w:p w14:paraId="199F57B3">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变电站北侧围墙外50m</w:t>
            </w:r>
          </w:p>
        </w:tc>
        <w:tc>
          <w:tcPr>
            <w:tcW w:w="1083" w:type="dxa"/>
            <w:vAlign w:val="center"/>
          </w:tcPr>
          <w:p w14:paraId="10F42D0C">
            <w:pPr>
              <w:spacing w:line="240" w:lineRule="atLeast"/>
              <w:jc w:val="center"/>
              <w:rPr>
                <w:bCs/>
                <w:color w:val="auto"/>
                <w:szCs w:val="21"/>
                <w:highlight w:val="none"/>
              </w:rPr>
            </w:pPr>
            <w:r>
              <w:rPr>
                <w:bCs/>
                <w:color w:val="auto"/>
                <w:szCs w:val="21"/>
                <w:highlight w:val="none"/>
              </w:rPr>
              <w:t>1.5</w:t>
            </w:r>
          </w:p>
        </w:tc>
        <w:tc>
          <w:tcPr>
            <w:tcW w:w="1667" w:type="dxa"/>
            <w:vAlign w:val="center"/>
          </w:tcPr>
          <w:p w14:paraId="0270CF9F">
            <w:pPr>
              <w:jc w:val="center"/>
              <w:rPr>
                <w:color w:val="auto"/>
                <w:szCs w:val="21"/>
                <w:highlight w:val="none"/>
              </w:rPr>
            </w:pPr>
            <w:r>
              <w:rPr>
                <w:rFonts w:hint="eastAsia"/>
                <w:color w:val="auto"/>
                <w:szCs w:val="21"/>
                <w:highlight w:val="none"/>
              </w:rPr>
              <w:t>18.32</w:t>
            </w:r>
          </w:p>
        </w:tc>
        <w:tc>
          <w:tcPr>
            <w:tcW w:w="1639" w:type="dxa"/>
            <w:vAlign w:val="center"/>
          </w:tcPr>
          <w:p w14:paraId="3CD9CB52">
            <w:pPr>
              <w:jc w:val="center"/>
              <w:rPr>
                <w:color w:val="auto"/>
                <w:szCs w:val="21"/>
                <w:highlight w:val="none"/>
              </w:rPr>
            </w:pPr>
            <w:r>
              <w:rPr>
                <w:rFonts w:hint="eastAsia"/>
                <w:color w:val="auto"/>
                <w:szCs w:val="21"/>
                <w:highlight w:val="none"/>
              </w:rPr>
              <w:t>0.0803</w:t>
            </w:r>
          </w:p>
        </w:tc>
      </w:tr>
      <w:tr w14:paraId="74EA5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49" w:type="dxa"/>
            <w:vAlign w:val="center"/>
          </w:tcPr>
          <w:p w14:paraId="368035D8">
            <w:pPr>
              <w:spacing w:line="240" w:lineRule="atLeast"/>
              <w:jc w:val="center"/>
              <w:rPr>
                <w:bCs/>
                <w:color w:val="auto"/>
                <w:szCs w:val="21"/>
                <w:highlight w:val="none"/>
              </w:rPr>
            </w:pPr>
            <w:r>
              <w:rPr>
                <w:rFonts w:hint="eastAsia"/>
                <w:bCs/>
                <w:color w:val="auto"/>
                <w:szCs w:val="21"/>
                <w:highlight w:val="none"/>
              </w:rPr>
              <w:t>17</w:t>
            </w:r>
          </w:p>
        </w:tc>
        <w:tc>
          <w:tcPr>
            <w:tcW w:w="3426" w:type="dxa"/>
            <w:vAlign w:val="center"/>
          </w:tcPr>
          <w:p w14:paraId="6F9E6D51">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变电站北侧围墙外5m（8#）</w:t>
            </w:r>
          </w:p>
        </w:tc>
        <w:tc>
          <w:tcPr>
            <w:tcW w:w="1083" w:type="dxa"/>
            <w:vAlign w:val="center"/>
          </w:tcPr>
          <w:p w14:paraId="2BD4B211">
            <w:pPr>
              <w:spacing w:line="240" w:lineRule="atLeast"/>
              <w:jc w:val="center"/>
              <w:rPr>
                <w:bCs/>
                <w:color w:val="auto"/>
                <w:szCs w:val="21"/>
                <w:highlight w:val="none"/>
              </w:rPr>
            </w:pPr>
            <w:r>
              <w:rPr>
                <w:bCs/>
                <w:color w:val="auto"/>
                <w:szCs w:val="21"/>
                <w:highlight w:val="none"/>
              </w:rPr>
              <w:t>1.5</w:t>
            </w:r>
          </w:p>
        </w:tc>
        <w:tc>
          <w:tcPr>
            <w:tcW w:w="1667" w:type="dxa"/>
            <w:vAlign w:val="center"/>
          </w:tcPr>
          <w:p w14:paraId="19BFF08C">
            <w:pPr>
              <w:jc w:val="center"/>
              <w:rPr>
                <w:color w:val="auto"/>
                <w:szCs w:val="21"/>
                <w:highlight w:val="none"/>
              </w:rPr>
            </w:pPr>
            <w:r>
              <w:rPr>
                <w:rFonts w:hint="eastAsia"/>
                <w:color w:val="auto"/>
                <w:szCs w:val="21"/>
                <w:highlight w:val="none"/>
              </w:rPr>
              <w:t>143.7</w:t>
            </w:r>
          </w:p>
        </w:tc>
        <w:tc>
          <w:tcPr>
            <w:tcW w:w="1639" w:type="dxa"/>
            <w:vAlign w:val="center"/>
          </w:tcPr>
          <w:p w14:paraId="737BF170">
            <w:pPr>
              <w:jc w:val="center"/>
              <w:rPr>
                <w:color w:val="auto"/>
                <w:szCs w:val="21"/>
                <w:highlight w:val="none"/>
              </w:rPr>
            </w:pPr>
            <w:r>
              <w:rPr>
                <w:rFonts w:hint="eastAsia"/>
                <w:color w:val="auto"/>
                <w:szCs w:val="21"/>
                <w:highlight w:val="none"/>
              </w:rPr>
              <w:t>0.1742</w:t>
            </w:r>
          </w:p>
        </w:tc>
      </w:tr>
    </w:tbl>
    <w:p w14:paraId="0FE40EFA">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由上表可知，龙泉110kV变电站厂界围墙外5m监测的工频电场强度为（14.47~165.3）V/m</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工频磁感应强度为（0.1355~0.5245）μT；</w:t>
      </w:r>
      <w:r>
        <w:rPr>
          <w:rFonts w:hint="eastAsia" w:ascii="Times New Roman" w:hAnsi="Times New Roman" w:eastAsia="宋体" w:cs="Times New Roman"/>
          <w:color w:val="auto"/>
          <w:kern w:val="0"/>
          <w:sz w:val="24"/>
          <w:highlight w:val="none"/>
          <w:lang w:val="en-US" w:eastAsia="zh-CN"/>
        </w:rPr>
        <w:t>变电站北侧</w:t>
      </w:r>
      <w:r>
        <w:rPr>
          <w:rFonts w:hint="default" w:ascii="Times New Roman" w:hAnsi="Times New Roman" w:eastAsia="宋体" w:cs="Times New Roman"/>
          <w:color w:val="auto"/>
          <w:kern w:val="0"/>
          <w:sz w:val="24"/>
          <w:highlight w:val="none"/>
        </w:rPr>
        <w:t>围墙外</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m-50m衰减断面工频电场强度为（18.32~1</w:t>
      </w:r>
      <w:r>
        <w:rPr>
          <w:rFonts w:hint="eastAsia" w:ascii="Times New Roman" w:hAnsi="Times New Roman" w:eastAsia="宋体" w:cs="Times New Roman"/>
          <w:color w:val="auto"/>
          <w:kern w:val="0"/>
          <w:sz w:val="24"/>
          <w:highlight w:val="none"/>
          <w:lang w:val="en-US" w:eastAsia="zh-CN"/>
        </w:rPr>
        <w:t>65.3</w:t>
      </w:r>
      <w:r>
        <w:rPr>
          <w:rFonts w:hint="default" w:ascii="Times New Roman" w:hAnsi="Times New Roman" w:eastAsia="宋体" w:cs="Times New Roman"/>
          <w:color w:val="auto"/>
          <w:kern w:val="0"/>
          <w:sz w:val="24"/>
          <w:highlight w:val="none"/>
        </w:rPr>
        <w:t>）V/m</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工频磁感应强度为（0.0803~0.</w:t>
      </w:r>
      <w:r>
        <w:rPr>
          <w:rFonts w:hint="eastAsia" w:ascii="Times New Roman" w:hAnsi="Times New Roman" w:eastAsia="宋体" w:cs="Times New Roman"/>
          <w:color w:val="auto"/>
          <w:kern w:val="0"/>
          <w:sz w:val="24"/>
          <w:highlight w:val="none"/>
          <w:lang w:val="en-US" w:eastAsia="zh-CN"/>
        </w:rPr>
        <w:t>/5245</w:t>
      </w:r>
      <w:r>
        <w:rPr>
          <w:rFonts w:hint="default" w:ascii="Times New Roman" w:hAnsi="Times New Roman" w:eastAsia="宋体" w:cs="Times New Roman"/>
          <w:color w:val="auto"/>
          <w:kern w:val="0"/>
          <w:sz w:val="24"/>
          <w:highlight w:val="none"/>
        </w:rPr>
        <w:t>）μT</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以上</w:t>
      </w:r>
      <w:r>
        <w:rPr>
          <w:rFonts w:hint="default" w:ascii="Times New Roman" w:hAnsi="Times New Roman" w:eastAsia="宋体" w:cs="Times New Roman"/>
          <w:color w:val="auto"/>
          <w:kern w:val="0"/>
          <w:sz w:val="24"/>
          <w:highlight w:val="none"/>
        </w:rPr>
        <w:t>所有测点监测值均小于《电磁环境控制限值》（GB8702-2014）中规定的4000V/m和100μT</w:t>
      </w:r>
      <w:r>
        <w:rPr>
          <w:rFonts w:hint="eastAsia" w:ascii="Times New Roman" w:hAnsi="Times New Roman" w:eastAsia="宋体" w:cs="Times New Roman"/>
          <w:color w:val="auto"/>
          <w:kern w:val="0"/>
          <w:sz w:val="24"/>
          <w:highlight w:val="none"/>
          <w:lang w:val="en-US" w:eastAsia="zh-CN"/>
        </w:rPr>
        <w:t>公众曝露控制</w:t>
      </w:r>
      <w:r>
        <w:rPr>
          <w:rFonts w:hint="default" w:ascii="Times New Roman" w:hAnsi="Times New Roman" w:eastAsia="宋体" w:cs="Times New Roman"/>
          <w:color w:val="auto"/>
          <w:kern w:val="0"/>
          <w:sz w:val="24"/>
          <w:highlight w:val="none"/>
        </w:rPr>
        <w:t>限值。</w:t>
      </w:r>
    </w:p>
    <w:p w14:paraId="0080238E">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根据类比监测结果可</w:t>
      </w:r>
      <w:r>
        <w:rPr>
          <w:rFonts w:hint="eastAsia" w:ascii="Times New Roman" w:hAnsi="Times New Roman" w:eastAsia="宋体" w:cs="Times New Roman"/>
          <w:color w:val="auto"/>
          <w:kern w:val="0"/>
          <w:sz w:val="24"/>
          <w:highlight w:val="none"/>
          <w:lang w:val="en-US" w:eastAsia="zh-CN"/>
        </w:rPr>
        <w:t>知</w:t>
      </w:r>
      <w:r>
        <w:rPr>
          <w:rFonts w:hint="default" w:ascii="Times New Roman" w:hAnsi="Times New Roman" w:eastAsia="宋体" w:cs="Times New Roman"/>
          <w:color w:val="auto"/>
          <w:kern w:val="0"/>
          <w:sz w:val="24"/>
          <w:highlight w:val="none"/>
        </w:rPr>
        <w:t>，本项目变电站建成正常运行</w:t>
      </w:r>
      <w:r>
        <w:rPr>
          <w:rFonts w:hint="eastAsia" w:cs="Times New Roman"/>
          <w:color w:val="auto"/>
          <w:kern w:val="0"/>
          <w:sz w:val="24"/>
          <w:highlight w:val="none"/>
          <w:lang w:val="en-US" w:eastAsia="zh-CN"/>
        </w:rPr>
        <w:t>对变电站围墙外及电磁环境敏感目标处</w:t>
      </w:r>
      <w:r>
        <w:rPr>
          <w:rFonts w:hint="default" w:ascii="Times New Roman" w:hAnsi="Times New Roman" w:eastAsia="宋体" w:cs="Times New Roman"/>
          <w:color w:val="auto"/>
          <w:kern w:val="0"/>
          <w:sz w:val="24"/>
          <w:highlight w:val="none"/>
        </w:rPr>
        <w:t>产生的工频电场强度、工频磁感应强度均小于《电磁环境控制限值》（GB8702-2014）中规定的4000V/m和100μT</w:t>
      </w:r>
      <w:r>
        <w:rPr>
          <w:rFonts w:hint="eastAsia" w:ascii="Times New Roman" w:hAnsi="Times New Roman" w:eastAsia="宋体" w:cs="Times New Roman"/>
          <w:color w:val="auto"/>
          <w:kern w:val="0"/>
          <w:sz w:val="24"/>
          <w:highlight w:val="none"/>
          <w:lang w:val="en-US" w:eastAsia="zh-CN"/>
        </w:rPr>
        <w:t>公众曝露控制</w:t>
      </w:r>
      <w:r>
        <w:rPr>
          <w:rFonts w:hint="default" w:ascii="Times New Roman" w:hAnsi="Times New Roman" w:eastAsia="宋体" w:cs="Times New Roman"/>
          <w:color w:val="auto"/>
          <w:kern w:val="0"/>
          <w:sz w:val="24"/>
          <w:highlight w:val="none"/>
        </w:rPr>
        <w:t>限值。</w:t>
      </w:r>
    </w:p>
    <w:p w14:paraId="1F15CABA">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rPr>
        <w:t>、输电线路工程</w:t>
      </w:r>
    </w:p>
    <w:p w14:paraId="220F03A9">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（1）预测模式</w:t>
      </w:r>
    </w:p>
    <w:p w14:paraId="350C25D0">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本项目架空线路的工频电场、工频磁场影响预测将参照《环境影响评价技术导则 输变电》（HJ24-2020）附录C、D推荐的计算模式进行。</w:t>
      </w:r>
    </w:p>
    <w:p w14:paraId="2E1377FA">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①高压交流架空输电线路下空间工频电场强度的计算（附录C）</w:t>
      </w:r>
    </w:p>
    <w:p w14:paraId="3BEE7C60">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a．单位长度导线上等效电荷的计算</w:t>
      </w:r>
    </w:p>
    <w:p w14:paraId="47263E73">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高压输电线上的等效电荷是线电荷，由于高压输电线半径r远远小于架设高度h，所以等效电荷的位置可以认为是在输电导线的几何中心。</w:t>
      </w:r>
    </w:p>
    <w:p w14:paraId="213697DF">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设输电线路为无限长并且平行于地面，地面可视为良导体，利用镜像法计算输电线上的等效电荷。</w:t>
      </w:r>
    </w:p>
    <w:p w14:paraId="466D1489">
      <w:pPr>
        <w:adjustRightInd w:val="0"/>
        <w:snapToGrid w:val="0"/>
        <w:spacing w:line="360" w:lineRule="auto"/>
        <w:ind w:firstLine="480" w:firstLineChars="200"/>
        <w:jc w:val="left"/>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为了计算多导线线路中导线上的等效电荷，可写出下列矩阵方程：</w:t>
      </w:r>
    </w:p>
    <w:p w14:paraId="61B9B365">
      <w:pPr>
        <w:spacing w:line="360" w:lineRule="auto"/>
        <w:ind w:firstLine="2400" w:firstLineChars="1000"/>
        <w:rPr>
          <w:bCs/>
          <w:color w:val="auto"/>
          <w:sz w:val="24"/>
          <w:highlight w:val="none"/>
        </w:rPr>
      </w:pPr>
      <w:r>
        <w:rPr>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3540125</wp:posOffset>
                </wp:positionH>
                <wp:positionV relativeFrom="paragraph">
                  <wp:posOffset>-32385</wp:posOffset>
                </wp:positionV>
                <wp:extent cx="352425" cy="1009650"/>
                <wp:effectExtent l="4445" t="4445" r="5080" b="14605"/>
                <wp:wrapNone/>
                <wp:docPr id="13" name="双括号 13"/>
                <wp:cNvGraphicFramePr/>
                <a:graphic xmlns:a="http://schemas.openxmlformats.org/drawingml/2006/main">
                  <a:graphicData uri="http://schemas.microsoft.com/office/word/2010/wordprocessingShape">
                    <wps:wsp>
                      <wps:cNvSpPr/>
                      <wps:spPr>
                        <a:xfrm>
                          <a:off x="0" y="0"/>
                          <a:ext cx="352425" cy="1009650"/>
                        </a:xfrm>
                        <a:prstGeom prst="bracketPair">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85" type="#_x0000_t185" style="position:absolute;left:0pt;margin-left:278.75pt;margin-top:-2.55pt;height:79.5pt;width:27.75pt;z-index:251664384;mso-width-relative:page;mso-height-relative:page;" filled="f" stroked="t" coordsize="21600,21600" o:gfxdata="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nZp2QAAAAoBAAAPAAAAAAAA&#10;AAEAIAAAACIAAABkcnMvZG93bnJldi54bWxQSwECFAAUAAAACACHTuJAmyM9KRECAAAjBAAADgAA&#10;AAAAAAABACAAAAAoAQAAZHJzL2Uyb0RvYy54bWxQSwUGAAAAAAYABgBZAQAAqwUAAAAA&#10;" adj="3600">
                <v:fill on="f" focussize="0,0"/>
                <v:stroke color="#000000"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2073275</wp:posOffset>
                </wp:positionH>
                <wp:positionV relativeFrom="paragraph">
                  <wp:posOffset>-41910</wp:posOffset>
                </wp:positionV>
                <wp:extent cx="1342390" cy="1009650"/>
                <wp:effectExtent l="4445" t="4445" r="5715" b="14605"/>
                <wp:wrapNone/>
                <wp:docPr id="68" name="双括号 68"/>
                <wp:cNvGraphicFramePr/>
                <a:graphic xmlns:a="http://schemas.openxmlformats.org/drawingml/2006/main">
                  <a:graphicData uri="http://schemas.microsoft.com/office/word/2010/wordprocessingShape">
                    <wps:wsp>
                      <wps:cNvSpPr/>
                      <wps:spPr>
                        <a:xfrm>
                          <a:off x="0" y="0"/>
                          <a:ext cx="1342390" cy="1009650"/>
                        </a:xfrm>
                        <a:prstGeom prst="bracketPair">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85" type="#_x0000_t185" style="position:absolute;left:0pt;margin-left:163.25pt;margin-top:-3.3pt;height:79.5pt;width:105.7pt;z-index:251663360;mso-width-relative:page;mso-height-relative:page;" filled="f" stroked="t" coordsize="21600,21600" o:gfxdata="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Gw5F2AAAAAoBAAAPAAAAAAAA&#10;AAEAIAAAACIAAABkcnMvZG93bnJldi54bWxQSwECFAAUAAAACACHTuJAHq6BRhICAAAkBAAADgAA&#10;AAAAAAABACAAAAAnAQAAZHJzL2Uyb0RvYy54bWxQSwUGAAAAAAYABgBZAQAAqwUAAAAA&#10;" adj="3600">
                <v:fill on="f" focussize="0,0"/>
                <v:stroke color="#000000" joinstyle="round"/>
                <v:imagedata o:title=""/>
                <o:lock v:ext="edit" aspectratio="f"/>
              </v:shape>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1435100</wp:posOffset>
                </wp:positionH>
                <wp:positionV relativeFrom="paragraph">
                  <wp:posOffset>-51435</wp:posOffset>
                </wp:positionV>
                <wp:extent cx="352425" cy="1009650"/>
                <wp:effectExtent l="4445" t="4445" r="5080" b="14605"/>
                <wp:wrapNone/>
                <wp:docPr id="19" name="双括号 19"/>
                <wp:cNvGraphicFramePr/>
                <a:graphic xmlns:a="http://schemas.openxmlformats.org/drawingml/2006/main">
                  <a:graphicData uri="http://schemas.microsoft.com/office/word/2010/wordprocessingShape">
                    <wps:wsp>
                      <wps:cNvSpPr/>
                      <wps:spPr>
                        <a:xfrm>
                          <a:off x="0" y="0"/>
                          <a:ext cx="352425" cy="1009650"/>
                        </a:xfrm>
                        <a:prstGeom prst="bracketPair">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85" type="#_x0000_t185" style="position:absolute;left:0pt;margin-left:113pt;margin-top:-4.05pt;height:79.5pt;width:27.75pt;z-index:251662336;mso-width-relative:page;mso-height-relative:page;" filled="f" stroked="t" coordsize="21600,21600" o:gfxdata="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bP0T2gAAAAoBAAAPAAAAAAAA&#10;AAEAIAAAACIAAABkcnMvZG93bnJldi54bWxQSwECFAAUAAAACACHTuJAqEkLNhACAAAjBAAADgAA&#10;AAAAAAABACAAAAApAQAAZHJzL2Uyb0RvYy54bWxQSwUGAAAAAAYABgBZAQAAqwUAAAAA&#10;" adj="3600">
                <v:fill on="f" focussize="0,0"/>
                <v:stroke color="#000000" joinstyle="round"/>
                <v:imagedata o:title=""/>
                <o:lock v:ext="edit" aspectratio="f"/>
              </v:shape>
            </w:pict>
          </mc:Fallback>
        </mc:AlternateContent>
      </w:r>
      <w:r>
        <w:rPr>
          <w:bCs/>
          <w:color w:val="auto"/>
          <w:sz w:val="24"/>
          <w:highlight w:val="none"/>
        </w:rPr>
        <w:t>U</w:t>
      </w:r>
      <w:r>
        <w:rPr>
          <w:bCs/>
          <w:color w:val="auto"/>
          <w:sz w:val="24"/>
          <w:highlight w:val="none"/>
          <w:vertAlign w:val="subscript"/>
        </w:rPr>
        <w:t xml:space="preserve">1          </w:t>
      </w:r>
      <w:r>
        <w:rPr>
          <w:bCs/>
          <w:color w:val="auto"/>
          <w:sz w:val="24"/>
          <w:highlight w:val="none"/>
        </w:rPr>
        <w:t>λ</w:t>
      </w:r>
      <w:r>
        <w:rPr>
          <w:bCs/>
          <w:color w:val="auto"/>
          <w:sz w:val="24"/>
          <w:highlight w:val="none"/>
          <w:vertAlign w:val="subscript"/>
        </w:rPr>
        <w:t xml:space="preserve">11  </w:t>
      </w:r>
      <w:r>
        <w:rPr>
          <w:bCs/>
          <w:color w:val="auto"/>
          <w:sz w:val="24"/>
          <w:highlight w:val="none"/>
        </w:rPr>
        <w:t>λ</w:t>
      </w:r>
      <w:r>
        <w:rPr>
          <w:bCs/>
          <w:color w:val="auto"/>
          <w:sz w:val="24"/>
          <w:highlight w:val="none"/>
          <w:vertAlign w:val="subscript"/>
        </w:rPr>
        <w:t>12</w:t>
      </w:r>
      <w:r>
        <w:rPr>
          <w:bCs/>
          <w:color w:val="auto"/>
          <w:sz w:val="24"/>
          <w:highlight w:val="none"/>
        </w:rPr>
        <w:t xml:space="preserve">  </w:t>
      </w:r>
      <w:r>
        <w:rPr>
          <w:b/>
          <w:color w:val="auto"/>
          <w:sz w:val="24"/>
          <w:highlight w:val="none"/>
        </w:rPr>
        <w:t xml:space="preserve">…  </w:t>
      </w:r>
      <w:r>
        <w:rPr>
          <w:bCs/>
          <w:color w:val="auto"/>
          <w:sz w:val="24"/>
          <w:highlight w:val="none"/>
        </w:rPr>
        <w:t>λ</w:t>
      </w:r>
      <w:r>
        <w:rPr>
          <w:bCs/>
          <w:color w:val="auto"/>
          <w:sz w:val="24"/>
          <w:highlight w:val="none"/>
          <w:vertAlign w:val="subscript"/>
        </w:rPr>
        <w:t xml:space="preserve">1m        </w:t>
      </w:r>
      <w:r>
        <w:rPr>
          <w:bCs/>
          <w:color w:val="auto"/>
          <w:sz w:val="24"/>
          <w:highlight w:val="none"/>
        </w:rPr>
        <w:t>Q</w:t>
      </w:r>
      <w:r>
        <w:rPr>
          <w:bCs/>
          <w:color w:val="auto"/>
          <w:sz w:val="24"/>
          <w:highlight w:val="none"/>
          <w:vertAlign w:val="subscript"/>
        </w:rPr>
        <w:t>1</w:t>
      </w:r>
    </w:p>
    <w:p w14:paraId="2C240B8D">
      <w:pPr>
        <w:pStyle w:val="8"/>
        <w:ind w:left="0" w:leftChars="0" w:firstLine="2400" w:firstLineChars="1000"/>
        <w:rPr>
          <w:bCs/>
          <w:color w:val="auto"/>
          <w:sz w:val="24"/>
          <w:highlight w:val="none"/>
        </w:rPr>
      </w:pPr>
      <w:r>
        <w:rPr>
          <w:bCs/>
          <w:color w:val="auto"/>
          <w:sz w:val="24"/>
          <w:highlight w:val="none"/>
        </w:rPr>
        <w:t>U</w:t>
      </w:r>
      <w:r>
        <w:rPr>
          <w:bCs/>
          <w:color w:val="auto"/>
          <w:sz w:val="24"/>
          <w:highlight w:val="none"/>
          <w:vertAlign w:val="subscript"/>
        </w:rPr>
        <w:t>2</w:t>
      </w:r>
      <w:r>
        <w:rPr>
          <w:bCs/>
          <w:color w:val="auto"/>
          <w:sz w:val="24"/>
          <w:highlight w:val="none"/>
        </w:rPr>
        <w:t xml:space="preserve">  </w:t>
      </w:r>
      <w:r>
        <w:rPr>
          <w:bCs/>
          <w:color w:val="auto"/>
          <w:sz w:val="24"/>
          <w:highlight w:val="none"/>
          <w:vertAlign w:val="subscript"/>
        </w:rPr>
        <w:t xml:space="preserve"> </w:t>
      </w:r>
      <w:r>
        <w:rPr>
          <w:bCs/>
          <w:color w:val="auto"/>
          <w:sz w:val="24"/>
          <w:highlight w:val="none"/>
        </w:rPr>
        <w:t>=   λ</w:t>
      </w:r>
      <w:r>
        <w:rPr>
          <w:bCs/>
          <w:color w:val="auto"/>
          <w:sz w:val="24"/>
          <w:highlight w:val="none"/>
          <w:vertAlign w:val="subscript"/>
        </w:rPr>
        <w:t xml:space="preserve">21  </w:t>
      </w:r>
      <w:r>
        <w:rPr>
          <w:bCs/>
          <w:color w:val="auto"/>
          <w:sz w:val="24"/>
          <w:highlight w:val="none"/>
        </w:rPr>
        <w:t>λ</w:t>
      </w:r>
      <w:r>
        <w:rPr>
          <w:bCs/>
          <w:color w:val="auto"/>
          <w:sz w:val="24"/>
          <w:highlight w:val="none"/>
          <w:vertAlign w:val="subscript"/>
        </w:rPr>
        <w:t>22</w:t>
      </w:r>
      <w:r>
        <w:rPr>
          <w:bCs/>
          <w:color w:val="auto"/>
          <w:sz w:val="24"/>
          <w:highlight w:val="none"/>
        </w:rPr>
        <w:t xml:space="preserve">  </w:t>
      </w:r>
      <w:r>
        <w:rPr>
          <w:b/>
          <w:color w:val="auto"/>
          <w:sz w:val="24"/>
          <w:highlight w:val="none"/>
        </w:rPr>
        <w:t xml:space="preserve">…  </w:t>
      </w:r>
      <w:r>
        <w:rPr>
          <w:bCs/>
          <w:color w:val="auto"/>
          <w:sz w:val="24"/>
          <w:highlight w:val="none"/>
        </w:rPr>
        <w:t>λ</w:t>
      </w:r>
      <w:r>
        <w:rPr>
          <w:bCs/>
          <w:color w:val="auto"/>
          <w:sz w:val="24"/>
          <w:highlight w:val="none"/>
          <w:vertAlign w:val="subscript"/>
        </w:rPr>
        <w:t xml:space="preserve">2m       </w:t>
      </w:r>
      <w:r>
        <w:rPr>
          <w:bCs/>
          <w:color w:val="auto"/>
          <w:sz w:val="24"/>
          <w:highlight w:val="none"/>
        </w:rPr>
        <w:t>Q</w:t>
      </w:r>
      <w:r>
        <w:rPr>
          <w:bCs/>
          <w:color w:val="auto"/>
          <w:sz w:val="24"/>
          <w:highlight w:val="none"/>
          <w:vertAlign w:val="subscript"/>
        </w:rPr>
        <w:t>2</w:t>
      </w:r>
    </w:p>
    <w:p w14:paraId="7DDBDC3D">
      <w:pPr>
        <w:pStyle w:val="8"/>
        <w:ind w:firstLine="2168" w:firstLineChars="900"/>
        <w:rPr>
          <w:bCs/>
          <w:color w:val="auto"/>
          <w:sz w:val="24"/>
          <w:highlight w:val="none"/>
        </w:rPr>
      </w:pPr>
      <w:r>
        <w:rPr>
          <w:b/>
          <w:color w:val="auto"/>
          <w:sz w:val="24"/>
          <w:highlight w:val="none"/>
        </w:rPr>
        <w:t xml:space="preserve">⁞        ⁞  </w:t>
      </w:r>
      <w:r>
        <w:rPr>
          <w:bCs/>
          <w:color w:val="auto"/>
          <w:sz w:val="24"/>
          <w:highlight w:val="none"/>
        </w:rPr>
        <w:t xml:space="preserve">                </w:t>
      </w:r>
      <w:r>
        <w:rPr>
          <w:b/>
          <w:color w:val="auto"/>
          <w:sz w:val="24"/>
          <w:highlight w:val="none"/>
        </w:rPr>
        <w:t>⁞</w:t>
      </w:r>
      <w:r>
        <w:rPr>
          <w:bCs/>
          <w:color w:val="auto"/>
          <w:sz w:val="24"/>
          <w:highlight w:val="none"/>
        </w:rPr>
        <w:t xml:space="preserve"> </w:t>
      </w:r>
    </w:p>
    <w:p w14:paraId="769CFCF4">
      <w:pPr>
        <w:pStyle w:val="11"/>
        <w:ind w:firstLine="2400" w:firstLineChars="1000"/>
        <w:jc w:val="both"/>
        <w:rPr>
          <w:rFonts w:ascii="Times New Roman" w:hAnsi="Times New Roman"/>
          <w:bCs/>
          <w:color w:val="auto"/>
          <w:sz w:val="24"/>
          <w:highlight w:val="none"/>
        </w:rPr>
      </w:pPr>
      <w:r>
        <w:rPr>
          <w:rFonts w:ascii="Times New Roman" w:hAnsi="Times New Roman"/>
          <w:bCs/>
          <w:color w:val="auto"/>
          <w:sz w:val="24"/>
          <w:highlight w:val="none"/>
        </w:rPr>
        <w:t>U</w:t>
      </w:r>
      <w:r>
        <w:rPr>
          <w:rFonts w:ascii="Times New Roman" w:hAnsi="Times New Roman"/>
          <w:bCs/>
          <w:color w:val="auto"/>
          <w:sz w:val="24"/>
          <w:highlight w:val="none"/>
          <w:vertAlign w:val="subscript"/>
        </w:rPr>
        <w:t xml:space="preserve">m         </w:t>
      </w:r>
      <w:r>
        <w:rPr>
          <w:rFonts w:ascii="Times New Roman" w:hAnsi="Times New Roman"/>
          <w:bCs/>
          <w:color w:val="auto"/>
          <w:sz w:val="24"/>
          <w:highlight w:val="none"/>
        </w:rPr>
        <w:t>λ</w:t>
      </w:r>
      <w:r>
        <w:rPr>
          <w:rFonts w:ascii="Times New Roman" w:hAnsi="Times New Roman"/>
          <w:bCs/>
          <w:color w:val="auto"/>
          <w:sz w:val="24"/>
          <w:highlight w:val="none"/>
          <w:vertAlign w:val="subscript"/>
        </w:rPr>
        <w:t xml:space="preserve">m1  </w:t>
      </w:r>
      <w:r>
        <w:rPr>
          <w:rFonts w:ascii="Times New Roman" w:hAnsi="Times New Roman"/>
          <w:bCs/>
          <w:color w:val="auto"/>
          <w:sz w:val="24"/>
          <w:highlight w:val="none"/>
        </w:rPr>
        <w:t>λ</w:t>
      </w:r>
      <w:r>
        <w:rPr>
          <w:rFonts w:ascii="Times New Roman" w:hAnsi="Times New Roman"/>
          <w:bCs/>
          <w:color w:val="auto"/>
          <w:sz w:val="24"/>
          <w:highlight w:val="none"/>
          <w:vertAlign w:val="subscript"/>
        </w:rPr>
        <w:t>m2</w:t>
      </w:r>
      <w:r>
        <w:rPr>
          <w:rFonts w:ascii="Times New Roman" w:hAnsi="Times New Roman"/>
          <w:bCs/>
          <w:color w:val="auto"/>
          <w:sz w:val="24"/>
          <w:highlight w:val="none"/>
        </w:rPr>
        <w:t xml:space="preserve">  </w:t>
      </w:r>
      <w:r>
        <w:rPr>
          <w:rFonts w:ascii="Times New Roman" w:hAnsi="Times New Roman"/>
          <w:b/>
          <w:color w:val="auto"/>
          <w:sz w:val="24"/>
          <w:highlight w:val="none"/>
        </w:rPr>
        <w:t xml:space="preserve">…  </w:t>
      </w:r>
      <w:r>
        <w:rPr>
          <w:rFonts w:ascii="Times New Roman" w:hAnsi="Times New Roman"/>
          <w:bCs/>
          <w:color w:val="auto"/>
          <w:sz w:val="24"/>
          <w:highlight w:val="none"/>
        </w:rPr>
        <w:t>λ</w:t>
      </w:r>
      <w:r>
        <w:rPr>
          <w:rFonts w:ascii="Times New Roman" w:hAnsi="Times New Roman"/>
          <w:bCs/>
          <w:color w:val="auto"/>
          <w:sz w:val="24"/>
          <w:highlight w:val="none"/>
          <w:vertAlign w:val="subscript"/>
        </w:rPr>
        <w:t xml:space="preserve">mm      </w:t>
      </w:r>
      <w:r>
        <w:rPr>
          <w:rFonts w:ascii="Times New Roman" w:hAnsi="Times New Roman"/>
          <w:bCs/>
          <w:color w:val="auto"/>
          <w:sz w:val="24"/>
          <w:highlight w:val="none"/>
        </w:rPr>
        <w:t>Q</w:t>
      </w:r>
      <w:r>
        <w:rPr>
          <w:rFonts w:ascii="Times New Roman" w:hAnsi="Times New Roman"/>
          <w:bCs/>
          <w:color w:val="auto"/>
          <w:sz w:val="24"/>
          <w:highlight w:val="none"/>
          <w:vertAlign w:val="subscript"/>
        </w:rPr>
        <w:t>m</w:t>
      </w:r>
    </w:p>
    <w:p w14:paraId="7FA112F3">
      <w:pPr>
        <w:pStyle w:val="11"/>
        <w:ind w:firstLine="480" w:firstLineChars="200"/>
        <w:jc w:val="both"/>
        <w:rPr>
          <w:rFonts w:ascii="Times New Roman" w:hAnsi="Times New Roman"/>
          <w:bCs/>
          <w:color w:val="auto"/>
          <w:sz w:val="24"/>
          <w:highlight w:val="none"/>
        </w:rPr>
      </w:pPr>
      <w:r>
        <w:rPr>
          <w:rFonts w:ascii="Times New Roman" w:hAnsi="Times New Roman"/>
          <w:bCs/>
          <w:color w:val="auto"/>
          <w:sz w:val="24"/>
          <w:highlight w:val="none"/>
        </w:rPr>
        <w:t>式中：U——各导线对地电压的单列矩阵；</w:t>
      </w:r>
    </w:p>
    <w:p w14:paraId="6160ED49">
      <w:pPr>
        <w:spacing w:line="360" w:lineRule="auto"/>
        <w:ind w:firstLine="1200" w:firstLineChars="500"/>
        <w:rPr>
          <w:bCs/>
          <w:color w:val="auto"/>
          <w:sz w:val="24"/>
          <w:highlight w:val="none"/>
        </w:rPr>
      </w:pPr>
      <w:r>
        <w:rPr>
          <w:bCs/>
          <w:color w:val="auto"/>
          <w:sz w:val="24"/>
          <w:highlight w:val="none"/>
        </w:rPr>
        <w:t>Q——各导线上等效电荷的单列矩阵；</w:t>
      </w:r>
    </w:p>
    <w:p w14:paraId="5E7BF0D8">
      <w:pPr>
        <w:spacing w:line="360" w:lineRule="auto"/>
        <w:ind w:firstLine="1200" w:firstLineChars="500"/>
        <w:rPr>
          <w:rFonts w:hint="eastAsia" w:eastAsia="宋体"/>
          <w:bCs/>
          <w:color w:val="auto"/>
          <w:sz w:val="24"/>
          <w:highlight w:val="none"/>
          <w:lang w:eastAsia="zh-CN"/>
        </w:rPr>
      </w:pPr>
      <w:r>
        <w:rPr>
          <w:bCs/>
          <w:color w:val="auto"/>
          <w:sz w:val="24"/>
          <w:highlight w:val="none"/>
        </w:rPr>
        <w:t>Λ——各导线的电位系数组成的m阶方阵（m为导线数目）</w:t>
      </w:r>
      <w:r>
        <w:rPr>
          <w:rFonts w:hint="eastAsia"/>
          <w:bCs/>
          <w:color w:val="auto"/>
          <w:sz w:val="24"/>
          <w:highlight w:val="none"/>
          <w:lang w:eastAsia="zh-CN"/>
        </w:rPr>
        <w:t>；</w:t>
      </w:r>
    </w:p>
    <w:p w14:paraId="53D37AD0">
      <w:pPr>
        <w:spacing w:line="360" w:lineRule="auto"/>
        <w:ind w:firstLine="1200" w:firstLineChars="500"/>
        <w:rPr>
          <w:bCs/>
          <w:color w:val="auto"/>
          <w:sz w:val="24"/>
          <w:highlight w:val="none"/>
        </w:rPr>
      </w:pPr>
      <w:r>
        <w:rPr>
          <w:bCs/>
          <w:color w:val="auto"/>
          <w:sz w:val="24"/>
          <w:highlight w:val="none"/>
        </w:rPr>
        <w:t>[U]矩阵可由输电线的电压和相位确定，从环境保护考虑以额定电压的1.05倍作为计算电压。</w:t>
      </w:r>
    </w:p>
    <w:p w14:paraId="731B706D">
      <w:pPr>
        <w:spacing w:line="360" w:lineRule="auto"/>
        <w:ind w:firstLine="480" w:firstLineChars="200"/>
        <w:rPr>
          <w:color w:val="auto"/>
          <w:sz w:val="24"/>
          <w:highlight w:val="none"/>
        </w:rPr>
      </w:pPr>
      <w:r>
        <w:rPr>
          <w:color w:val="auto"/>
          <w:sz w:val="24"/>
          <w:highlight w:val="none"/>
        </w:rPr>
        <w:t>b．计算由等效电荷产生的电场</w:t>
      </w:r>
    </w:p>
    <w:p w14:paraId="7EB4F0E4">
      <w:pPr>
        <w:spacing w:line="360" w:lineRule="auto"/>
        <w:ind w:firstLine="480" w:firstLineChars="200"/>
        <w:rPr>
          <w:bCs/>
          <w:color w:val="auto"/>
          <w:sz w:val="24"/>
          <w:highlight w:val="none"/>
        </w:rPr>
      </w:pPr>
      <w:r>
        <w:rPr>
          <w:bCs/>
          <w:color w:val="auto"/>
          <w:sz w:val="24"/>
          <w:highlight w:val="none"/>
        </w:rPr>
        <w:t>为计算地面电场强度的最大值，通常取设计最大孤垂时导线的最小对地高度。</w:t>
      </w:r>
    </w:p>
    <w:p w14:paraId="7E8A5F39">
      <w:pPr>
        <w:spacing w:line="360" w:lineRule="auto"/>
        <w:ind w:firstLine="480" w:firstLineChars="200"/>
        <w:rPr>
          <w:bCs/>
          <w:color w:val="auto"/>
          <w:sz w:val="24"/>
          <w:highlight w:val="none"/>
        </w:rPr>
      </w:pPr>
      <w:r>
        <w:rPr>
          <w:bCs/>
          <w:color w:val="auto"/>
          <w:sz w:val="24"/>
          <w:highlight w:val="none"/>
        </w:rPr>
        <w:t>当各导线单位长度的等效电荷量求出后，空间任意一点的电场强度可根据叠加原理计算得出，在（x，y）点的电场强度分量Ex和Ey可表示为：</w:t>
      </w:r>
    </w:p>
    <w:p w14:paraId="26787EB5">
      <w:pPr>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34.5pt;width:245.3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p>
    <w:p w14:paraId="080CF7FB">
      <w:pPr>
        <w:spacing w:line="360" w:lineRule="auto"/>
        <w:jc w:val="center"/>
        <w:rPr>
          <w:bCs/>
          <w:color w:val="auto"/>
          <w:sz w:val="24"/>
          <w:highlight w:val="none"/>
        </w:rPr>
      </w:pPr>
      <w:r>
        <w:rPr>
          <w:rFonts w:hint="default" w:ascii="Times New Roman" w:hAnsi="Times New Roman" w:eastAsia="宋体" w:cs="Times New Roman"/>
          <w:color w:val="auto"/>
          <w:position w:val="-30"/>
          <w:sz w:val="24"/>
          <w:highlight w:val="none"/>
        </w:rPr>
        <w:object>
          <v:shape id="_x0000_i1029" o:spt="75" type="#_x0000_t75" style="height:33.15pt;width:249.0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p>
    <w:p w14:paraId="749217DF">
      <w:pPr>
        <w:spacing w:line="360" w:lineRule="auto"/>
        <w:rPr>
          <w:bCs/>
          <w:color w:val="auto"/>
          <w:sz w:val="24"/>
          <w:highlight w:val="none"/>
        </w:rPr>
      </w:pPr>
      <w:r>
        <w:rPr>
          <w:bCs/>
          <w:color w:val="auto"/>
          <w:sz w:val="24"/>
          <w:highlight w:val="none"/>
        </w:rPr>
        <w:t xml:space="preserve">    式中：x</w:t>
      </w:r>
      <w:r>
        <w:rPr>
          <w:bCs/>
          <w:color w:val="auto"/>
          <w:sz w:val="24"/>
          <w:highlight w:val="none"/>
          <w:vertAlign w:val="subscript"/>
        </w:rPr>
        <w:t>i</w:t>
      </w:r>
      <w:r>
        <w:rPr>
          <w:bCs/>
          <w:color w:val="auto"/>
          <w:sz w:val="24"/>
          <w:highlight w:val="none"/>
        </w:rPr>
        <w:t>、y</w:t>
      </w:r>
      <w:r>
        <w:rPr>
          <w:bCs/>
          <w:color w:val="auto"/>
          <w:sz w:val="24"/>
          <w:highlight w:val="none"/>
          <w:vertAlign w:val="subscript"/>
        </w:rPr>
        <w:t>i</w:t>
      </w:r>
      <w:r>
        <w:rPr>
          <w:bCs/>
          <w:color w:val="auto"/>
          <w:sz w:val="24"/>
          <w:highlight w:val="none"/>
        </w:rPr>
        <w:t>——导线i的坐标（i=1、2、…m）；</w:t>
      </w:r>
    </w:p>
    <w:p w14:paraId="23AAAEFD">
      <w:pPr>
        <w:spacing w:line="360" w:lineRule="auto"/>
        <w:ind w:firstLine="1200" w:firstLineChars="500"/>
        <w:rPr>
          <w:bCs/>
          <w:color w:val="auto"/>
          <w:sz w:val="24"/>
          <w:highlight w:val="none"/>
        </w:rPr>
      </w:pPr>
      <w:r>
        <w:rPr>
          <w:bCs/>
          <w:color w:val="auto"/>
          <w:sz w:val="24"/>
          <w:highlight w:val="none"/>
        </w:rPr>
        <w:t>M——导线数目；</w:t>
      </w:r>
    </w:p>
    <w:p w14:paraId="6607E5D1">
      <w:pPr>
        <w:spacing w:line="360" w:lineRule="auto"/>
        <w:ind w:firstLine="1200" w:firstLineChars="500"/>
        <w:rPr>
          <w:bCs/>
          <w:color w:val="auto"/>
          <w:sz w:val="24"/>
          <w:highlight w:val="none"/>
        </w:rPr>
      </w:pPr>
      <w:r>
        <w:rPr>
          <w:bCs/>
          <w:color w:val="auto"/>
          <w:sz w:val="24"/>
          <w:highlight w:val="none"/>
        </w:rPr>
        <w:t>L</w:t>
      </w:r>
      <w:r>
        <w:rPr>
          <w:bCs/>
          <w:color w:val="auto"/>
          <w:sz w:val="24"/>
          <w:highlight w:val="none"/>
          <w:vertAlign w:val="subscript"/>
        </w:rPr>
        <w:t>i</w:t>
      </w:r>
      <w:r>
        <w:rPr>
          <w:bCs/>
          <w:color w:val="auto"/>
          <w:sz w:val="24"/>
          <w:highlight w:val="none"/>
        </w:rPr>
        <w:t>、L</w:t>
      </w:r>
      <w:r>
        <w:rPr>
          <w:bCs/>
          <w:color w:val="auto"/>
          <w:sz w:val="24"/>
          <w:highlight w:val="none"/>
          <w:vertAlign w:val="subscript"/>
        </w:rPr>
        <w:t>i</w:t>
      </w:r>
      <w:r>
        <w:rPr>
          <w:bCs/>
          <w:color w:val="auto"/>
          <w:sz w:val="24"/>
          <w:highlight w:val="none"/>
        </w:rPr>
        <w:t>——分别为导线i及其镜像至计算点的距离，m。</w:t>
      </w:r>
    </w:p>
    <w:p w14:paraId="58086ED2">
      <w:pPr>
        <w:spacing w:line="360" w:lineRule="auto"/>
        <w:ind w:firstLine="480" w:firstLineChars="200"/>
        <w:rPr>
          <w:bCs/>
          <w:color w:val="auto"/>
          <w:sz w:val="24"/>
          <w:highlight w:val="none"/>
        </w:rPr>
      </w:pPr>
      <w:r>
        <w:rPr>
          <w:bCs/>
          <w:color w:val="auto"/>
          <w:sz w:val="24"/>
          <w:highlight w:val="none"/>
        </w:rPr>
        <w:t>由于接地架空线对于地面附近场强的影响很小，对导线水平排列的几种情况计算表明，没有架空地线时较有架空地线时的场强增加约1%</w:t>
      </w:r>
      <w:r>
        <w:rPr>
          <w:color w:val="auto"/>
          <w:sz w:val="24"/>
          <w:highlight w:val="none"/>
        </w:rPr>
        <w:t>～</w:t>
      </w:r>
      <w:r>
        <w:rPr>
          <w:bCs/>
          <w:color w:val="auto"/>
          <w:sz w:val="24"/>
          <w:highlight w:val="none"/>
        </w:rPr>
        <w:t>2%，所以常不计架空地线影响而使计算简化。</w:t>
      </w:r>
    </w:p>
    <w:p w14:paraId="56905DB5">
      <w:pPr>
        <w:spacing w:line="360" w:lineRule="auto"/>
        <w:ind w:firstLine="480" w:firstLineChars="200"/>
        <w:rPr>
          <w:color w:val="auto"/>
          <w:sz w:val="24"/>
          <w:highlight w:val="none"/>
        </w:rPr>
      </w:pPr>
      <w:r>
        <w:rPr>
          <w:color w:val="auto"/>
          <w:sz w:val="24"/>
          <w:highlight w:val="none"/>
        </w:rPr>
        <w:t>②高压交流架空输电线路下空间工频磁场强度的计算（附录D）</w:t>
      </w:r>
    </w:p>
    <w:p w14:paraId="7B67C669">
      <w:pPr>
        <w:spacing w:line="360" w:lineRule="auto"/>
        <w:ind w:firstLine="480" w:firstLineChars="200"/>
        <w:rPr>
          <w:bCs/>
          <w:color w:val="auto"/>
          <w:sz w:val="24"/>
          <w:highlight w:val="none"/>
        </w:rPr>
      </w:pPr>
      <w:r>
        <w:rPr>
          <w:bCs/>
          <w:color w:val="auto"/>
          <w:sz w:val="24"/>
          <w:highlight w:val="none"/>
        </w:rPr>
        <w:t>由于工频电磁场具有准静态性，线路的磁场仅由电流产生。应用安培定律，将计算结果按矢量叠加，可得出导线周围的磁场强度。</w:t>
      </w:r>
    </w:p>
    <w:p w14:paraId="5733AC4B">
      <w:pPr>
        <w:spacing w:line="360" w:lineRule="auto"/>
        <w:ind w:firstLine="480" w:firstLineChars="200"/>
        <w:rPr>
          <w:bCs/>
          <w:color w:val="auto"/>
          <w:sz w:val="24"/>
          <w:highlight w:val="none"/>
        </w:rPr>
      </w:pPr>
      <w:r>
        <w:rPr>
          <w:bCs/>
          <w:color w:val="auto"/>
          <w:sz w:val="24"/>
          <w:highlight w:val="none"/>
        </w:rPr>
        <w:t>在一般情况下，可只考虑处于空间的实际导线，忽略它的镜像进行计算，其结果已足够符合实际，如专题图</w:t>
      </w:r>
      <w:r>
        <w:rPr>
          <w:rFonts w:hint="eastAsia"/>
          <w:bCs/>
          <w:color w:val="auto"/>
          <w:sz w:val="24"/>
          <w:highlight w:val="none"/>
        </w:rPr>
        <w:t>3</w:t>
      </w:r>
      <w:r>
        <w:rPr>
          <w:bCs/>
          <w:color w:val="auto"/>
          <w:sz w:val="24"/>
          <w:highlight w:val="none"/>
        </w:rPr>
        <w:t>。不考虑导线i的镜像时，可计算其在A点产生的磁场强度：</w:t>
      </w:r>
    </w:p>
    <w:p w14:paraId="7465A6B7">
      <w:pPr>
        <w:spacing w:line="360" w:lineRule="auto"/>
        <w:jc w:val="center"/>
        <w:rPr>
          <w:bCs/>
          <w:color w:val="auto"/>
          <w:sz w:val="24"/>
          <w:highlight w:val="none"/>
        </w:rPr>
      </w:pPr>
      <w:r>
        <w:rPr>
          <w:rFonts w:hint="default" w:ascii="Times New Roman" w:hAnsi="Times New Roman" w:eastAsia="宋体" w:cs="Times New Roman"/>
          <w:color w:val="auto"/>
          <w:sz w:val="24"/>
          <w:highlight w:val="none"/>
        </w:rPr>
        <w:object>
          <v:shape id="_x0000_i1030" o:spt="75" type="#_x0000_t75" style="height:31.5pt;width:87.05pt;" o:ole="t" filled="f" o:preferrelative="t" stroked="f" coordsize="21600,21600">
            <v:path/>
            <v:fill on="f" focussize="0,0"/>
            <v:stroke on="f"/>
            <v:imagedata r:id="rId21" o:title=""/>
            <o:lock v:ext="edit" aspectratio="t"/>
            <w10:wrap type="none"/>
            <w10:anchorlock/>
          </v:shape>
          <o:OLEObject Type="Embed" ProgID="Equation.3" ShapeID="_x0000_i1030" DrawAspect="Content" ObjectID="_1468075730" r:id="rId20">
            <o:LockedField>false</o:LockedField>
          </o:OLEObject>
        </w:object>
      </w:r>
    </w:p>
    <w:p w14:paraId="7AB9A2C7">
      <w:pPr>
        <w:spacing w:line="360" w:lineRule="auto"/>
        <w:ind w:firstLine="480" w:firstLineChars="200"/>
        <w:rPr>
          <w:bCs/>
          <w:color w:val="auto"/>
          <w:sz w:val="24"/>
          <w:highlight w:val="none"/>
        </w:rPr>
      </w:pPr>
      <w:r>
        <w:rPr>
          <w:bCs/>
          <w:color w:val="auto"/>
          <w:sz w:val="24"/>
          <w:highlight w:val="none"/>
        </w:rPr>
        <w:t>式中：I——导线i中的电流值，A；</w:t>
      </w:r>
    </w:p>
    <w:p w14:paraId="3EA6A680">
      <w:pPr>
        <w:spacing w:line="360" w:lineRule="auto"/>
        <w:ind w:firstLine="1200" w:firstLineChars="500"/>
        <w:rPr>
          <w:bCs/>
          <w:color w:val="auto"/>
          <w:sz w:val="24"/>
          <w:highlight w:val="none"/>
        </w:rPr>
      </w:pPr>
      <w:r>
        <w:rPr>
          <w:bCs/>
          <w:color w:val="auto"/>
          <w:sz w:val="24"/>
          <w:highlight w:val="none"/>
        </w:rPr>
        <w:t>H——导线与预测点的高差；</w:t>
      </w:r>
    </w:p>
    <w:p w14:paraId="1A4E603B">
      <w:pPr>
        <w:spacing w:line="360" w:lineRule="auto"/>
        <w:ind w:firstLine="1200" w:firstLineChars="500"/>
        <w:rPr>
          <w:bCs/>
          <w:color w:val="auto"/>
          <w:sz w:val="24"/>
          <w:highlight w:val="none"/>
        </w:rPr>
      </w:pPr>
      <w:r>
        <w:rPr>
          <w:bCs/>
          <w:color w:val="auto"/>
          <w:sz w:val="24"/>
          <w:highlight w:val="none"/>
        </w:rPr>
        <w:t>L——导线与预测点的水平距离，m。</w:t>
      </w:r>
    </w:p>
    <w:p w14:paraId="4BCE8835">
      <w:pPr>
        <w:spacing w:line="360" w:lineRule="auto"/>
        <w:jc w:val="center"/>
        <w:rPr>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2661920" cy="2153285"/>
            <wp:effectExtent l="0" t="0" r="5080" b="18415"/>
            <wp:docPr id="37" name="图片 8" descr="磁场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磁场矢量图"/>
                    <pic:cNvPicPr>
                      <a:picLocks noChangeAspect="1"/>
                    </pic:cNvPicPr>
                  </pic:nvPicPr>
                  <pic:blipFill>
                    <a:blip r:embed="rId22"/>
                    <a:stretch>
                      <a:fillRect/>
                    </a:stretch>
                  </pic:blipFill>
                  <pic:spPr>
                    <a:xfrm>
                      <a:off x="0" y="0"/>
                      <a:ext cx="2661920" cy="2153285"/>
                    </a:xfrm>
                    <a:prstGeom prst="rect">
                      <a:avLst/>
                    </a:prstGeom>
                    <a:noFill/>
                    <a:ln>
                      <a:noFill/>
                    </a:ln>
                  </pic:spPr>
                </pic:pic>
              </a:graphicData>
            </a:graphic>
          </wp:inline>
        </w:drawing>
      </w:r>
    </w:p>
    <w:p w14:paraId="4D4C2B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Cs/>
          <w:color w:val="auto"/>
          <w:sz w:val="24"/>
          <w:highlight w:val="none"/>
        </w:rPr>
      </w:pPr>
      <w:r>
        <w:rPr>
          <w:rFonts w:eastAsia="黑体"/>
          <w:b/>
          <w:bCs/>
          <w:color w:val="auto"/>
          <w:sz w:val="24"/>
          <w:highlight w:val="none"/>
        </w:rPr>
        <w:t>专题图</w:t>
      </w:r>
      <w:r>
        <w:rPr>
          <w:rFonts w:hint="eastAsia" w:eastAsia="黑体"/>
          <w:b/>
          <w:bCs/>
          <w:color w:val="auto"/>
          <w:sz w:val="24"/>
          <w:highlight w:val="none"/>
          <w:lang w:val="en-US" w:eastAsia="zh-CN"/>
        </w:rPr>
        <w:t>3</w:t>
      </w:r>
      <w:r>
        <w:rPr>
          <w:rFonts w:eastAsia="黑体"/>
          <w:b/>
          <w:bCs/>
          <w:color w:val="auto"/>
          <w:sz w:val="24"/>
          <w:highlight w:val="none"/>
        </w:rPr>
        <w:t xml:space="preserve">  磁场向量图</w:t>
      </w:r>
    </w:p>
    <w:p w14:paraId="7E373E10">
      <w:pPr>
        <w:spacing w:line="360" w:lineRule="auto"/>
        <w:ind w:firstLine="480" w:firstLineChars="200"/>
        <w:rPr>
          <w:bCs/>
          <w:color w:val="auto"/>
          <w:sz w:val="24"/>
          <w:highlight w:val="none"/>
        </w:rPr>
      </w:pPr>
      <w:r>
        <w:rPr>
          <w:bCs/>
          <w:color w:val="auto"/>
          <w:sz w:val="24"/>
          <w:highlight w:val="none"/>
        </w:rPr>
        <w:t>本项目为三相线路，水平和垂直场强分别为：</w:t>
      </w:r>
    </w:p>
    <w:p w14:paraId="2854D96F">
      <w:pPr>
        <w:spacing w:line="360" w:lineRule="auto"/>
        <w:jc w:val="center"/>
        <w:rPr>
          <w:bCs/>
          <w:i/>
          <w:color w:val="auto"/>
          <w:sz w:val="24"/>
          <w:highlight w:val="none"/>
        </w:rPr>
      </w:pPr>
      <w:r>
        <w:rPr>
          <w:bCs/>
          <w:i/>
          <w:color w:val="auto"/>
          <w:sz w:val="24"/>
          <w:highlight w:val="none"/>
        </w:rPr>
        <w:t>H</w:t>
      </w:r>
      <w:r>
        <w:rPr>
          <w:bCs/>
          <w:i/>
          <w:color w:val="auto"/>
          <w:sz w:val="24"/>
          <w:highlight w:val="none"/>
          <w:vertAlign w:val="subscript"/>
        </w:rPr>
        <w:t>x</w:t>
      </w:r>
      <w:r>
        <w:rPr>
          <w:bCs/>
          <w:i/>
          <w:color w:val="auto"/>
          <w:sz w:val="24"/>
          <w:highlight w:val="none"/>
        </w:rPr>
        <w:t>=H</w:t>
      </w:r>
      <w:r>
        <w:rPr>
          <w:bCs/>
          <w:i/>
          <w:color w:val="auto"/>
          <w:sz w:val="24"/>
          <w:highlight w:val="none"/>
          <w:vertAlign w:val="subscript"/>
        </w:rPr>
        <w:t>1x</w:t>
      </w:r>
      <w:r>
        <w:rPr>
          <w:bCs/>
          <w:i/>
          <w:color w:val="auto"/>
          <w:sz w:val="24"/>
          <w:highlight w:val="none"/>
        </w:rPr>
        <w:t>+H</w:t>
      </w:r>
      <w:r>
        <w:rPr>
          <w:bCs/>
          <w:i/>
          <w:color w:val="auto"/>
          <w:sz w:val="24"/>
          <w:highlight w:val="none"/>
          <w:vertAlign w:val="subscript"/>
        </w:rPr>
        <w:t>2x</w:t>
      </w:r>
      <w:r>
        <w:rPr>
          <w:bCs/>
          <w:i/>
          <w:color w:val="auto"/>
          <w:sz w:val="24"/>
          <w:highlight w:val="none"/>
        </w:rPr>
        <w:t>+H</w:t>
      </w:r>
      <w:r>
        <w:rPr>
          <w:bCs/>
          <w:i/>
          <w:color w:val="auto"/>
          <w:sz w:val="24"/>
          <w:highlight w:val="none"/>
          <w:vertAlign w:val="subscript"/>
        </w:rPr>
        <w:t>3x</w:t>
      </w:r>
    </w:p>
    <w:p w14:paraId="5A264745">
      <w:pPr>
        <w:spacing w:line="360" w:lineRule="auto"/>
        <w:jc w:val="center"/>
        <w:rPr>
          <w:bCs/>
          <w:i/>
          <w:color w:val="auto"/>
          <w:sz w:val="24"/>
          <w:highlight w:val="none"/>
        </w:rPr>
      </w:pPr>
      <w:r>
        <w:rPr>
          <w:bCs/>
          <w:i/>
          <w:color w:val="auto"/>
          <w:sz w:val="24"/>
          <w:highlight w:val="none"/>
        </w:rPr>
        <w:t>H</w:t>
      </w:r>
      <w:r>
        <w:rPr>
          <w:bCs/>
          <w:i/>
          <w:color w:val="auto"/>
          <w:sz w:val="24"/>
          <w:highlight w:val="none"/>
          <w:vertAlign w:val="subscript"/>
        </w:rPr>
        <w:t>y</w:t>
      </w:r>
      <w:r>
        <w:rPr>
          <w:bCs/>
          <w:i/>
          <w:color w:val="auto"/>
          <w:sz w:val="24"/>
          <w:highlight w:val="none"/>
        </w:rPr>
        <w:t>=H</w:t>
      </w:r>
      <w:r>
        <w:rPr>
          <w:bCs/>
          <w:i/>
          <w:color w:val="auto"/>
          <w:sz w:val="24"/>
          <w:highlight w:val="none"/>
          <w:vertAlign w:val="subscript"/>
        </w:rPr>
        <w:t>1</w:t>
      </w:r>
      <w:r>
        <w:rPr>
          <w:bCs/>
          <w:i/>
          <w:color w:val="auto"/>
          <w:sz w:val="24"/>
          <w:highlight w:val="none"/>
        </w:rPr>
        <w:t>y+H</w:t>
      </w:r>
      <w:r>
        <w:rPr>
          <w:bCs/>
          <w:i/>
          <w:color w:val="auto"/>
          <w:sz w:val="24"/>
          <w:highlight w:val="none"/>
          <w:vertAlign w:val="subscript"/>
        </w:rPr>
        <w:t>2y</w:t>
      </w:r>
      <w:r>
        <w:rPr>
          <w:bCs/>
          <w:i/>
          <w:color w:val="auto"/>
          <w:sz w:val="24"/>
          <w:highlight w:val="none"/>
        </w:rPr>
        <w:t>+H</w:t>
      </w:r>
      <w:r>
        <w:rPr>
          <w:bCs/>
          <w:i/>
          <w:color w:val="auto"/>
          <w:sz w:val="24"/>
          <w:highlight w:val="none"/>
          <w:vertAlign w:val="subscript"/>
        </w:rPr>
        <w:t>3y</w:t>
      </w:r>
    </w:p>
    <w:p w14:paraId="09891B01">
      <w:pPr>
        <w:spacing w:line="360" w:lineRule="auto"/>
        <w:ind w:firstLine="480" w:firstLineChars="200"/>
        <w:rPr>
          <w:bCs/>
          <w:color w:val="auto"/>
          <w:sz w:val="24"/>
          <w:highlight w:val="none"/>
        </w:rPr>
      </w:pPr>
      <w:r>
        <w:rPr>
          <w:bCs/>
          <w:color w:val="auto"/>
          <w:sz w:val="24"/>
          <w:highlight w:val="none"/>
        </w:rPr>
        <w:t>式中：H</w:t>
      </w:r>
      <w:r>
        <w:rPr>
          <w:bCs/>
          <w:color w:val="auto"/>
          <w:sz w:val="24"/>
          <w:highlight w:val="none"/>
          <w:vertAlign w:val="subscript"/>
        </w:rPr>
        <w:t>1x</w:t>
      </w:r>
      <w:r>
        <w:rPr>
          <w:bCs/>
          <w:color w:val="auto"/>
          <w:sz w:val="24"/>
          <w:highlight w:val="none"/>
        </w:rPr>
        <w:t>、H</w:t>
      </w:r>
      <w:r>
        <w:rPr>
          <w:bCs/>
          <w:color w:val="auto"/>
          <w:sz w:val="24"/>
          <w:highlight w:val="none"/>
          <w:vertAlign w:val="subscript"/>
        </w:rPr>
        <w:t>2x</w:t>
      </w:r>
      <w:r>
        <w:rPr>
          <w:bCs/>
          <w:color w:val="auto"/>
          <w:sz w:val="24"/>
          <w:highlight w:val="none"/>
        </w:rPr>
        <w:t>、H</w:t>
      </w:r>
      <w:r>
        <w:rPr>
          <w:bCs/>
          <w:color w:val="auto"/>
          <w:sz w:val="24"/>
          <w:highlight w:val="none"/>
          <w:vertAlign w:val="subscript"/>
        </w:rPr>
        <w:t>3x</w:t>
      </w:r>
      <w:r>
        <w:rPr>
          <w:bCs/>
          <w:color w:val="auto"/>
          <w:sz w:val="24"/>
          <w:highlight w:val="none"/>
        </w:rPr>
        <w:t>为各相导线的场强的水平分量；</w:t>
      </w:r>
    </w:p>
    <w:p w14:paraId="6BDDAF48">
      <w:pPr>
        <w:spacing w:line="360" w:lineRule="auto"/>
        <w:ind w:firstLine="1200" w:firstLineChars="500"/>
        <w:rPr>
          <w:bCs/>
          <w:color w:val="auto"/>
          <w:sz w:val="24"/>
          <w:highlight w:val="none"/>
        </w:rPr>
      </w:pPr>
      <w:r>
        <w:rPr>
          <w:bCs/>
          <w:color w:val="auto"/>
          <w:sz w:val="24"/>
          <w:highlight w:val="none"/>
        </w:rPr>
        <w:t>H</w:t>
      </w:r>
      <w:r>
        <w:rPr>
          <w:bCs/>
          <w:color w:val="auto"/>
          <w:sz w:val="24"/>
          <w:highlight w:val="none"/>
          <w:vertAlign w:val="subscript"/>
        </w:rPr>
        <w:t>1y</w:t>
      </w:r>
      <w:r>
        <w:rPr>
          <w:bCs/>
          <w:color w:val="auto"/>
          <w:sz w:val="24"/>
          <w:highlight w:val="none"/>
        </w:rPr>
        <w:t>、H</w:t>
      </w:r>
      <w:r>
        <w:rPr>
          <w:bCs/>
          <w:color w:val="auto"/>
          <w:sz w:val="24"/>
          <w:highlight w:val="none"/>
          <w:vertAlign w:val="subscript"/>
        </w:rPr>
        <w:t>2y</w:t>
      </w:r>
      <w:r>
        <w:rPr>
          <w:bCs/>
          <w:color w:val="auto"/>
          <w:sz w:val="24"/>
          <w:highlight w:val="none"/>
        </w:rPr>
        <w:t>、H</w:t>
      </w:r>
      <w:r>
        <w:rPr>
          <w:bCs/>
          <w:color w:val="auto"/>
          <w:sz w:val="24"/>
          <w:highlight w:val="none"/>
          <w:vertAlign w:val="subscript"/>
        </w:rPr>
        <w:t>3y</w:t>
      </w:r>
      <w:r>
        <w:rPr>
          <w:bCs/>
          <w:color w:val="auto"/>
          <w:sz w:val="24"/>
          <w:highlight w:val="none"/>
        </w:rPr>
        <w:t>为各相导线的场强的垂直分量；</w:t>
      </w:r>
    </w:p>
    <w:p w14:paraId="329A46A8">
      <w:pPr>
        <w:spacing w:line="360" w:lineRule="auto"/>
        <w:ind w:firstLine="1200" w:firstLineChars="500"/>
        <w:rPr>
          <w:bCs/>
          <w:color w:val="auto"/>
          <w:sz w:val="24"/>
          <w:highlight w:val="none"/>
        </w:rPr>
      </w:pPr>
      <w:r>
        <w:rPr>
          <w:bCs/>
          <w:color w:val="auto"/>
          <w:sz w:val="24"/>
          <w:highlight w:val="none"/>
        </w:rPr>
        <w:t>H</w:t>
      </w:r>
      <w:r>
        <w:rPr>
          <w:bCs/>
          <w:color w:val="auto"/>
          <w:sz w:val="24"/>
          <w:highlight w:val="none"/>
          <w:vertAlign w:val="subscript"/>
        </w:rPr>
        <w:t>x</w:t>
      </w:r>
      <w:r>
        <w:rPr>
          <w:bCs/>
          <w:color w:val="auto"/>
          <w:sz w:val="24"/>
          <w:highlight w:val="none"/>
        </w:rPr>
        <w:t>、H</w:t>
      </w:r>
      <w:r>
        <w:rPr>
          <w:bCs/>
          <w:color w:val="auto"/>
          <w:sz w:val="24"/>
          <w:highlight w:val="none"/>
          <w:vertAlign w:val="subscript"/>
        </w:rPr>
        <w:t>y</w:t>
      </w:r>
      <w:r>
        <w:rPr>
          <w:bCs/>
          <w:color w:val="auto"/>
          <w:sz w:val="24"/>
          <w:highlight w:val="none"/>
        </w:rPr>
        <w:t>为计算点合成后水平分量和垂直分量（A/m）。</w:t>
      </w:r>
    </w:p>
    <w:p w14:paraId="63956B47">
      <w:pPr>
        <w:spacing w:line="360" w:lineRule="auto"/>
        <w:ind w:firstLine="480" w:firstLineChars="200"/>
        <w:rPr>
          <w:bCs/>
          <w:color w:val="auto"/>
          <w:sz w:val="24"/>
          <w:highlight w:val="none"/>
        </w:rPr>
      </w:pPr>
      <w:r>
        <w:rPr>
          <w:bCs/>
          <w:color w:val="auto"/>
          <w:sz w:val="24"/>
          <w:highlight w:val="none"/>
        </w:rPr>
        <w:t>为了与环境标准相对应，需要将磁场强度转换为磁感应强度（mT）（一般也简称磁场强度），转换公式的单位为亨利，换算为特斯拉用下公式：</w:t>
      </w:r>
    </w:p>
    <w:p w14:paraId="7641713C">
      <w:pPr>
        <w:spacing w:line="360" w:lineRule="auto"/>
        <w:jc w:val="center"/>
        <w:rPr>
          <w:bCs/>
          <w:i/>
          <w:color w:val="auto"/>
          <w:sz w:val="24"/>
          <w:highlight w:val="none"/>
        </w:rPr>
      </w:pPr>
      <w:r>
        <w:rPr>
          <w:bCs/>
          <w:i/>
          <w:color w:val="auto"/>
          <w:sz w:val="24"/>
          <w:highlight w:val="none"/>
        </w:rPr>
        <w:t>B=μ</w:t>
      </w:r>
      <w:r>
        <w:rPr>
          <w:bCs/>
          <w:i/>
          <w:color w:val="auto"/>
          <w:sz w:val="24"/>
          <w:highlight w:val="none"/>
          <w:vertAlign w:val="subscript"/>
        </w:rPr>
        <w:t>0</w:t>
      </w:r>
      <w:r>
        <w:rPr>
          <w:bCs/>
          <w:i/>
          <w:color w:val="auto"/>
          <w:sz w:val="24"/>
          <w:highlight w:val="none"/>
        </w:rPr>
        <w:t>H</w:t>
      </w:r>
    </w:p>
    <w:p w14:paraId="47A200F5">
      <w:pPr>
        <w:spacing w:line="360" w:lineRule="auto"/>
        <w:ind w:firstLine="480" w:firstLineChars="200"/>
        <w:rPr>
          <w:bCs/>
          <w:color w:val="auto"/>
          <w:sz w:val="24"/>
          <w:highlight w:val="none"/>
        </w:rPr>
      </w:pPr>
      <w:r>
        <w:rPr>
          <w:bCs/>
          <w:color w:val="auto"/>
          <w:sz w:val="24"/>
          <w:highlight w:val="none"/>
        </w:rPr>
        <w:t>式中：B——磁感应强度（T）；</w:t>
      </w:r>
    </w:p>
    <w:p w14:paraId="2D0BA214">
      <w:pPr>
        <w:spacing w:line="360" w:lineRule="auto"/>
        <w:ind w:firstLine="1200" w:firstLineChars="500"/>
        <w:rPr>
          <w:bCs/>
          <w:color w:val="auto"/>
          <w:sz w:val="24"/>
          <w:highlight w:val="none"/>
        </w:rPr>
      </w:pPr>
      <w:r>
        <w:rPr>
          <w:bCs/>
          <w:color w:val="auto"/>
          <w:sz w:val="24"/>
          <w:highlight w:val="none"/>
        </w:rPr>
        <w:t>H——磁场强度（H）；</w:t>
      </w:r>
    </w:p>
    <w:p w14:paraId="3255A266">
      <w:pPr>
        <w:spacing w:line="360" w:lineRule="auto"/>
        <w:ind w:firstLine="1200" w:firstLineChars="500"/>
        <w:rPr>
          <w:bCs/>
          <w:color w:val="auto"/>
          <w:sz w:val="24"/>
          <w:highlight w:val="none"/>
        </w:rPr>
      </w:pPr>
      <w:r>
        <w:rPr>
          <w:bCs/>
          <w:color w:val="auto"/>
          <w:sz w:val="24"/>
          <w:highlight w:val="none"/>
        </w:rPr>
        <w:t>μ</w:t>
      </w:r>
      <w:r>
        <w:rPr>
          <w:bCs/>
          <w:color w:val="auto"/>
          <w:sz w:val="24"/>
          <w:highlight w:val="none"/>
          <w:vertAlign w:val="subscript"/>
        </w:rPr>
        <w:t>0</w:t>
      </w:r>
      <w:r>
        <w:rPr>
          <w:bCs/>
          <w:color w:val="auto"/>
          <w:sz w:val="24"/>
          <w:highlight w:val="none"/>
        </w:rPr>
        <w:t>——常数，真空中相对磁导率（μ</w:t>
      </w:r>
      <w:r>
        <w:rPr>
          <w:bCs/>
          <w:color w:val="auto"/>
          <w:sz w:val="24"/>
          <w:highlight w:val="none"/>
          <w:vertAlign w:val="subscript"/>
        </w:rPr>
        <w:t>0</w:t>
      </w:r>
      <w:r>
        <w:rPr>
          <w:bCs/>
          <w:color w:val="auto"/>
          <w:sz w:val="24"/>
          <w:highlight w:val="none"/>
        </w:rPr>
        <w:t>=4п×10</w:t>
      </w:r>
      <w:r>
        <w:rPr>
          <w:bCs/>
          <w:color w:val="auto"/>
          <w:sz w:val="24"/>
          <w:highlight w:val="none"/>
          <w:vertAlign w:val="superscript"/>
        </w:rPr>
        <w:t>-7</w:t>
      </w:r>
      <w:r>
        <w:rPr>
          <w:bCs/>
          <w:color w:val="auto"/>
          <w:sz w:val="24"/>
          <w:highlight w:val="none"/>
        </w:rPr>
        <w:t>H/m）。</w:t>
      </w:r>
    </w:p>
    <w:p w14:paraId="1A43E153">
      <w:pPr>
        <w:spacing w:line="360" w:lineRule="auto"/>
        <w:ind w:firstLine="480" w:firstLineChars="200"/>
        <w:rPr>
          <w:bCs/>
          <w:color w:val="auto"/>
          <w:sz w:val="24"/>
          <w:highlight w:val="none"/>
        </w:rPr>
      </w:pPr>
      <w:r>
        <w:rPr>
          <w:bCs/>
          <w:color w:val="auto"/>
          <w:sz w:val="24"/>
          <w:highlight w:val="none"/>
        </w:rPr>
        <w:t>（2）参数的选取</w:t>
      </w:r>
    </w:p>
    <w:p w14:paraId="2325BB1F">
      <w:pPr>
        <w:spacing w:line="360" w:lineRule="auto"/>
        <w:ind w:firstLine="480" w:firstLineChars="200"/>
        <w:rPr>
          <w:color w:val="auto"/>
          <w:sz w:val="24"/>
          <w:highlight w:val="none"/>
        </w:rPr>
      </w:pPr>
      <w:r>
        <w:rPr>
          <w:color w:val="auto"/>
          <w:sz w:val="24"/>
          <w:highlight w:val="none"/>
        </w:rPr>
        <w:t>因输电线路运行产生的工频电场、工频磁场主要由导线型式、导线对地高度、相间距离和线路运行工况（电压、电流等）等因素决定。</w:t>
      </w:r>
    </w:p>
    <w:p w14:paraId="3927DE75">
      <w:pPr>
        <w:spacing w:line="360" w:lineRule="auto"/>
        <w:ind w:firstLine="480" w:firstLineChars="200"/>
        <w:rPr>
          <w:color w:val="auto"/>
          <w:highlight w:val="none"/>
        </w:rPr>
      </w:pPr>
      <w:r>
        <w:rPr>
          <w:rFonts w:hint="eastAsia" w:cs="Times New Roman"/>
          <w:bCs/>
          <w:color w:val="auto"/>
          <w:kern w:val="0"/>
          <w:sz w:val="24"/>
          <w:highlight w:val="none"/>
          <w:lang w:val="en-US" w:eastAsia="zh-CN"/>
        </w:rPr>
        <w:t>本项目除在拟建张程变外采用1基双回路塔单侧挂线外，余下线路均采用单回路塔架设，</w:t>
      </w:r>
      <w:r>
        <w:rPr>
          <w:rFonts w:hint="eastAsia"/>
          <w:b w:val="0"/>
          <w:bCs w:val="0"/>
          <w:color w:val="auto"/>
          <w:sz w:val="24"/>
          <w:highlight w:val="none"/>
          <w:lang w:val="en-US" w:eastAsia="zh-CN"/>
        </w:rPr>
        <w:t>本次预测针对以上两种塔型分别进行预测。双回路塔段</w:t>
      </w:r>
      <w:r>
        <w:rPr>
          <w:rFonts w:hint="eastAsia" w:ascii="Times New Roman" w:hAnsi="Times New Roman" w:eastAsia="宋体" w:cs="Times New Roman"/>
          <w:color w:val="auto"/>
          <w:spacing w:val="0"/>
          <w:w w:val="100"/>
          <w:position w:val="0"/>
          <w:sz w:val="24"/>
          <w:highlight w:val="none"/>
          <w:lang w:val="en-US" w:eastAsia="zh-CN"/>
        </w:rPr>
        <w:t>对仅有</w:t>
      </w:r>
      <w:r>
        <w:rPr>
          <w:rFonts w:hint="eastAsia" w:ascii="Times New Roman" w:hAnsi="Times New Roman" w:cs="Times New Roman"/>
          <w:color w:val="auto"/>
          <w:spacing w:val="0"/>
          <w:w w:val="100"/>
          <w:position w:val="0"/>
          <w:sz w:val="24"/>
          <w:highlight w:val="none"/>
          <w:lang w:val="en-US" w:eastAsia="zh-CN"/>
        </w:rPr>
        <w:t>的</w:t>
      </w:r>
      <w:r>
        <w:rPr>
          <w:rFonts w:hint="eastAsia" w:ascii="Times New Roman" w:hAnsi="Times New Roman" w:eastAsia="宋体" w:cs="Times New Roman"/>
          <w:color w:val="auto"/>
          <w:spacing w:val="0"/>
          <w:w w:val="100"/>
          <w:position w:val="0"/>
          <w:sz w:val="24"/>
          <w:highlight w:val="none"/>
          <w:lang w:val="en-US" w:eastAsia="zh-CN"/>
        </w:rPr>
        <w:t>110-EC</w:t>
      </w:r>
      <w:r>
        <w:rPr>
          <w:rFonts w:hint="eastAsia" w:ascii="Times New Roman" w:hAnsi="Times New Roman" w:cs="Times New Roman"/>
          <w:color w:val="auto"/>
          <w:spacing w:val="0"/>
          <w:w w:val="100"/>
          <w:position w:val="0"/>
          <w:sz w:val="24"/>
          <w:highlight w:val="none"/>
          <w:lang w:val="en-US" w:eastAsia="zh-CN"/>
        </w:rPr>
        <w:t>32</w:t>
      </w:r>
      <w:r>
        <w:rPr>
          <w:rFonts w:hint="eastAsia" w:ascii="Times New Roman" w:hAnsi="Times New Roman" w:eastAsia="宋体" w:cs="Times New Roman"/>
          <w:color w:val="auto"/>
          <w:spacing w:val="0"/>
          <w:w w:val="100"/>
          <w:position w:val="0"/>
          <w:sz w:val="24"/>
          <w:highlight w:val="none"/>
          <w:lang w:val="en-US" w:eastAsia="zh-CN"/>
        </w:rPr>
        <w:t>S-DJ双回路塔进行预测；单回路塔段</w:t>
      </w:r>
      <w:r>
        <w:rPr>
          <w:rFonts w:hint="default" w:ascii="Times New Roman" w:hAnsi="Times New Roman" w:eastAsia="宋体" w:cs="Times New Roman"/>
          <w:color w:val="auto"/>
          <w:spacing w:val="0"/>
          <w:w w:val="100"/>
          <w:position w:val="0"/>
          <w:sz w:val="24"/>
          <w:highlight w:val="none"/>
          <w:lang w:val="en-US" w:eastAsia="zh-CN"/>
        </w:rPr>
        <w:t>对</w:t>
      </w:r>
      <w:r>
        <w:rPr>
          <w:rFonts w:hint="eastAsia" w:ascii="Times New Roman" w:hAnsi="Times New Roman" w:eastAsia="宋体" w:cs="Times New Roman"/>
          <w:color w:val="auto"/>
          <w:spacing w:val="0"/>
          <w:w w:val="100"/>
          <w:position w:val="0"/>
          <w:sz w:val="24"/>
          <w:highlight w:val="none"/>
          <w:lang w:val="en-US" w:eastAsia="zh-CN"/>
        </w:rPr>
        <w:t>线路</w:t>
      </w:r>
      <w:r>
        <w:rPr>
          <w:rFonts w:hint="default" w:ascii="Times New Roman" w:hAnsi="Times New Roman" w:eastAsia="宋体" w:cs="Times New Roman"/>
          <w:color w:val="auto"/>
          <w:spacing w:val="0"/>
          <w:w w:val="100"/>
          <w:position w:val="0"/>
          <w:sz w:val="24"/>
          <w:highlight w:val="none"/>
          <w:lang w:val="en-US" w:eastAsia="zh-CN"/>
        </w:rPr>
        <w:t>涉及的</w:t>
      </w:r>
      <w:r>
        <w:rPr>
          <w:rFonts w:hint="eastAsia" w:ascii="Times New Roman" w:hAnsi="Times New Roman" w:eastAsia="宋体" w:cs="Times New Roman"/>
          <w:color w:val="auto"/>
          <w:spacing w:val="0"/>
          <w:w w:val="100"/>
          <w:position w:val="0"/>
          <w:sz w:val="24"/>
          <w:highlight w:val="none"/>
          <w:lang w:val="en-US" w:eastAsia="zh-CN"/>
        </w:rPr>
        <w:t>单回路</w:t>
      </w:r>
      <w:r>
        <w:rPr>
          <w:rFonts w:hint="default" w:ascii="Times New Roman" w:hAnsi="Times New Roman" w:eastAsia="宋体" w:cs="Times New Roman"/>
          <w:color w:val="auto"/>
          <w:spacing w:val="0"/>
          <w:w w:val="100"/>
          <w:position w:val="0"/>
          <w:sz w:val="24"/>
          <w:highlight w:val="none"/>
          <w:lang w:val="en-US" w:eastAsia="zh-CN"/>
        </w:rPr>
        <w:t>塔型进行预测，在导线对地高度相同的情况下，选择电磁环境影响最大的110-EC</w:t>
      </w:r>
      <w:r>
        <w:rPr>
          <w:rFonts w:hint="eastAsia" w:ascii="Times New Roman" w:hAnsi="Times New Roman" w:cs="Times New Roman"/>
          <w:color w:val="auto"/>
          <w:spacing w:val="0"/>
          <w:w w:val="100"/>
          <w:position w:val="0"/>
          <w:sz w:val="24"/>
          <w:highlight w:val="none"/>
          <w:lang w:val="en-US" w:eastAsia="zh-CN"/>
        </w:rPr>
        <w:t>31</w:t>
      </w:r>
      <w:r>
        <w:rPr>
          <w:rFonts w:hint="default" w:ascii="Times New Roman" w:hAnsi="Times New Roman" w:eastAsia="宋体" w:cs="Times New Roman"/>
          <w:color w:val="auto"/>
          <w:spacing w:val="0"/>
          <w:w w:val="100"/>
          <w:position w:val="0"/>
          <w:sz w:val="24"/>
          <w:highlight w:val="none"/>
          <w:lang w:val="en-US" w:eastAsia="zh-CN"/>
        </w:rPr>
        <w:t>D-DJ</w:t>
      </w:r>
      <w:r>
        <w:rPr>
          <w:rFonts w:hint="default" w:ascii="Times New Roman" w:hAnsi="Times New Roman" w:eastAsia="宋体" w:cs="Times New Roman"/>
          <w:bCs/>
          <w:color w:val="auto"/>
          <w:spacing w:val="0"/>
          <w:w w:val="100"/>
          <w:position w:val="0"/>
          <w:sz w:val="24"/>
          <w:szCs w:val="24"/>
          <w:highlight w:val="none"/>
          <w:lang w:val="en-US" w:eastAsia="zh-CN"/>
        </w:rPr>
        <w:t>型塔进行预测。</w:t>
      </w:r>
      <w:r>
        <w:rPr>
          <w:rFonts w:hint="eastAsia"/>
          <w:color w:val="auto"/>
          <w:sz w:val="24"/>
          <w:highlight w:val="none"/>
          <w:lang w:val="en-US" w:eastAsia="zh-CN"/>
        </w:rPr>
        <w:t>经与设计单位沟通</w:t>
      </w:r>
      <w:r>
        <w:rPr>
          <w:rFonts w:hint="eastAsia" w:ascii="Times New Roman" w:hAnsi="Times New Roman" w:eastAsia="䅂䍄䕅⯋컌" w:cs="Times New Roman"/>
          <w:color w:val="auto"/>
          <w:kern w:val="0"/>
          <w:sz w:val="24"/>
          <w:szCs w:val="24"/>
          <w:highlight w:val="none"/>
          <w:lang w:val="en-US" w:eastAsia="zh-CN" w:bidi="ar"/>
        </w:rPr>
        <w:t>，</w:t>
      </w:r>
      <w:r>
        <w:rPr>
          <w:rFonts w:hint="eastAsia"/>
          <w:color w:val="auto"/>
          <w:sz w:val="24"/>
          <w:highlight w:val="none"/>
          <w:lang w:val="en-US" w:eastAsia="zh-CN"/>
        </w:rPr>
        <w:t>本线路在实际架设过程中，导线最低对地高度约10m</w:t>
      </w:r>
      <w:r>
        <w:rPr>
          <w:rFonts w:hint="eastAsia" w:eastAsia="䅂䍄䕅⯋컌" w:cs="Times New Roman"/>
          <w:color w:val="auto"/>
          <w:kern w:val="0"/>
          <w:sz w:val="24"/>
          <w:szCs w:val="24"/>
          <w:highlight w:val="none"/>
          <w:lang w:val="en-US" w:eastAsia="zh-CN" w:bidi="ar"/>
        </w:rPr>
        <w:t>。</w:t>
      </w:r>
      <w:r>
        <w:rPr>
          <w:rFonts w:hint="eastAsia" w:ascii="Times New Roman" w:hAnsi="Times New Roman" w:eastAsia="䅂䍄䕅⯋컌" w:cs="Times New Roman"/>
          <w:color w:val="auto"/>
          <w:kern w:val="0"/>
          <w:sz w:val="24"/>
          <w:szCs w:val="24"/>
          <w:highlight w:val="none"/>
          <w:lang w:val="en-US" w:eastAsia="zh-CN" w:bidi="ar"/>
        </w:rPr>
        <w:t>因此，本次电磁环境预测</w:t>
      </w:r>
      <w:r>
        <w:rPr>
          <w:rFonts w:hint="eastAsia" w:eastAsia="䅂䍄䕅⯋컌" w:cs="Times New Roman"/>
          <w:color w:val="auto"/>
          <w:kern w:val="0"/>
          <w:sz w:val="24"/>
          <w:szCs w:val="24"/>
          <w:highlight w:val="none"/>
          <w:lang w:val="en-US" w:eastAsia="zh-CN" w:bidi="ar"/>
        </w:rPr>
        <w:t>在额定负荷工况下，</w:t>
      </w:r>
      <w:r>
        <w:rPr>
          <w:rFonts w:hint="eastAsia" w:ascii="Times New Roman" w:hAnsi="Times New Roman" w:eastAsia="䅂䍄䕅⯋컌" w:cs="Times New Roman"/>
          <w:color w:val="auto"/>
          <w:kern w:val="0"/>
          <w:sz w:val="24"/>
          <w:szCs w:val="24"/>
          <w:highlight w:val="none"/>
          <w:lang w:val="en-US" w:eastAsia="zh-CN" w:bidi="ar"/>
        </w:rPr>
        <w:t>针对单回路塔、双回路塔在导线对地高度1</w:t>
      </w:r>
      <w:r>
        <w:rPr>
          <w:rFonts w:hint="eastAsia" w:eastAsia="䅂䍄䕅⯋컌" w:cs="Times New Roman"/>
          <w:color w:val="auto"/>
          <w:kern w:val="0"/>
          <w:sz w:val="24"/>
          <w:szCs w:val="24"/>
          <w:highlight w:val="none"/>
          <w:lang w:val="en-US" w:eastAsia="zh-CN" w:bidi="ar"/>
        </w:rPr>
        <w:t>0</w:t>
      </w:r>
      <w:r>
        <w:rPr>
          <w:rFonts w:hint="eastAsia" w:ascii="Times New Roman" w:hAnsi="Times New Roman" w:eastAsia="䅂䍄䕅⯋컌" w:cs="Times New Roman"/>
          <w:color w:val="auto"/>
          <w:kern w:val="0"/>
          <w:sz w:val="24"/>
          <w:szCs w:val="24"/>
          <w:highlight w:val="none"/>
          <w:lang w:val="en-US" w:eastAsia="zh-CN" w:bidi="ar"/>
        </w:rPr>
        <w:t>m分别进行预测。</w:t>
      </w:r>
      <w:r>
        <w:rPr>
          <w:color w:val="auto"/>
          <w:sz w:val="24"/>
          <w:highlight w:val="none"/>
        </w:rPr>
        <w:t>本项目架空线路电磁计算参数见专题表</w:t>
      </w:r>
      <w:r>
        <w:rPr>
          <w:rFonts w:hint="eastAsia"/>
          <w:color w:val="auto"/>
          <w:sz w:val="24"/>
          <w:highlight w:val="none"/>
          <w:lang w:val="en-US" w:eastAsia="zh-CN"/>
        </w:rPr>
        <w:t>6</w:t>
      </w:r>
      <w:r>
        <w:rPr>
          <w:color w:val="auto"/>
          <w:sz w:val="24"/>
          <w:highlight w:val="none"/>
        </w:rPr>
        <w:t>。</w:t>
      </w:r>
    </w:p>
    <w:p w14:paraId="498DF5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黑体"/>
          <w:b/>
          <w:bCs/>
          <w:color w:val="auto"/>
          <w:sz w:val="24"/>
          <w:highlight w:val="none"/>
        </w:rPr>
      </w:pPr>
      <w:r>
        <w:rPr>
          <w:rFonts w:eastAsia="黑体"/>
          <w:b/>
          <w:bCs/>
          <w:color w:val="auto"/>
          <w:sz w:val="24"/>
          <w:highlight w:val="none"/>
        </w:rPr>
        <w:t>专题表</w:t>
      </w:r>
      <w:r>
        <w:rPr>
          <w:rFonts w:hint="eastAsia" w:eastAsia="黑体"/>
          <w:b/>
          <w:bCs/>
          <w:color w:val="auto"/>
          <w:sz w:val="24"/>
          <w:highlight w:val="none"/>
          <w:lang w:val="en-US" w:eastAsia="zh-CN"/>
        </w:rPr>
        <w:t>6</w:t>
      </w:r>
      <w:r>
        <w:rPr>
          <w:rFonts w:eastAsia="黑体"/>
          <w:b/>
          <w:bCs/>
          <w:color w:val="auto"/>
          <w:sz w:val="24"/>
          <w:highlight w:val="none"/>
        </w:rPr>
        <w:t xml:space="preserve">  本项目架空线路电磁计算参数一览表</w:t>
      </w:r>
    </w:p>
    <w:tbl>
      <w:tblPr>
        <w:tblStyle w:val="29"/>
        <w:tblW w:w="8915" w:type="dxa"/>
        <w:tblInd w:w="-1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350"/>
        <w:gridCol w:w="2517"/>
        <w:gridCol w:w="2468"/>
      </w:tblGrid>
      <w:tr w14:paraId="6A1FD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580" w:type="dxa"/>
            <w:tcBorders>
              <w:tl2br w:val="nil"/>
              <w:tr2bl w:val="nil"/>
            </w:tcBorders>
            <w:noWrap w:val="0"/>
            <w:vAlign w:val="center"/>
          </w:tcPr>
          <w:p w14:paraId="56D1A3BF">
            <w:pPr>
              <w:pStyle w:val="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预测情景</w:t>
            </w:r>
          </w:p>
        </w:tc>
        <w:tc>
          <w:tcPr>
            <w:tcW w:w="2350" w:type="dxa"/>
            <w:tcBorders>
              <w:tl2br w:val="nil"/>
              <w:tr2bl w:val="nil"/>
            </w:tcBorders>
            <w:noWrap w:val="0"/>
            <w:vAlign w:val="center"/>
          </w:tcPr>
          <w:p w14:paraId="73AE3C3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单回路塔线路段</w:t>
            </w:r>
          </w:p>
        </w:tc>
        <w:tc>
          <w:tcPr>
            <w:tcW w:w="2517" w:type="dxa"/>
            <w:tcBorders>
              <w:tl2br w:val="nil"/>
              <w:tr2bl w:val="nil"/>
            </w:tcBorders>
            <w:noWrap w:val="0"/>
            <w:vAlign w:val="center"/>
          </w:tcPr>
          <w:p w14:paraId="2D54F6DB">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同塔双回路塔单侧挂线段（按单回投运预测）</w:t>
            </w:r>
          </w:p>
        </w:tc>
        <w:tc>
          <w:tcPr>
            <w:tcW w:w="2468" w:type="dxa"/>
            <w:tcBorders>
              <w:tl2br w:val="nil"/>
              <w:tr2bl w:val="nil"/>
            </w:tcBorders>
            <w:noWrap w:val="0"/>
            <w:vAlign w:val="center"/>
          </w:tcPr>
          <w:p w14:paraId="1FDD2D4C">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同塔双回路塔单侧挂线段（按终期规模双回投运预测）</w:t>
            </w:r>
          </w:p>
        </w:tc>
      </w:tr>
      <w:tr w14:paraId="710BE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29AF299E">
            <w:pPr>
              <w:pStyle w:val="8"/>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预测塔型</w:t>
            </w:r>
          </w:p>
        </w:tc>
        <w:tc>
          <w:tcPr>
            <w:tcW w:w="2350" w:type="dxa"/>
            <w:tcBorders>
              <w:tl2br w:val="nil"/>
              <w:tr2bl w:val="nil"/>
            </w:tcBorders>
            <w:noWrap w:val="0"/>
            <w:vAlign w:val="center"/>
          </w:tcPr>
          <w:p w14:paraId="728C5B05">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110-EC31D-DJ</w:t>
            </w:r>
          </w:p>
        </w:tc>
        <w:tc>
          <w:tcPr>
            <w:tcW w:w="4985" w:type="dxa"/>
            <w:gridSpan w:val="2"/>
            <w:tcBorders>
              <w:tl2br w:val="nil"/>
              <w:tr2bl w:val="nil"/>
            </w:tcBorders>
            <w:noWrap w:val="0"/>
            <w:vAlign w:val="center"/>
          </w:tcPr>
          <w:p w14:paraId="4BC54CC6">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110-EC32S-DJ</w:t>
            </w:r>
          </w:p>
        </w:tc>
      </w:tr>
      <w:tr w14:paraId="55B9D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69898EFE">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导线型式</w:t>
            </w:r>
          </w:p>
        </w:tc>
        <w:tc>
          <w:tcPr>
            <w:tcW w:w="2350" w:type="dxa"/>
            <w:tcBorders>
              <w:tl2br w:val="nil"/>
              <w:tr2bl w:val="nil"/>
            </w:tcBorders>
            <w:noWrap w:val="0"/>
            <w:vAlign w:val="center"/>
          </w:tcPr>
          <w:p w14:paraId="30871527">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rPr>
            </w:pPr>
            <w:r>
              <w:rPr>
                <w:rFonts w:hint="default" w:ascii="Times New Roman" w:hAnsi="Times New Roman" w:eastAsia="宋体" w:cs="Times New Roman"/>
                <w:b w:val="0"/>
                <w:bCs w:val="0"/>
                <w:color w:val="auto"/>
                <w:sz w:val="21"/>
                <w:szCs w:val="21"/>
                <w:highlight w:val="none"/>
                <w:vertAlign w:val="baseline"/>
                <w:lang w:val="en-US" w:eastAsia="zh-CN"/>
              </w:rPr>
              <w:t>1×JL3/G1A-300/40-24/7 钢芯铝绞线</w:t>
            </w:r>
          </w:p>
        </w:tc>
        <w:tc>
          <w:tcPr>
            <w:tcW w:w="4985" w:type="dxa"/>
            <w:gridSpan w:val="2"/>
            <w:tcBorders>
              <w:tl2br w:val="nil"/>
              <w:tr2bl w:val="nil"/>
            </w:tcBorders>
            <w:noWrap w:val="0"/>
            <w:vAlign w:val="center"/>
          </w:tcPr>
          <w:p w14:paraId="118214C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1×JL3/G1A-300/40-24/7钢芯铝绞线</w:t>
            </w:r>
          </w:p>
        </w:tc>
      </w:tr>
      <w:tr w14:paraId="7F71C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6EA1B077">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导线排列方式</w:t>
            </w:r>
          </w:p>
        </w:tc>
        <w:tc>
          <w:tcPr>
            <w:tcW w:w="2350" w:type="dxa"/>
            <w:tcBorders>
              <w:tl2br w:val="nil"/>
              <w:tr2bl w:val="nil"/>
            </w:tcBorders>
            <w:noWrap w:val="0"/>
            <w:vAlign w:val="center"/>
          </w:tcPr>
          <w:p w14:paraId="7C3C364C">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三角</w:t>
            </w:r>
            <w:r>
              <w:rPr>
                <w:rFonts w:hint="default" w:ascii="Times New Roman" w:hAnsi="Times New Roman" w:eastAsia="宋体" w:cs="Times New Roman"/>
                <w:color w:val="auto"/>
                <w:szCs w:val="21"/>
                <w:highlight w:val="none"/>
                <w:lang w:val="en-US" w:eastAsia="zh-CN"/>
              </w:rPr>
              <w:t>排列</w:t>
            </w:r>
          </w:p>
        </w:tc>
        <w:tc>
          <w:tcPr>
            <w:tcW w:w="4985" w:type="dxa"/>
            <w:gridSpan w:val="2"/>
            <w:tcBorders>
              <w:tl2br w:val="nil"/>
              <w:tr2bl w:val="nil"/>
            </w:tcBorders>
            <w:noWrap w:val="0"/>
            <w:vAlign w:val="center"/>
          </w:tcPr>
          <w:p w14:paraId="32CA5B9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垂直</w:t>
            </w:r>
            <w:r>
              <w:rPr>
                <w:rFonts w:hint="default" w:ascii="Times New Roman" w:hAnsi="Times New Roman" w:eastAsia="宋体" w:cs="Times New Roman"/>
                <w:color w:val="auto"/>
                <w:szCs w:val="21"/>
                <w:highlight w:val="none"/>
                <w:lang w:val="en-US" w:eastAsia="zh-CN"/>
              </w:rPr>
              <w:t>排列</w:t>
            </w:r>
          </w:p>
        </w:tc>
      </w:tr>
      <w:tr w14:paraId="56332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1A3C87FE">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分裂型式</w:t>
            </w:r>
          </w:p>
        </w:tc>
        <w:tc>
          <w:tcPr>
            <w:tcW w:w="2350" w:type="dxa"/>
            <w:tcBorders>
              <w:tl2br w:val="nil"/>
              <w:tr2bl w:val="nil"/>
            </w:tcBorders>
            <w:noWrap w:val="0"/>
            <w:vAlign w:val="center"/>
          </w:tcPr>
          <w:p w14:paraId="69BA4DFB">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单</w:t>
            </w:r>
            <w:r>
              <w:rPr>
                <w:rFonts w:hint="default" w:ascii="Times New Roman" w:hAnsi="Times New Roman" w:eastAsia="宋体" w:cs="Times New Roman"/>
                <w:b w:val="0"/>
                <w:bCs w:val="0"/>
                <w:color w:val="auto"/>
                <w:sz w:val="21"/>
                <w:szCs w:val="21"/>
                <w:highlight w:val="none"/>
                <w:vertAlign w:val="baseline"/>
                <w:lang w:val="en-US" w:eastAsia="zh-CN"/>
              </w:rPr>
              <w:t>分裂</w:t>
            </w:r>
          </w:p>
        </w:tc>
        <w:tc>
          <w:tcPr>
            <w:tcW w:w="4985" w:type="dxa"/>
            <w:gridSpan w:val="2"/>
            <w:tcBorders>
              <w:tl2br w:val="nil"/>
              <w:tr2bl w:val="nil"/>
            </w:tcBorders>
            <w:noWrap w:val="0"/>
            <w:vAlign w:val="center"/>
          </w:tcPr>
          <w:p w14:paraId="7EB6D3F4">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单</w:t>
            </w:r>
            <w:r>
              <w:rPr>
                <w:rFonts w:hint="default" w:ascii="Times New Roman" w:hAnsi="Times New Roman" w:eastAsia="宋体" w:cs="Times New Roman"/>
                <w:b w:val="0"/>
                <w:bCs w:val="0"/>
                <w:color w:val="auto"/>
                <w:sz w:val="21"/>
                <w:szCs w:val="21"/>
                <w:highlight w:val="none"/>
                <w:vertAlign w:val="baseline"/>
                <w:lang w:val="en-US" w:eastAsia="zh-CN"/>
              </w:rPr>
              <w:t>分裂</w:t>
            </w:r>
          </w:p>
        </w:tc>
      </w:tr>
      <w:tr w14:paraId="395EB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350133CD">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导线外径</w:t>
            </w:r>
          </w:p>
        </w:tc>
        <w:tc>
          <w:tcPr>
            <w:tcW w:w="2350" w:type="dxa"/>
            <w:tcBorders>
              <w:tl2br w:val="nil"/>
              <w:tr2bl w:val="nil"/>
            </w:tcBorders>
            <w:noWrap w:val="0"/>
            <w:vAlign w:val="center"/>
          </w:tcPr>
          <w:p w14:paraId="3E1EE9F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23.9</w:t>
            </w:r>
            <w:r>
              <w:rPr>
                <w:rFonts w:hint="default" w:ascii="Times New Roman" w:hAnsi="Times New Roman" w:eastAsia="宋体" w:cs="Times New Roman"/>
                <w:b w:val="0"/>
                <w:bCs w:val="0"/>
                <w:color w:val="auto"/>
                <w:sz w:val="21"/>
                <w:szCs w:val="21"/>
                <w:highlight w:val="none"/>
                <w:vertAlign w:val="baseline"/>
                <w:lang w:val="en-US" w:eastAsia="zh-CN"/>
              </w:rPr>
              <w:t>mm</w:t>
            </w:r>
          </w:p>
        </w:tc>
        <w:tc>
          <w:tcPr>
            <w:tcW w:w="4985" w:type="dxa"/>
            <w:gridSpan w:val="2"/>
            <w:tcBorders>
              <w:tl2br w:val="nil"/>
              <w:tr2bl w:val="nil"/>
            </w:tcBorders>
            <w:noWrap w:val="0"/>
            <w:vAlign w:val="center"/>
          </w:tcPr>
          <w:p w14:paraId="21CEAC4A">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23.9</w:t>
            </w:r>
            <w:r>
              <w:rPr>
                <w:rFonts w:hint="default" w:ascii="Times New Roman" w:hAnsi="Times New Roman" w:eastAsia="宋体" w:cs="Times New Roman"/>
                <w:b w:val="0"/>
                <w:bCs w:val="0"/>
                <w:color w:val="auto"/>
                <w:sz w:val="21"/>
                <w:szCs w:val="21"/>
                <w:highlight w:val="none"/>
                <w:vertAlign w:val="baseline"/>
                <w:lang w:val="en-US" w:eastAsia="zh-CN"/>
              </w:rPr>
              <w:t>mm</w:t>
            </w:r>
          </w:p>
        </w:tc>
      </w:tr>
      <w:tr w14:paraId="15352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24C1A25D">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预测电压</w:t>
            </w:r>
          </w:p>
        </w:tc>
        <w:tc>
          <w:tcPr>
            <w:tcW w:w="2350" w:type="dxa"/>
            <w:tcBorders>
              <w:tl2br w:val="nil"/>
              <w:tr2bl w:val="nil"/>
            </w:tcBorders>
            <w:noWrap w:val="0"/>
            <w:vAlign w:val="center"/>
          </w:tcPr>
          <w:p w14:paraId="305D77E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115.5</w:t>
            </w:r>
            <w:r>
              <w:rPr>
                <w:rFonts w:hint="default" w:ascii="Times New Roman" w:hAnsi="Times New Roman" w:eastAsia="宋体" w:cs="Times New Roman"/>
                <w:b w:val="0"/>
                <w:bCs w:val="0"/>
                <w:color w:val="auto"/>
                <w:sz w:val="21"/>
                <w:szCs w:val="21"/>
                <w:highlight w:val="none"/>
                <w:vertAlign w:val="baseline"/>
                <w:lang w:val="en-US" w:eastAsia="zh-CN"/>
              </w:rPr>
              <w:t>kV</w:t>
            </w:r>
          </w:p>
        </w:tc>
        <w:tc>
          <w:tcPr>
            <w:tcW w:w="4985" w:type="dxa"/>
            <w:gridSpan w:val="2"/>
            <w:tcBorders>
              <w:tl2br w:val="nil"/>
              <w:tr2bl w:val="nil"/>
            </w:tcBorders>
            <w:noWrap w:val="0"/>
            <w:vAlign w:val="center"/>
          </w:tcPr>
          <w:p w14:paraId="2E150C12">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115.5</w:t>
            </w:r>
            <w:r>
              <w:rPr>
                <w:rFonts w:hint="default" w:ascii="Times New Roman" w:hAnsi="Times New Roman" w:eastAsia="宋体" w:cs="Times New Roman"/>
                <w:b w:val="0"/>
                <w:bCs w:val="0"/>
                <w:color w:val="auto"/>
                <w:sz w:val="21"/>
                <w:szCs w:val="21"/>
                <w:highlight w:val="none"/>
                <w:vertAlign w:val="baseline"/>
                <w:lang w:val="en-US" w:eastAsia="zh-CN"/>
              </w:rPr>
              <w:t>kV</w:t>
            </w:r>
          </w:p>
        </w:tc>
      </w:tr>
      <w:tr w14:paraId="757DE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64A031FD">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输送功率</w:t>
            </w:r>
          </w:p>
        </w:tc>
        <w:tc>
          <w:tcPr>
            <w:tcW w:w="2350" w:type="dxa"/>
            <w:tcBorders>
              <w:tl2br w:val="nil"/>
              <w:tr2bl w:val="nil"/>
            </w:tcBorders>
            <w:noWrap w:val="0"/>
            <w:vAlign w:val="center"/>
          </w:tcPr>
          <w:p w14:paraId="3A356C4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kern w:val="2"/>
                <w:sz w:val="21"/>
                <w:szCs w:val="21"/>
                <w:highlight w:val="none"/>
                <w:lang w:val="en-US" w:eastAsia="zh-CN" w:bidi="ar-SA"/>
              </w:rPr>
              <w:t>51.4MW</w:t>
            </w:r>
          </w:p>
        </w:tc>
        <w:tc>
          <w:tcPr>
            <w:tcW w:w="4985" w:type="dxa"/>
            <w:gridSpan w:val="2"/>
            <w:tcBorders>
              <w:tl2br w:val="nil"/>
              <w:tr2bl w:val="nil"/>
            </w:tcBorders>
            <w:noWrap w:val="0"/>
            <w:vAlign w:val="center"/>
          </w:tcPr>
          <w:p w14:paraId="519D1761">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51.4MW</w:t>
            </w:r>
          </w:p>
        </w:tc>
      </w:tr>
      <w:tr w14:paraId="3E6CF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7CD53141">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lang w:val="en-US" w:eastAsia="zh-CN"/>
              </w:rPr>
              <w:t>功率因数</w:t>
            </w:r>
          </w:p>
        </w:tc>
        <w:tc>
          <w:tcPr>
            <w:tcW w:w="2350" w:type="dxa"/>
            <w:tcBorders>
              <w:tl2br w:val="nil"/>
              <w:tr2bl w:val="nil"/>
            </w:tcBorders>
            <w:noWrap w:val="0"/>
            <w:vAlign w:val="center"/>
          </w:tcPr>
          <w:p w14:paraId="7F910F08">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0.95</w:t>
            </w:r>
          </w:p>
        </w:tc>
        <w:tc>
          <w:tcPr>
            <w:tcW w:w="4985" w:type="dxa"/>
            <w:gridSpan w:val="2"/>
            <w:tcBorders>
              <w:tl2br w:val="nil"/>
              <w:tr2bl w:val="nil"/>
            </w:tcBorders>
            <w:noWrap w:val="0"/>
            <w:vAlign w:val="center"/>
          </w:tcPr>
          <w:p w14:paraId="60A6717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0.95</w:t>
            </w:r>
          </w:p>
        </w:tc>
      </w:tr>
      <w:tr w14:paraId="70C67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1F6F9B92">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eastAsia" w:cs="Times New Roman"/>
                <w:b/>
                <w:bCs/>
                <w:color w:val="auto"/>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vertAlign w:val="baseline"/>
                <w:lang w:val="en-US" w:eastAsia="zh-CN"/>
              </w:rPr>
              <w:t>导线</w:t>
            </w:r>
            <w:r>
              <w:rPr>
                <w:rFonts w:hint="eastAsia" w:ascii="Times New Roman" w:hAnsi="Times New Roman" w:eastAsia="宋体" w:cs="Times New Roman"/>
                <w:b/>
                <w:bCs/>
                <w:color w:val="auto"/>
                <w:spacing w:val="0"/>
                <w:w w:val="100"/>
                <w:position w:val="0"/>
                <w:sz w:val="21"/>
                <w:szCs w:val="21"/>
                <w:highlight w:val="none"/>
                <w:vertAlign w:val="baseline"/>
                <w:lang w:val="en-US" w:eastAsia="zh-CN"/>
              </w:rPr>
              <w:t>垂直</w:t>
            </w:r>
            <w:r>
              <w:rPr>
                <w:rFonts w:hint="default" w:ascii="Times New Roman" w:hAnsi="Times New Roman" w:eastAsia="宋体" w:cs="Times New Roman"/>
                <w:b/>
                <w:bCs/>
                <w:color w:val="auto"/>
                <w:spacing w:val="0"/>
                <w:w w:val="100"/>
                <w:position w:val="0"/>
                <w:sz w:val="21"/>
                <w:szCs w:val="21"/>
                <w:highlight w:val="none"/>
                <w:vertAlign w:val="baseline"/>
                <w:lang w:val="en-US" w:eastAsia="zh-CN"/>
              </w:rPr>
              <w:t>间距</w:t>
            </w:r>
          </w:p>
        </w:tc>
        <w:tc>
          <w:tcPr>
            <w:tcW w:w="2350" w:type="dxa"/>
            <w:tcBorders>
              <w:tl2br w:val="nil"/>
              <w:tr2bl w:val="nil"/>
            </w:tcBorders>
            <w:noWrap w:val="0"/>
            <w:vAlign w:val="center"/>
          </w:tcPr>
          <w:p w14:paraId="64CE9EC0">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517" w:type="dxa"/>
            <w:tcBorders>
              <w:tl2br w:val="nil"/>
              <w:tr2bl w:val="nil"/>
            </w:tcBorders>
            <w:noWrap w:val="0"/>
            <w:vAlign w:val="center"/>
          </w:tcPr>
          <w:p w14:paraId="020F78E8">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上/下：</w:t>
            </w:r>
            <w:r>
              <w:rPr>
                <w:rFonts w:hint="eastAsia" w:ascii="Times New Roman" w:hAnsi="Times New Roman" w:cs="Times New Roman"/>
                <w:b w:val="0"/>
                <w:bCs w:val="0"/>
                <w:color w:val="auto"/>
                <w:spacing w:val="0"/>
                <w:w w:val="100"/>
                <w:kern w:val="0"/>
                <w:position w:val="0"/>
                <w:sz w:val="21"/>
                <w:szCs w:val="21"/>
                <w:highlight w:val="none"/>
                <w:lang w:val="en-US" w:eastAsia="zh-CN" w:bidi="ar"/>
              </w:rPr>
              <w:t>4.5</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r>
              <w:rPr>
                <w:rFonts w:hint="eastAsia" w:ascii="Times New Roman" w:hAnsi="Times New Roman" w:cs="Times New Roman"/>
                <w:b w:val="0"/>
                <w:bCs w:val="0"/>
                <w:color w:val="auto"/>
                <w:spacing w:val="0"/>
                <w:w w:val="100"/>
                <w:kern w:val="0"/>
                <w:position w:val="0"/>
                <w:sz w:val="21"/>
                <w:szCs w:val="21"/>
                <w:highlight w:val="none"/>
                <w:lang w:val="en-US" w:eastAsia="zh-CN" w:bidi="ar"/>
              </w:rPr>
              <w:t>4.1</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p>
        </w:tc>
        <w:tc>
          <w:tcPr>
            <w:tcW w:w="2468" w:type="dxa"/>
            <w:tcBorders>
              <w:tl2br w:val="nil"/>
              <w:tr2bl w:val="nil"/>
            </w:tcBorders>
            <w:noWrap w:val="0"/>
            <w:vAlign w:val="center"/>
          </w:tcPr>
          <w:p w14:paraId="3334ADBB">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上/下：</w:t>
            </w:r>
            <w:r>
              <w:rPr>
                <w:rFonts w:hint="eastAsia" w:ascii="Times New Roman" w:hAnsi="Times New Roman" w:cs="Times New Roman"/>
                <w:b w:val="0"/>
                <w:bCs w:val="0"/>
                <w:color w:val="auto"/>
                <w:spacing w:val="0"/>
                <w:w w:val="100"/>
                <w:kern w:val="0"/>
                <w:position w:val="0"/>
                <w:sz w:val="21"/>
                <w:szCs w:val="21"/>
                <w:highlight w:val="none"/>
                <w:lang w:val="en-US" w:eastAsia="zh-CN" w:bidi="ar"/>
              </w:rPr>
              <w:t>4.5</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r>
              <w:rPr>
                <w:rFonts w:hint="eastAsia" w:ascii="Times New Roman" w:hAnsi="Times New Roman" w:cs="Times New Roman"/>
                <w:b w:val="0"/>
                <w:bCs w:val="0"/>
                <w:color w:val="auto"/>
                <w:spacing w:val="0"/>
                <w:w w:val="100"/>
                <w:kern w:val="0"/>
                <w:position w:val="0"/>
                <w:sz w:val="21"/>
                <w:szCs w:val="21"/>
                <w:highlight w:val="none"/>
                <w:lang w:val="en-US" w:eastAsia="zh-CN" w:bidi="ar"/>
              </w:rPr>
              <w:t>4.1</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p>
        </w:tc>
      </w:tr>
      <w:tr w14:paraId="4E4A2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4B20A03D">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cs="Times New Roman"/>
                <w:b/>
                <w:bCs/>
                <w:color w:val="auto"/>
                <w:sz w:val="21"/>
                <w:szCs w:val="21"/>
                <w:highlight w:val="none"/>
                <w:lang w:val="en-US" w:eastAsia="zh-CN"/>
              </w:rPr>
            </w:pPr>
            <w:r>
              <w:rPr>
                <w:rFonts w:hint="default" w:ascii="Times New Roman" w:hAnsi="Times New Roman" w:eastAsia="宋体" w:cs="Times New Roman"/>
                <w:b/>
                <w:bCs/>
                <w:color w:val="auto"/>
                <w:spacing w:val="0"/>
                <w:w w:val="100"/>
                <w:position w:val="0"/>
                <w:sz w:val="21"/>
                <w:szCs w:val="21"/>
                <w:highlight w:val="none"/>
                <w:vertAlign w:val="baseline"/>
                <w:lang w:val="en-US" w:eastAsia="zh-CN"/>
              </w:rPr>
              <w:t>导线水平间距</w:t>
            </w:r>
          </w:p>
        </w:tc>
        <w:tc>
          <w:tcPr>
            <w:tcW w:w="2350" w:type="dxa"/>
            <w:tcBorders>
              <w:tl2br w:val="nil"/>
              <w:tr2bl w:val="nil"/>
            </w:tcBorders>
            <w:noWrap w:val="0"/>
            <w:vAlign w:val="center"/>
          </w:tcPr>
          <w:p w14:paraId="1D0DBD6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8.9m</w:t>
            </w:r>
          </w:p>
        </w:tc>
        <w:tc>
          <w:tcPr>
            <w:tcW w:w="2517" w:type="dxa"/>
            <w:tcBorders>
              <w:tl2br w:val="nil"/>
              <w:tr2bl w:val="nil"/>
            </w:tcBorders>
            <w:noWrap w:val="0"/>
            <w:vAlign w:val="center"/>
          </w:tcPr>
          <w:p w14:paraId="62072A32">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p>
        </w:tc>
        <w:tc>
          <w:tcPr>
            <w:tcW w:w="2468" w:type="dxa"/>
            <w:tcBorders>
              <w:tl2br w:val="nil"/>
              <w:tr2bl w:val="nil"/>
            </w:tcBorders>
            <w:noWrap w:val="0"/>
            <w:vAlign w:val="center"/>
          </w:tcPr>
          <w:p w14:paraId="4122F59E">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上/中/下：</w:t>
            </w:r>
            <w:r>
              <w:rPr>
                <w:rFonts w:hint="eastAsia" w:ascii="Times New Roman" w:hAnsi="Times New Roman" w:cs="Times New Roman"/>
                <w:b w:val="0"/>
                <w:bCs w:val="0"/>
                <w:color w:val="auto"/>
                <w:spacing w:val="0"/>
                <w:w w:val="100"/>
                <w:kern w:val="0"/>
                <w:position w:val="0"/>
                <w:sz w:val="21"/>
                <w:szCs w:val="21"/>
                <w:highlight w:val="none"/>
                <w:lang w:val="en-US" w:eastAsia="zh-CN" w:bidi="ar"/>
              </w:rPr>
              <w:t>10.2</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r>
              <w:rPr>
                <w:rFonts w:hint="eastAsia" w:ascii="Times New Roman" w:hAnsi="Times New Roman" w:cs="Times New Roman"/>
                <w:b w:val="0"/>
                <w:bCs w:val="0"/>
                <w:color w:val="auto"/>
                <w:spacing w:val="0"/>
                <w:w w:val="100"/>
                <w:kern w:val="0"/>
                <w:position w:val="0"/>
                <w:sz w:val="21"/>
                <w:szCs w:val="21"/>
                <w:highlight w:val="none"/>
                <w:lang w:val="en-US" w:eastAsia="zh-CN" w:bidi="ar"/>
              </w:rPr>
              <w:t>11.8</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r>
              <w:rPr>
                <w:rFonts w:hint="eastAsia" w:ascii="Times New Roman" w:hAnsi="Times New Roman" w:cs="Times New Roman"/>
                <w:b w:val="0"/>
                <w:bCs w:val="0"/>
                <w:color w:val="auto"/>
                <w:spacing w:val="0"/>
                <w:w w:val="100"/>
                <w:kern w:val="0"/>
                <w:position w:val="0"/>
                <w:sz w:val="21"/>
                <w:szCs w:val="21"/>
                <w:highlight w:val="none"/>
                <w:lang w:val="en-US" w:eastAsia="zh-CN" w:bidi="ar"/>
              </w:rPr>
              <w:t>10.2</w:t>
            </w:r>
            <w:r>
              <w:rPr>
                <w:rFonts w:hint="default" w:ascii="Times New Roman" w:hAnsi="Times New Roman" w:eastAsia="宋体" w:cs="Times New Roman"/>
                <w:b w:val="0"/>
                <w:bCs w:val="0"/>
                <w:color w:val="auto"/>
                <w:spacing w:val="0"/>
                <w:w w:val="100"/>
                <w:kern w:val="0"/>
                <w:position w:val="0"/>
                <w:sz w:val="21"/>
                <w:szCs w:val="21"/>
                <w:highlight w:val="none"/>
                <w:lang w:val="en-US" w:eastAsia="zh-CN" w:bidi="ar"/>
              </w:rPr>
              <w:t>m</w:t>
            </w:r>
          </w:p>
        </w:tc>
      </w:tr>
      <w:tr w14:paraId="7C6C0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4F38067D">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计算点距地高</w:t>
            </w:r>
          </w:p>
        </w:tc>
        <w:tc>
          <w:tcPr>
            <w:tcW w:w="2350" w:type="dxa"/>
            <w:tcBorders>
              <w:tl2br w:val="nil"/>
              <w:tr2bl w:val="nil"/>
            </w:tcBorders>
            <w:noWrap w:val="0"/>
            <w:vAlign w:val="center"/>
          </w:tcPr>
          <w:p w14:paraId="7D7A2404">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1.5m</w:t>
            </w:r>
          </w:p>
        </w:tc>
        <w:tc>
          <w:tcPr>
            <w:tcW w:w="4985" w:type="dxa"/>
            <w:gridSpan w:val="2"/>
            <w:tcBorders>
              <w:tl2br w:val="nil"/>
              <w:tr2bl w:val="nil"/>
            </w:tcBorders>
            <w:noWrap w:val="0"/>
            <w:vAlign w:val="center"/>
          </w:tcPr>
          <w:p w14:paraId="219B9EF8">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1.5m</w:t>
            </w:r>
          </w:p>
        </w:tc>
      </w:tr>
      <w:tr w14:paraId="0D51D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6B65F1E3">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导线计算高度</w:t>
            </w:r>
          </w:p>
        </w:tc>
        <w:tc>
          <w:tcPr>
            <w:tcW w:w="2350" w:type="dxa"/>
            <w:tcBorders>
              <w:tl2br w:val="nil"/>
              <w:tr2bl w:val="nil"/>
            </w:tcBorders>
            <w:noWrap w:val="0"/>
            <w:vAlign w:val="center"/>
          </w:tcPr>
          <w:p w14:paraId="1FD7D13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r>
              <w:rPr>
                <w:rFonts w:hint="eastAsia"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w:t>
            </w:r>
          </w:p>
        </w:tc>
        <w:tc>
          <w:tcPr>
            <w:tcW w:w="4985" w:type="dxa"/>
            <w:gridSpan w:val="2"/>
            <w:tcBorders>
              <w:tl2br w:val="nil"/>
              <w:tr2bl w:val="nil"/>
            </w:tcBorders>
            <w:noWrap w:val="0"/>
            <w:vAlign w:val="center"/>
          </w:tcPr>
          <w:p w14:paraId="611FDB7C">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r>
              <w:rPr>
                <w:rFonts w:hint="eastAsia"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w:t>
            </w:r>
          </w:p>
        </w:tc>
      </w:tr>
      <w:tr w14:paraId="06092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7D725093">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计算距离</w:t>
            </w:r>
          </w:p>
        </w:tc>
        <w:tc>
          <w:tcPr>
            <w:tcW w:w="2350" w:type="dxa"/>
            <w:tcBorders>
              <w:tl2br w:val="nil"/>
              <w:tr2bl w:val="nil"/>
            </w:tcBorders>
            <w:noWrap w:val="0"/>
            <w:vAlign w:val="center"/>
          </w:tcPr>
          <w:p w14:paraId="35481BC1">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m~5</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w:t>
            </w:r>
          </w:p>
        </w:tc>
        <w:tc>
          <w:tcPr>
            <w:tcW w:w="4985" w:type="dxa"/>
            <w:gridSpan w:val="2"/>
            <w:tcBorders>
              <w:tl2br w:val="nil"/>
              <w:tr2bl w:val="nil"/>
            </w:tcBorders>
            <w:noWrap w:val="0"/>
            <w:vAlign w:val="center"/>
          </w:tcPr>
          <w:p w14:paraId="518008C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m~5</w:t>
            </w:r>
            <w:r>
              <w:rPr>
                <w:rFonts w:hint="eastAsia" w:ascii="Times New Roman" w:hAnsi="Times New Roman" w:eastAsia="宋体" w:cs="Times New Roman"/>
                <w:b w:val="0"/>
                <w:bCs w:val="0"/>
                <w:color w:val="auto"/>
                <w:sz w:val="21"/>
                <w:szCs w:val="21"/>
                <w:highlight w:val="none"/>
                <w:vertAlign w:val="baseline"/>
                <w:lang w:val="en-US" w:eastAsia="zh-CN"/>
              </w:rPr>
              <w:t>0</w:t>
            </w:r>
            <w:r>
              <w:rPr>
                <w:rFonts w:hint="default" w:ascii="Times New Roman" w:hAnsi="Times New Roman" w:eastAsia="宋体" w:cs="Times New Roman"/>
                <w:b w:val="0"/>
                <w:bCs w:val="0"/>
                <w:color w:val="auto"/>
                <w:sz w:val="21"/>
                <w:szCs w:val="21"/>
                <w:highlight w:val="none"/>
                <w:vertAlign w:val="baseline"/>
                <w:lang w:val="en-US" w:eastAsia="zh-CN"/>
              </w:rPr>
              <w:t>m</w:t>
            </w:r>
          </w:p>
        </w:tc>
      </w:tr>
      <w:tr w14:paraId="1E7EA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0FE95D26">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相序</w:t>
            </w:r>
          </w:p>
        </w:tc>
        <w:tc>
          <w:tcPr>
            <w:tcW w:w="2350" w:type="dxa"/>
            <w:tcBorders>
              <w:tl2br w:val="nil"/>
              <w:tr2bl w:val="nil"/>
            </w:tcBorders>
            <w:noWrap w:val="0"/>
            <w:vAlign w:val="center"/>
          </w:tcPr>
          <w:p w14:paraId="278709C9">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ABC</w:t>
            </w:r>
          </w:p>
        </w:tc>
        <w:tc>
          <w:tcPr>
            <w:tcW w:w="2517" w:type="dxa"/>
            <w:tcBorders>
              <w:tl2br w:val="nil"/>
              <w:tr2bl w:val="nil"/>
            </w:tcBorders>
            <w:noWrap w:val="0"/>
            <w:vAlign w:val="center"/>
          </w:tcPr>
          <w:p w14:paraId="6E97EEA2">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BAC（设计提供）</w:t>
            </w:r>
          </w:p>
        </w:tc>
        <w:tc>
          <w:tcPr>
            <w:tcW w:w="2468" w:type="dxa"/>
            <w:tcBorders>
              <w:tl2br w:val="nil"/>
              <w:tr2bl w:val="nil"/>
            </w:tcBorders>
            <w:noWrap w:val="0"/>
            <w:vAlign w:val="center"/>
          </w:tcPr>
          <w:p w14:paraId="10DC4FE7">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BAC-BAC（以最不利同向序进行预测）</w:t>
            </w:r>
          </w:p>
        </w:tc>
      </w:tr>
      <w:tr w14:paraId="5FE28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7D8C0283">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预测模型</w:t>
            </w:r>
          </w:p>
        </w:tc>
        <w:tc>
          <w:tcPr>
            <w:tcW w:w="2350" w:type="dxa"/>
            <w:tcBorders>
              <w:tl2br w:val="nil"/>
              <w:tr2bl w:val="nil"/>
            </w:tcBorders>
            <w:noWrap w:val="0"/>
            <w:vAlign w:val="center"/>
          </w:tcPr>
          <w:p w14:paraId="7BDCE64A">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highlight w:val="none"/>
              </w:rPr>
            </w:pPr>
          </w:p>
          <w:p w14:paraId="7A742A6D">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highlight w:val="none"/>
              </w:rPr>
              <w:object>
                <v:shape id="_x0000_i1031" o:spt="75" type="#_x0000_t75" style="height:136.1pt;width:105.25pt;" o:ole="t" filled="f" o:preferrelative="t" stroked="t" coordsize="21600,21600">
                  <v:path/>
                  <v:fill on="f" focussize="0,0"/>
                  <v:stroke weight="1pt" color="#000000" joinstyle="miter"/>
                  <v:imagedata r:id="rId24" cropleft="20735f" cropright="24629f" o:title=""/>
                  <o:lock v:ext="edit" aspectratio="f"/>
                  <w10:wrap type="none"/>
                  <w10:anchorlock/>
                </v:shape>
                <o:OLEObject Type="Embed" ProgID="Visio.Drawing.11" ShapeID="_x0000_i1031" DrawAspect="Content" ObjectID="_1468075731" r:id="rId23">
                  <o:LockedField>false</o:LockedField>
                </o:OLEObject>
              </w:object>
            </w:r>
          </w:p>
        </w:tc>
        <w:tc>
          <w:tcPr>
            <w:tcW w:w="2517" w:type="dxa"/>
            <w:tcBorders>
              <w:tl2br w:val="nil"/>
              <w:tr2bl w:val="nil"/>
            </w:tcBorders>
            <w:noWrap w:val="0"/>
            <w:vAlign w:val="center"/>
          </w:tcPr>
          <w:p w14:paraId="1FA535F4">
            <w:pPr>
              <w:pStyle w:val="8"/>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highlight w:val="none"/>
              </w:rPr>
              <w:object>
                <v:shape id="_x0000_i1032" o:spt="75" type="#_x0000_t75" style="height:152.3pt;width:112.6pt;" o:ole="t" fillcolor="#FFFFFF" filled="t" o:preferrelative="t" stroked="t" coordsize="21600,21600">
                  <v:path/>
                  <v:fill on="t" color2="#FFFFFF" focussize="0,0"/>
                  <v:stroke weight="1pt" color="#000000" joinstyle="miter"/>
                  <v:imagedata r:id="rId26" cropleft="8294f" cropright="5927f" o:title=""/>
                  <o:lock v:ext="edit" aspectratio="f"/>
                  <w10:wrap type="none"/>
                  <w10:anchorlock/>
                </v:shape>
                <o:OLEObject Type="Embed" ProgID="Visio.Drawing.11" ShapeID="_x0000_i1032" DrawAspect="Content" ObjectID="_1468075732" r:id="rId25">
                  <o:LockedField>false</o:LockedField>
                </o:OLEObject>
              </w:object>
            </w:r>
          </w:p>
        </w:tc>
        <w:tc>
          <w:tcPr>
            <w:tcW w:w="2468" w:type="dxa"/>
            <w:tcBorders>
              <w:tl2br w:val="nil"/>
              <w:tr2bl w:val="nil"/>
            </w:tcBorders>
            <w:noWrap w:val="0"/>
            <w:vAlign w:val="center"/>
          </w:tcPr>
          <w:p w14:paraId="3666132B">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highlight w:val="none"/>
              </w:rPr>
              <w:object>
                <v:shape id="_x0000_i1033" o:spt="75" type="#_x0000_t75" style="height:154.75pt;width:105.5pt;" o:ole="t" fillcolor="#FFFFFF" filled="t" o:preferrelative="t" stroked="t" coordsize="21600,21600">
                  <v:path/>
                  <v:fill on="t" color2="#FFFFFF" focussize="0,0"/>
                  <v:stroke weight="1pt" color="#000000" joinstyle="miter"/>
                  <v:imagedata r:id="rId28" cropleft="5583f" cropright="6891f" o:title=""/>
                  <o:lock v:ext="edit" aspectratio="f"/>
                  <w10:wrap type="none"/>
                  <w10:anchorlock/>
                </v:shape>
                <o:OLEObject Type="Embed" ProgID="Visio.Drawing.11" ShapeID="_x0000_i1033" DrawAspect="Content" ObjectID="_1468075733" r:id="rId27">
                  <o:LockedField>false</o:LockedField>
                </o:OLEObject>
              </w:object>
            </w:r>
          </w:p>
        </w:tc>
      </w:tr>
      <w:tr w14:paraId="62581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80" w:type="dxa"/>
            <w:tcBorders>
              <w:tl2br w:val="nil"/>
              <w:tr2bl w:val="nil"/>
            </w:tcBorders>
            <w:noWrap w:val="0"/>
            <w:vAlign w:val="center"/>
          </w:tcPr>
          <w:p w14:paraId="37A299EC">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塔型</w:t>
            </w:r>
          </w:p>
        </w:tc>
        <w:tc>
          <w:tcPr>
            <w:tcW w:w="2350" w:type="dxa"/>
            <w:tcBorders>
              <w:tl2br w:val="nil"/>
              <w:tr2bl w:val="nil"/>
            </w:tcBorders>
            <w:noWrap w:val="0"/>
            <w:vAlign w:val="center"/>
          </w:tcPr>
          <w:p w14:paraId="4601967F">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color w:val="auto"/>
                <w:highlight w:val="none"/>
              </w:rPr>
              <w:drawing>
                <wp:inline distT="0" distB="0" distL="114300" distR="114300">
                  <wp:extent cx="1388745" cy="1453515"/>
                  <wp:effectExtent l="0" t="0" r="1905" b="1333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9"/>
                          <a:stretch>
                            <a:fillRect/>
                          </a:stretch>
                        </pic:blipFill>
                        <pic:spPr>
                          <a:xfrm>
                            <a:off x="0" y="0"/>
                            <a:ext cx="1388745" cy="1453515"/>
                          </a:xfrm>
                          <a:prstGeom prst="rect">
                            <a:avLst/>
                          </a:prstGeom>
                          <a:noFill/>
                          <a:ln>
                            <a:noFill/>
                          </a:ln>
                        </pic:spPr>
                      </pic:pic>
                    </a:graphicData>
                  </a:graphic>
                </wp:inline>
              </w:drawing>
            </w:r>
          </w:p>
        </w:tc>
        <w:tc>
          <w:tcPr>
            <w:tcW w:w="4985" w:type="dxa"/>
            <w:gridSpan w:val="2"/>
            <w:tcBorders>
              <w:tl2br w:val="nil"/>
              <w:tr2bl w:val="nil"/>
            </w:tcBorders>
            <w:noWrap w:val="0"/>
            <w:vAlign w:val="center"/>
          </w:tcPr>
          <w:p w14:paraId="286F3818">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highlight w:val="none"/>
              </w:rPr>
            </w:pPr>
            <w:r>
              <w:rPr>
                <w:color w:val="auto"/>
                <w:highlight w:val="none"/>
              </w:rPr>
              <w:drawing>
                <wp:inline distT="0" distB="0" distL="114300" distR="114300">
                  <wp:extent cx="1738630" cy="1892300"/>
                  <wp:effectExtent l="0" t="0" r="13970" b="1270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30"/>
                          <a:stretch>
                            <a:fillRect/>
                          </a:stretch>
                        </pic:blipFill>
                        <pic:spPr>
                          <a:xfrm>
                            <a:off x="0" y="0"/>
                            <a:ext cx="1738630" cy="1892300"/>
                          </a:xfrm>
                          <a:prstGeom prst="rect">
                            <a:avLst/>
                          </a:prstGeom>
                          <a:noFill/>
                          <a:ln>
                            <a:noFill/>
                          </a:ln>
                        </pic:spPr>
                      </pic:pic>
                    </a:graphicData>
                  </a:graphic>
                </wp:inline>
              </w:drawing>
            </w:r>
          </w:p>
        </w:tc>
      </w:tr>
    </w:tbl>
    <w:p w14:paraId="446134F0">
      <w:pPr>
        <w:spacing w:line="360" w:lineRule="auto"/>
        <w:ind w:firstLine="480" w:firstLineChars="200"/>
        <w:rPr>
          <w:bCs/>
          <w:color w:val="auto"/>
          <w:sz w:val="24"/>
          <w:highlight w:val="none"/>
        </w:rPr>
      </w:pPr>
      <w:r>
        <w:rPr>
          <w:bCs/>
          <w:color w:val="auto"/>
          <w:sz w:val="24"/>
          <w:highlight w:val="none"/>
        </w:rPr>
        <w:t>（3）</w:t>
      </w:r>
      <w:r>
        <w:rPr>
          <w:color w:val="auto"/>
          <w:sz w:val="24"/>
          <w:highlight w:val="none"/>
        </w:rPr>
        <w:t>预测结果及分析</w:t>
      </w:r>
    </w:p>
    <w:p w14:paraId="6038B3FA">
      <w:pPr>
        <w:spacing w:line="360" w:lineRule="auto"/>
        <w:ind w:firstLine="480" w:firstLineChars="200"/>
        <w:rPr>
          <w:rFonts w:hint="default" w:eastAsia="宋体"/>
          <w:bCs/>
          <w:color w:val="auto"/>
          <w:sz w:val="24"/>
          <w:highlight w:val="none"/>
          <w:lang w:val="en-US" w:eastAsia="zh-CN"/>
        </w:rPr>
      </w:pPr>
      <w:r>
        <w:rPr>
          <w:rFonts w:hint="eastAsia"/>
          <w:bCs/>
          <w:color w:val="auto"/>
          <w:sz w:val="24"/>
          <w:highlight w:val="none"/>
          <w:lang w:val="en-US" w:eastAsia="zh-CN"/>
        </w:rPr>
        <w:t>本项目线路</w:t>
      </w:r>
      <w:r>
        <w:rPr>
          <w:bCs/>
          <w:color w:val="auto"/>
          <w:sz w:val="24"/>
          <w:highlight w:val="none"/>
        </w:rPr>
        <w:t>导线对地高度</w:t>
      </w:r>
      <w:r>
        <w:rPr>
          <w:rFonts w:hint="eastAsia"/>
          <w:bCs/>
          <w:color w:val="auto"/>
          <w:sz w:val="24"/>
          <w:highlight w:val="none"/>
          <w:lang w:val="en-US" w:eastAsia="zh-CN"/>
        </w:rPr>
        <w:t>10</w:t>
      </w:r>
      <w:r>
        <w:rPr>
          <w:rFonts w:hint="eastAsia"/>
          <w:bCs/>
          <w:color w:val="auto"/>
          <w:sz w:val="24"/>
          <w:highlight w:val="none"/>
        </w:rPr>
        <w:t>m</w:t>
      </w:r>
      <w:r>
        <w:rPr>
          <w:bCs/>
          <w:color w:val="auto"/>
          <w:sz w:val="24"/>
          <w:highlight w:val="none"/>
        </w:rPr>
        <w:t>时产生的工频电场、工频磁场预测计算结果</w:t>
      </w:r>
      <w:r>
        <w:rPr>
          <w:rFonts w:hint="eastAsia"/>
          <w:bCs/>
          <w:color w:val="auto"/>
          <w:sz w:val="24"/>
          <w:highlight w:val="none"/>
          <w:lang w:val="en-US" w:eastAsia="zh-CN"/>
        </w:rPr>
        <w:t>见专题表7。</w:t>
      </w:r>
    </w:p>
    <w:p w14:paraId="7A5D6106">
      <w:pPr>
        <w:spacing w:line="360" w:lineRule="auto"/>
        <w:jc w:val="center"/>
        <w:rPr>
          <w:rFonts w:eastAsia="黑体"/>
          <w:b/>
          <w:bCs/>
          <w:color w:val="auto"/>
          <w:sz w:val="24"/>
          <w:highlight w:val="none"/>
        </w:rPr>
      </w:pPr>
      <w:r>
        <w:rPr>
          <w:rFonts w:eastAsia="黑体"/>
          <w:b/>
          <w:bCs/>
          <w:color w:val="auto"/>
          <w:sz w:val="24"/>
          <w:highlight w:val="none"/>
        </w:rPr>
        <w:t>专题表</w:t>
      </w:r>
      <w:r>
        <w:rPr>
          <w:rFonts w:hint="eastAsia" w:eastAsia="黑体"/>
          <w:b/>
          <w:bCs/>
          <w:color w:val="auto"/>
          <w:sz w:val="24"/>
          <w:highlight w:val="none"/>
          <w:lang w:val="en-US" w:eastAsia="zh-CN"/>
        </w:rPr>
        <w:t>7</w:t>
      </w:r>
      <w:r>
        <w:rPr>
          <w:rFonts w:eastAsia="黑体"/>
          <w:b/>
          <w:bCs/>
          <w:color w:val="auto"/>
          <w:sz w:val="24"/>
          <w:highlight w:val="none"/>
        </w:rPr>
        <w:t xml:space="preserve">  本项目线路</w:t>
      </w:r>
      <w:r>
        <w:rPr>
          <w:rFonts w:hint="eastAsia" w:eastAsia="黑体"/>
          <w:b/>
          <w:bCs/>
          <w:color w:val="auto"/>
          <w:sz w:val="24"/>
          <w:highlight w:val="none"/>
          <w:lang w:val="en-US" w:eastAsia="zh-CN"/>
        </w:rPr>
        <w:t>运行时</w:t>
      </w:r>
      <w:r>
        <w:rPr>
          <w:rFonts w:eastAsia="黑体"/>
          <w:b/>
          <w:bCs/>
          <w:color w:val="auto"/>
          <w:sz w:val="24"/>
          <w:highlight w:val="none"/>
        </w:rPr>
        <w:t>产生的工频电场、工频磁场预测值</w:t>
      </w:r>
    </w:p>
    <w:tbl>
      <w:tblPr>
        <w:tblStyle w:val="28"/>
        <w:tblW w:w="89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300"/>
        <w:gridCol w:w="1266"/>
        <w:gridCol w:w="1300"/>
        <w:gridCol w:w="1267"/>
        <w:gridCol w:w="1458"/>
        <w:gridCol w:w="1448"/>
      </w:tblGrid>
      <w:tr w14:paraId="07AF4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restart"/>
            <w:tcBorders>
              <w:tl2br w:val="nil"/>
              <w:tr2bl w:val="nil"/>
            </w:tcBorders>
            <w:noWrap w:val="0"/>
            <w:vAlign w:val="center"/>
          </w:tcPr>
          <w:p w14:paraId="6625D13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距线路走廊中心距离(m)</w:t>
            </w:r>
          </w:p>
        </w:tc>
        <w:tc>
          <w:tcPr>
            <w:tcW w:w="2566" w:type="dxa"/>
            <w:gridSpan w:val="2"/>
            <w:tcBorders>
              <w:tl2br w:val="nil"/>
              <w:tr2bl w:val="nil"/>
            </w:tcBorders>
            <w:noWrap w:val="0"/>
            <w:vAlign w:val="center"/>
          </w:tcPr>
          <w:p w14:paraId="0B4EC7E1">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单回路塔线路段</w:t>
            </w:r>
          </w:p>
        </w:tc>
        <w:tc>
          <w:tcPr>
            <w:tcW w:w="2567" w:type="dxa"/>
            <w:gridSpan w:val="2"/>
            <w:tcBorders>
              <w:tl2br w:val="nil"/>
              <w:tr2bl w:val="nil"/>
            </w:tcBorders>
            <w:noWrap w:val="0"/>
            <w:vAlign w:val="center"/>
          </w:tcPr>
          <w:p w14:paraId="6BA3762C">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vertAlign w:val="baseline"/>
                <w:lang w:val="en-US" w:eastAsia="zh-CN"/>
              </w:rPr>
              <w:t>同塔双回路塔单侧挂线段（按单回投运预测）</w:t>
            </w:r>
          </w:p>
        </w:tc>
        <w:tc>
          <w:tcPr>
            <w:tcW w:w="2906" w:type="dxa"/>
            <w:gridSpan w:val="2"/>
            <w:tcBorders>
              <w:tl2br w:val="nil"/>
              <w:tr2bl w:val="nil"/>
            </w:tcBorders>
            <w:noWrap w:val="0"/>
            <w:vAlign w:val="center"/>
          </w:tcPr>
          <w:p w14:paraId="789BEF54">
            <w:pPr>
              <w:pStyle w:val="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vertAlign w:val="baseline"/>
                <w:lang w:val="en-US" w:eastAsia="zh-CN"/>
              </w:rPr>
              <w:t>同塔双回路塔单侧挂线段（按终期规模双回投运预测）</w:t>
            </w:r>
          </w:p>
        </w:tc>
      </w:tr>
      <w:tr w14:paraId="2B624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tcBorders>
              <w:tl2br w:val="nil"/>
              <w:tr2bl w:val="nil"/>
            </w:tcBorders>
            <w:noWrap w:val="0"/>
            <w:vAlign w:val="center"/>
          </w:tcPr>
          <w:p w14:paraId="2DCB316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p>
        </w:tc>
        <w:tc>
          <w:tcPr>
            <w:tcW w:w="1300" w:type="dxa"/>
            <w:tcBorders>
              <w:tl2br w:val="nil"/>
              <w:tr2bl w:val="nil"/>
            </w:tcBorders>
            <w:noWrap w:val="0"/>
            <w:vAlign w:val="center"/>
          </w:tcPr>
          <w:p w14:paraId="7B851C25">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工频电场强度(kV/m)</w:t>
            </w:r>
          </w:p>
        </w:tc>
        <w:tc>
          <w:tcPr>
            <w:tcW w:w="1266" w:type="dxa"/>
            <w:tcBorders>
              <w:tl2br w:val="nil"/>
              <w:tr2bl w:val="nil"/>
            </w:tcBorders>
            <w:noWrap w:val="0"/>
            <w:vAlign w:val="center"/>
          </w:tcPr>
          <w:p w14:paraId="0C89E64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工频磁感应强度(μT)</w:t>
            </w:r>
          </w:p>
        </w:tc>
        <w:tc>
          <w:tcPr>
            <w:tcW w:w="1300" w:type="dxa"/>
            <w:tcBorders>
              <w:tl2br w:val="nil"/>
              <w:tr2bl w:val="nil"/>
            </w:tcBorders>
            <w:noWrap w:val="0"/>
            <w:vAlign w:val="center"/>
          </w:tcPr>
          <w:p w14:paraId="5D06BBE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工频电场强度(kV/m)</w:t>
            </w:r>
          </w:p>
        </w:tc>
        <w:tc>
          <w:tcPr>
            <w:tcW w:w="1267" w:type="dxa"/>
            <w:tcBorders>
              <w:tl2br w:val="nil"/>
              <w:tr2bl w:val="nil"/>
            </w:tcBorders>
            <w:noWrap w:val="0"/>
            <w:vAlign w:val="center"/>
          </w:tcPr>
          <w:p w14:paraId="07DD92D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工频磁感应强度(μT)</w:t>
            </w:r>
          </w:p>
        </w:tc>
        <w:tc>
          <w:tcPr>
            <w:tcW w:w="1458" w:type="dxa"/>
            <w:tcBorders>
              <w:tl2br w:val="nil"/>
              <w:tr2bl w:val="nil"/>
            </w:tcBorders>
            <w:noWrap w:val="0"/>
            <w:vAlign w:val="center"/>
          </w:tcPr>
          <w:p w14:paraId="191DE8C1">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工频电场强度(kV/m)</w:t>
            </w:r>
          </w:p>
        </w:tc>
        <w:tc>
          <w:tcPr>
            <w:tcW w:w="1448" w:type="dxa"/>
            <w:tcBorders>
              <w:tl2br w:val="nil"/>
              <w:tr2bl w:val="nil"/>
            </w:tcBorders>
            <w:noWrap w:val="0"/>
            <w:vAlign w:val="center"/>
          </w:tcPr>
          <w:p w14:paraId="5F4B037F">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工频磁感应强度(μT)</w:t>
            </w:r>
          </w:p>
        </w:tc>
      </w:tr>
      <w:tr w14:paraId="55B17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vMerge w:val="continue"/>
            <w:tcBorders>
              <w:tl2br w:val="nil"/>
              <w:tr2bl w:val="nil"/>
            </w:tcBorders>
            <w:noWrap w:val="0"/>
            <w:vAlign w:val="center"/>
          </w:tcPr>
          <w:p w14:paraId="4517315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p>
        </w:tc>
        <w:tc>
          <w:tcPr>
            <w:tcW w:w="8039" w:type="dxa"/>
            <w:gridSpan w:val="6"/>
            <w:tcBorders>
              <w:tl2br w:val="nil"/>
              <w:tr2bl w:val="nil"/>
            </w:tcBorders>
            <w:noWrap w:val="0"/>
            <w:vAlign w:val="center"/>
          </w:tcPr>
          <w:p w14:paraId="7123B65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导线对地1</w:t>
            </w:r>
            <w:r>
              <w:rPr>
                <w:rFonts w:hint="eastAsia"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rPr>
              <w:t>m</w:t>
            </w:r>
          </w:p>
        </w:tc>
      </w:tr>
      <w:tr w14:paraId="63C5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470D46C">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-50</w:t>
            </w:r>
          </w:p>
        </w:tc>
        <w:tc>
          <w:tcPr>
            <w:tcW w:w="1300" w:type="dxa"/>
            <w:tcBorders>
              <w:tl2br w:val="nil"/>
              <w:tr2bl w:val="nil"/>
            </w:tcBorders>
            <w:shd w:val="clear" w:color="auto" w:fill="auto"/>
            <w:noWrap w:val="0"/>
            <w:vAlign w:val="center"/>
          </w:tcPr>
          <w:p w14:paraId="6BFC859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0.025</w:t>
            </w:r>
          </w:p>
        </w:tc>
        <w:tc>
          <w:tcPr>
            <w:tcW w:w="1266" w:type="dxa"/>
            <w:tcBorders>
              <w:tl2br w:val="nil"/>
              <w:tr2bl w:val="nil"/>
            </w:tcBorders>
            <w:shd w:val="clear" w:color="auto" w:fill="auto"/>
            <w:noWrap w:val="0"/>
            <w:vAlign w:val="center"/>
          </w:tcPr>
          <w:p w14:paraId="3D514D7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0.192</w:t>
            </w:r>
          </w:p>
        </w:tc>
        <w:tc>
          <w:tcPr>
            <w:tcW w:w="1300" w:type="dxa"/>
            <w:tcBorders>
              <w:tl2br w:val="nil"/>
              <w:tr2bl w:val="nil"/>
            </w:tcBorders>
            <w:shd w:val="clear" w:color="auto" w:fill="auto"/>
            <w:noWrap w:val="0"/>
            <w:vAlign w:val="center"/>
          </w:tcPr>
          <w:p w14:paraId="17C655D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highlight w:val="none"/>
                <w:vertAlign w:val="baseline"/>
                <w:lang w:eastAsia="zh-CN"/>
              </w:rPr>
              <w:t>0.029</w:t>
            </w:r>
          </w:p>
        </w:tc>
        <w:tc>
          <w:tcPr>
            <w:tcW w:w="1267" w:type="dxa"/>
            <w:tcBorders>
              <w:tl2br w:val="nil"/>
              <w:tr2bl w:val="nil"/>
            </w:tcBorders>
            <w:shd w:val="clear" w:color="auto" w:fill="auto"/>
            <w:noWrap w:val="0"/>
            <w:vAlign w:val="center"/>
          </w:tcPr>
          <w:p w14:paraId="03D62EE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highlight w:val="none"/>
                <w:vertAlign w:val="baseline"/>
                <w:lang w:eastAsia="zh-CN"/>
              </w:rPr>
              <w:t>0.195</w:t>
            </w:r>
          </w:p>
        </w:tc>
        <w:tc>
          <w:tcPr>
            <w:tcW w:w="1458" w:type="dxa"/>
            <w:tcBorders>
              <w:tl2br w:val="nil"/>
              <w:tr2bl w:val="nil"/>
            </w:tcBorders>
            <w:shd w:val="clear" w:color="auto" w:fill="auto"/>
            <w:noWrap w:val="0"/>
            <w:vAlign w:val="center"/>
          </w:tcPr>
          <w:p w14:paraId="4F8D61D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highlight w:val="none"/>
                <w:vertAlign w:val="baseline"/>
                <w:lang w:eastAsia="zh-CN"/>
              </w:rPr>
              <w:t>0.044</w:t>
            </w:r>
          </w:p>
        </w:tc>
        <w:tc>
          <w:tcPr>
            <w:tcW w:w="1448" w:type="dxa"/>
            <w:tcBorders>
              <w:tl2br w:val="nil"/>
              <w:tr2bl w:val="nil"/>
            </w:tcBorders>
            <w:shd w:val="clear" w:color="auto" w:fill="auto"/>
            <w:noWrap w:val="0"/>
            <w:vAlign w:val="center"/>
          </w:tcPr>
          <w:p w14:paraId="54DE5AF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highlight w:val="none"/>
                <w:vertAlign w:val="baseline"/>
                <w:lang w:eastAsia="zh-CN"/>
              </w:rPr>
              <w:t>0.325</w:t>
            </w:r>
          </w:p>
        </w:tc>
      </w:tr>
      <w:tr w14:paraId="1EF08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FEF6A6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-49</w:t>
            </w:r>
          </w:p>
        </w:tc>
        <w:tc>
          <w:tcPr>
            <w:tcW w:w="1300" w:type="dxa"/>
            <w:tcBorders>
              <w:tl2br w:val="nil"/>
              <w:tr2bl w:val="nil"/>
            </w:tcBorders>
            <w:shd w:val="clear" w:color="auto" w:fill="auto"/>
            <w:noWrap w:val="0"/>
            <w:vAlign w:val="center"/>
          </w:tcPr>
          <w:p w14:paraId="117D711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0.026</w:t>
            </w:r>
          </w:p>
        </w:tc>
        <w:tc>
          <w:tcPr>
            <w:tcW w:w="1266" w:type="dxa"/>
            <w:tcBorders>
              <w:tl2br w:val="nil"/>
              <w:tr2bl w:val="nil"/>
            </w:tcBorders>
            <w:shd w:val="clear" w:color="auto" w:fill="auto"/>
            <w:noWrap w:val="0"/>
            <w:vAlign w:val="center"/>
          </w:tcPr>
          <w:p w14:paraId="363EFF0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0.200</w:t>
            </w:r>
          </w:p>
        </w:tc>
        <w:tc>
          <w:tcPr>
            <w:tcW w:w="1300" w:type="dxa"/>
            <w:tcBorders>
              <w:tl2br w:val="nil"/>
              <w:tr2bl w:val="nil"/>
            </w:tcBorders>
            <w:shd w:val="clear" w:color="auto" w:fill="auto"/>
            <w:noWrap w:val="0"/>
            <w:vAlign w:val="center"/>
          </w:tcPr>
          <w:p w14:paraId="5EF3A0F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0.030</w:t>
            </w:r>
          </w:p>
        </w:tc>
        <w:tc>
          <w:tcPr>
            <w:tcW w:w="1267" w:type="dxa"/>
            <w:tcBorders>
              <w:tl2br w:val="nil"/>
              <w:tr2bl w:val="nil"/>
            </w:tcBorders>
            <w:shd w:val="clear" w:color="auto" w:fill="auto"/>
            <w:noWrap w:val="0"/>
            <w:vAlign w:val="center"/>
          </w:tcPr>
          <w:p w14:paraId="73DDD18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0.203</w:t>
            </w:r>
          </w:p>
        </w:tc>
        <w:tc>
          <w:tcPr>
            <w:tcW w:w="1458" w:type="dxa"/>
            <w:tcBorders>
              <w:tl2br w:val="nil"/>
              <w:tr2bl w:val="nil"/>
            </w:tcBorders>
            <w:shd w:val="clear" w:color="auto" w:fill="auto"/>
            <w:noWrap w:val="0"/>
            <w:vAlign w:val="center"/>
          </w:tcPr>
          <w:p w14:paraId="01B11B9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0.045</w:t>
            </w:r>
          </w:p>
        </w:tc>
        <w:tc>
          <w:tcPr>
            <w:tcW w:w="1448" w:type="dxa"/>
            <w:tcBorders>
              <w:tl2br w:val="nil"/>
              <w:tr2bl w:val="nil"/>
            </w:tcBorders>
            <w:shd w:val="clear" w:color="auto" w:fill="auto"/>
            <w:noWrap w:val="0"/>
            <w:vAlign w:val="center"/>
          </w:tcPr>
          <w:p w14:paraId="08E5355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0.337</w:t>
            </w:r>
          </w:p>
        </w:tc>
      </w:tr>
      <w:tr w14:paraId="57F61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E7B424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-48</w:t>
            </w:r>
          </w:p>
        </w:tc>
        <w:tc>
          <w:tcPr>
            <w:tcW w:w="1300" w:type="dxa"/>
            <w:tcBorders>
              <w:tl2br w:val="nil"/>
              <w:tr2bl w:val="nil"/>
            </w:tcBorders>
            <w:shd w:val="clear" w:color="auto" w:fill="auto"/>
            <w:noWrap w:val="0"/>
            <w:vAlign w:val="center"/>
          </w:tcPr>
          <w:p w14:paraId="68CF64C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0.028</w:t>
            </w:r>
          </w:p>
        </w:tc>
        <w:tc>
          <w:tcPr>
            <w:tcW w:w="1266" w:type="dxa"/>
            <w:tcBorders>
              <w:tl2br w:val="nil"/>
              <w:tr2bl w:val="nil"/>
            </w:tcBorders>
            <w:shd w:val="clear" w:color="auto" w:fill="auto"/>
            <w:noWrap w:val="0"/>
            <w:vAlign w:val="center"/>
          </w:tcPr>
          <w:p w14:paraId="18DCCC0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0.208</w:t>
            </w:r>
          </w:p>
        </w:tc>
        <w:tc>
          <w:tcPr>
            <w:tcW w:w="1300" w:type="dxa"/>
            <w:tcBorders>
              <w:tl2br w:val="nil"/>
              <w:tr2bl w:val="nil"/>
            </w:tcBorders>
            <w:shd w:val="clear" w:color="auto" w:fill="auto"/>
            <w:noWrap w:val="0"/>
            <w:vAlign w:val="center"/>
          </w:tcPr>
          <w:p w14:paraId="51D8D64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0.031</w:t>
            </w:r>
          </w:p>
        </w:tc>
        <w:tc>
          <w:tcPr>
            <w:tcW w:w="1267" w:type="dxa"/>
            <w:tcBorders>
              <w:tl2br w:val="nil"/>
              <w:tr2bl w:val="nil"/>
            </w:tcBorders>
            <w:shd w:val="clear" w:color="auto" w:fill="auto"/>
            <w:noWrap w:val="0"/>
            <w:vAlign w:val="center"/>
          </w:tcPr>
          <w:p w14:paraId="4ED520A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0.212</w:t>
            </w:r>
          </w:p>
        </w:tc>
        <w:tc>
          <w:tcPr>
            <w:tcW w:w="1458" w:type="dxa"/>
            <w:tcBorders>
              <w:tl2br w:val="nil"/>
              <w:tr2bl w:val="nil"/>
            </w:tcBorders>
            <w:shd w:val="clear" w:color="auto" w:fill="auto"/>
            <w:noWrap w:val="0"/>
            <w:vAlign w:val="center"/>
          </w:tcPr>
          <w:p w14:paraId="2BA49B7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0.046</w:t>
            </w:r>
          </w:p>
        </w:tc>
        <w:tc>
          <w:tcPr>
            <w:tcW w:w="1448" w:type="dxa"/>
            <w:tcBorders>
              <w:tl2br w:val="nil"/>
              <w:tr2bl w:val="nil"/>
            </w:tcBorders>
            <w:shd w:val="clear" w:color="auto" w:fill="auto"/>
            <w:noWrap w:val="0"/>
            <w:vAlign w:val="center"/>
          </w:tcPr>
          <w:p w14:paraId="1627092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0.351</w:t>
            </w:r>
          </w:p>
        </w:tc>
      </w:tr>
      <w:tr w14:paraId="66E4A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1D0C07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-47</w:t>
            </w:r>
          </w:p>
        </w:tc>
        <w:tc>
          <w:tcPr>
            <w:tcW w:w="1300" w:type="dxa"/>
            <w:tcBorders>
              <w:tl2br w:val="nil"/>
              <w:tr2bl w:val="nil"/>
            </w:tcBorders>
            <w:shd w:val="clear" w:color="auto" w:fill="auto"/>
            <w:noWrap w:val="0"/>
            <w:vAlign w:val="center"/>
          </w:tcPr>
          <w:p w14:paraId="1F93BE2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0.030</w:t>
            </w:r>
          </w:p>
        </w:tc>
        <w:tc>
          <w:tcPr>
            <w:tcW w:w="1266" w:type="dxa"/>
            <w:tcBorders>
              <w:tl2br w:val="nil"/>
              <w:tr2bl w:val="nil"/>
            </w:tcBorders>
            <w:shd w:val="clear" w:color="auto" w:fill="auto"/>
            <w:noWrap w:val="0"/>
            <w:vAlign w:val="center"/>
          </w:tcPr>
          <w:p w14:paraId="58FAFA5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0.217</w:t>
            </w:r>
          </w:p>
        </w:tc>
        <w:tc>
          <w:tcPr>
            <w:tcW w:w="1300" w:type="dxa"/>
            <w:tcBorders>
              <w:tl2br w:val="nil"/>
              <w:tr2bl w:val="nil"/>
            </w:tcBorders>
            <w:shd w:val="clear" w:color="auto" w:fill="auto"/>
            <w:noWrap w:val="0"/>
            <w:vAlign w:val="center"/>
          </w:tcPr>
          <w:p w14:paraId="104D255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0.032</w:t>
            </w:r>
          </w:p>
        </w:tc>
        <w:tc>
          <w:tcPr>
            <w:tcW w:w="1267" w:type="dxa"/>
            <w:tcBorders>
              <w:tl2br w:val="nil"/>
              <w:tr2bl w:val="nil"/>
            </w:tcBorders>
            <w:shd w:val="clear" w:color="auto" w:fill="auto"/>
            <w:noWrap w:val="0"/>
            <w:vAlign w:val="center"/>
          </w:tcPr>
          <w:p w14:paraId="1402590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0.222</w:t>
            </w:r>
          </w:p>
        </w:tc>
        <w:tc>
          <w:tcPr>
            <w:tcW w:w="1458" w:type="dxa"/>
            <w:tcBorders>
              <w:tl2br w:val="nil"/>
              <w:tr2bl w:val="nil"/>
            </w:tcBorders>
            <w:shd w:val="clear" w:color="auto" w:fill="auto"/>
            <w:noWrap w:val="0"/>
            <w:vAlign w:val="center"/>
          </w:tcPr>
          <w:p w14:paraId="04B6C77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0.047</w:t>
            </w:r>
          </w:p>
        </w:tc>
        <w:tc>
          <w:tcPr>
            <w:tcW w:w="1448" w:type="dxa"/>
            <w:tcBorders>
              <w:tl2br w:val="nil"/>
              <w:tr2bl w:val="nil"/>
            </w:tcBorders>
            <w:shd w:val="clear" w:color="auto" w:fill="auto"/>
            <w:noWrap w:val="0"/>
            <w:vAlign w:val="center"/>
          </w:tcPr>
          <w:p w14:paraId="3967276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0.365</w:t>
            </w:r>
          </w:p>
        </w:tc>
      </w:tr>
      <w:tr w14:paraId="4F913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708964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-46</w:t>
            </w:r>
          </w:p>
        </w:tc>
        <w:tc>
          <w:tcPr>
            <w:tcW w:w="1300" w:type="dxa"/>
            <w:tcBorders>
              <w:tl2br w:val="nil"/>
              <w:tr2bl w:val="nil"/>
            </w:tcBorders>
            <w:shd w:val="clear" w:color="auto" w:fill="auto"/>
            <w:noWrap w:val="0"/>
            <w:vAlign w:val="center"/>
          </w:tcPr>
          <w:p w14:paraId="244A362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0.031</w:t>
            </w:r>
          </w:p>
        </w:tc>
        <w:tc>
          <w:tcPr>
            <w:tcW w:w="1266" w:type="dxa"/>
            <w:tcBorders>
              <w:tl2br w:val="nil"/>
              <w:tr2bl w:val="nil"/>
            </w:tcBorders>
            <w:shd w:val="clear" w:color="auto" w:fill="auto"/>
            <w:noWrap w:val="0"/>
            <w:vAlign w:val="center"/>
          </w:tcPr>
          <w:p w14:paraId="22146EA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0.226</w:t>
            </w:r>
          </w:p>
        </w:tc>
        <w:tc>
          <w:tcPr>
            <w:tcW w:w="1300" w:type="dxa"/>
            <w:tcBorders>
              <w:tl2br w:val="nil"/>
              <w:tr2bl w:val="nil"/>
            </w:tcBorders>
            <w:shd w:val="clear" w:color="auto" w:fill="auto"/>
            <w:noWrap w:val="0"/>
            <w:vAlign w:val="center"/>
          </w:tcPr>
          <w:p w14:paraId="24AC7D6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0.033</w:t>
            </w:r>
          </w:p>
        </w:tc>
        <w:tc>
          <w:tcPr>
            <w:tcW w:w="1267" w:type="dxa"/>
            <w:tcBorders>
              <w:tl2br w:val="nil"/>
              <w:tr2bl w:val="nil"/>
            </w:tcBorders>
            <w:shd w:val="clear" w:color="auto" w:fill="auto"/>
            <w:noWrap w:val="0"/>
            <w:vAlign w:val="center"/>
          </w:tcPr>
          <w:p w14:paraId="4C233DB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0.232</w:t>
            </w:r>
          </w:p>
        </w:tc>
        <w:tc>
          <w:tcPr>
            <w:tcW w:w="1458" w:type="dxa"/>
            <w:tcBorders>
              <w:tl2br w:val="nil"/>
              <w:tr2bl w:val="nil"/>
            </w:tcBorders>
            <w:shd w:val="clear" w:color="auto" w:fill="auto"/>
            <w:noWrap w:val="0"/>
            <w:vAlign w:val="center"/>
          </w:tcPr>
          <w:p w14:paraId="6147CBE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0.049</w:t>
            </w:r>
          </w:p>
        </w:tc>
        <w:tc>
          <w:tcPr>
            <w:tcW w:w="1448" w:type="dxa"/>
            <w:tcBorders>
              <w:tl2br w:val="nil"/>
              <w:tr2bl w:val="nil"/>
            </w:tcBorders>
            <w:shd w:val="clear" w:color="auto" w:fill="auto"/>
            <w:noWrap w:val="0"/>
            <w:vAlign w:val="center"/>
          </w:tcPr>
          <w:p w14:paraId="35332DC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0.380</w:t>
            </w:r>
          </w:p>
        </w:tc>
      </w:tr>
      <w:tr w14:paraId="68476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785343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-45</w:t>
            </w:r>
          </w:p>
        </w:tc>
        <w:tc>
          <w:tcPr>
            <w:tcW w:w="1300" w:type="dxa"/>
            <w:tcBorders>
              <w:tl2br w:val="nil"/>
              <w:tr2bl w:val="nil"/>
            </w:tcBorders>
            <w:shd w:val="clear" w:color="auto" w:fill="auto"/>
            <w:noWrap w:val="0"/>
            <w:vAlign w:val="center"/>
          </w:tcPr>
          <w:p w14:paraId="30898CA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0.033</w:t>
            </w:r>
          </w:p>
        </w:tc>
        <w:tc>
          <w:tcPr>
            <w:tcW w:w="1266" w:type="dxa"/>
            <w:tcBorders>
              <w:tl2br w:val="nil"/>
              <w:tr2bl w:val="nil"/>
            </w:tcBorders>
            <w:shd w:val="clear" w:color="auto" w:fill="auto"/>
            <w:noWrap w:val="0"/>
            <w:vAlign w:val="center"/>
          </w:tcPr>
          <w:p w14:paraId="1267617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0.236</w:t>
            </w:r>
          </w:p>
        </w:tc>
        <w:tc>
          <w:tcPr>
            <w:tcW w:w="1300" w:type="dxa"/>
            <w:tcBorders>
              <w:tl2br w:val="nil"/>
              <w:tr2bl w:val="nil"/>
            </w:tcBorders>
            <w:shd w:val="clear" w:color="auto" w:fill="auto"/>
            <w:noWrap w:val="0"/>
            <w:vAlign w:val="center"/>
          </w:tcPr>
          <w:p w14:paraId="47618DD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0.034</w:t>
            </w:r>
          </w:p>
        </w:tc>
        <w:tc>
          <w:tcPr>
            <w:tcW w:w="1267" w:type="dxa"/>
            <w:tcBorders>
              <w:tl2br w:val="nil"/>
              <w:tr2bl w:val="nil"/>
            </w:tcBorders>
            <w:shd w:val="clear" w:color="auto" w:fill="auto"/>
            <w:noWrap w:val="0"/>
            <w:vAlign w:val="center"/>
          </w:tcPr>
          <w:p w14:paraId="76546FD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0.242</w:t>
            </w:r>
          </w:p>
        </w:tc>
        <w:tc>
          <w:tcPr>
            <w:tcW w:w="1458" w:type="dxa"/>
            <w:tcBorders>
              <w:tl2br w:val="nil"/>
              <w:tr2bl w:val="nil"/>
            </w:tcBorders>
            <w:shd w:val="clear" w:color="auto" w:fill="auto"/>
            <w:noWrap w:val="0"/>
            <w:vAlign w:val="center"/>
          </w:tcPr>
          <w:p w14:paraId="4A1C1A1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0.050</w:t>
            </w:r>
          </w:p>
        </w:tc>
        <w:tc>
          <w:tcPr>
            <w:tcW w:w="1448" w:type="dxa"/>
            <w:tcBorders>
              <w:tl2br w:val="nil"/>
              <w:tr2bl w:val="nil"/>
            </w:tcBorders>
            <w:shd w:val="clear" w:color="auto" w:fill="auto"/>
            <w:noWrap w:val="0"/>
            <w:vAlign w:val="center"/>
          </w:tcPr>
          <w:p w14:paraId="61BDCC0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0.397</w:t>
            </w:r>
          </w:p>
        </w:tc>
      </w:tr>
      <w:tr w14:paraId="21731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108827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-44</w:t>
            </w:r>
          </w:p>
        </w:tc>
        <w:tc>
          <w:tcPr>
            <w:tcW w:w="1300" w:type="dxa"/>
            <w:tcBorders>
              <w:tl2br w:val="nil"/>
              <w:tr2bl w:val="nil"/>
            </w:tcBorders>
            <w:shd w:val="clear" w:color="auto" w:fill="auto"/>
            <w:noWrap w:val="0"/>
            <w:vAlign w:val="center"/>
          </w:tcPr>
          <w:p w14:paraId="10015D8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0.036</w:t>
            </w:r>
          </w:p>
        </w:tc>
        <w:tc>
          <w:tcPr>
            <w:tcW w:w="1266" w:type="dxa"/>
            <w:tcBorders>
              <w:tl2br w:val="nil"/>
              <w:tr2bl w:val="nil"/>
            </w:tcBorders>
            <w:shd w:val="clear" w:color="auto" w:fill="auto"/>
            <w:noWrap w:val="0"/>
            <w:vAlign w:val="center"/>
          </w:tcPr>
          <w:p w14:paraId="1171156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0.247</w:t>
            </w:r>
          </w:p>
        </w:tc>
        <w:tc>
          <w:tcPr>
            <w:tcW w:w="1300" w:type="dxa"/>
            <w:tcBorders>
              <w:tl2br w:val="nil"/>
              <w:tr2bl w:val="nil"/>
            </w:tcBorders>
            <w:shd w:val="clear" w:color="auto" w:fill="auto"/>
            <w:noWrap w:val="0"/>
            <w:vAlign w:val="center"/>
          </w:tcPr>
          <w:p w14:paraId="1691F17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0.034</w:t>
            </w:r>
          </w:p>
        </w:tc>
        <w:tc>
          <w:tcPr>
            <w:tcW w:w="1267" w:type="dxa"/>
            <w:tcBorders>
              <w:tl2br w:val="nil"/>
              <w:tr2bl w:val="nil"/>
            </w:tcBorders>
            <w:shd w:val="clear" w:color="auto" w:fill="auto"/>
            <w:noWrap w:val="0"/>
            <w:vAlign w:val="center"/>
          </w:tcPr>
          <w:p w14:paraId="6EAE463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0.254</w:t>
            </w:r>
          </w:p>
        </w:tc>
        <w:tc>
          <w:tcPr>
            <w:tcW w:w="1458" w:type="dxa"/>
            <w:tcBorders>
              <w:tl2br w:val="nil"/>
              <w:tr2bl w:val="nil"/>
            </w:tcBorders>
            <w:shd w:val="clear" w:color="auto" w:fill="auto"/>
            <w:noWrap w:val="0"/>
            <w:vAlign w:val="center"/>
          </w:tcPr>
          <w:p w14:paraId="0DBFE43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0.051</w:t>
            </w:r>
          </w:p>
        </w:tc>
        <w:tc>
          <w:tcPr>
            <w:tcW w:w="1448" w:type="dxa"/>
            <w:tcBorders>
              <w:tl2br w:val="nil"/>
              <w:tr2bl w:val="nil"/>
            </w:tcBorders>
            <w:shd w:val="clear" w:color="auto" w:fill="auto"/>
            <w:noWrap w:val="0"/>
            <w:vAlign w:val="center"/>
          </w:tcPr>
          <w:p w14:paraId="6BCC1EC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0.414</w:t>
            </w:r>
          </w:p>
        </w:tc>
      </w:tr>
      <w:tr w14:paraId="70116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2DFE33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-43</w:t>
            </w:r>
          </w:p>
        </w:tc>
        <w:tc>
          <w:tcPr>
            <w:tcW w:w="1300" w:type="dxa"/>
            <w:tcBorders>
              <w:tl2br w:val="nil"/>
              <w:tr2bl w:val="nil"/>
            </w:tcBorders>
            <w:shd w:val="clear" w:color="auto" w:fill="auto"/>
            <w:noWrap w:val="0"/>
            <w:vAlign w:val="center"/>
          </w:tcPr>
          <w:p w14:paraId="38D85CA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0.038</w:t>
            </w:r>
          </w:p>
        </w:tc>
        <w:tc>
          <w:tcPr>
            <w:tcW w:w="1266" w:type="dxa"/>
            <w:tcBorders>
              <w:tl2br w:val="nil"/>
              <w:tr2bl w:val="nil"/>
            </w:tcBorders>
            <w:shd w:val="clear" w:color="auto" w:fill="auto"/>
            <w:noWrap w:val="0"/>
            <w:vAlign w:val="center"/>
          </w:tcPr>
          <w:p w14:paraId="5E91B90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0.258</w:t>
            </w:r>
          </w:p>
        </w:tc>
        <w:tc>
          <w:tcPr>
            <w:tcW w:w="1300" w:type="dxa"/>
            <w:tcBorders>
              <w:tl2br w:val="nil"/>
              <w:tr2bl w:val="nil"/>
            </w:tcBorders>
            <w:shd w:val="clear" w:color="auto" w:fill="auto"/>
            <w:noWrap w:val="0"/>
            <w:vAlign w:val="center"/>
          </w:tcPr>
          <w:p w14:paraId="4928089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0.035</w:t>
            </w:r>
          </w:p>
        </w:tc>
        <w:tc>
          <w:tcPr>
            <w:tcW w:w="1267" w:type="dxa"/>
            <w:tcBorders>
              <w:tl2br w:val="nil"/>
              <w:tr2bl w:val="nil"/>
            </w:tcBorders>
            <w:shd w:val="clear" w:color="auto" w:fill="auto"/>
            <w:noWrap w:val="0"/>
            <w:vAlign w:val="center"/>
          </w:tcPr>
          <w:p w14:paraId="1A8C3FD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0.266</w:t>
            </w:r>
          </w:p>
        </w:tc>
        <w:tc>
          <w:tcPr>
            <w:tcW w:w="1458" w:type="dxa"/>
            <w:tcBorders>
              <w:tl2br w:val="nil"/>
              <w:tr2bl w:val="nil"/>
            </w:tcBorders>
            <w:shd w:val="clear" w:color="auto" w:fill="auto"/>
            <w:noWrap w:val="0"/>
            <w:vAlign w:val="center"/>
          </w:tcPr>
          <w:p w14:paraId="6C2ACAD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0.052</w:t>
            </w:r>
          </w:p>
        </w:tc>
        <w:tc>
          <w:tcPr>
            <w:tcW w:w="1448" w:type="dxa"/>
            <w:tcBorders>
              <w:tl2br w:val="nil"/>
              <w:tr2bl w:val="nil"/>
            </w:tcBorders>
            <w:shd w:val="clear" w:color="auto" w:fill="auto"/>
            <w:noWrap w:val="0"/>
            <w:vAlign w:val="center"/>
          </w:tcPr>
          <w:p w14:paraId="4F92E72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0.432</w:t>
            </w:r>
          </w:p>
        </w:tc>
      </w:tr>
      <w:tr w14:paraId="0461C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9C8344C">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-42</w:t>
            </w:r>
          </w:p>
        </w:tc>
        <w:tc>
          <w:tcPr>
            <w:tcW w:w="1300" w:type="dxa"/>
            <w:tcBorders>
              <w:tl2br w:val="nil"/>
              <w:tr2bl w:val="nil"/>
            </w:tcBorders>
            <w:shd w:val="clear" w:color="auto" w:fill="auto"/>
            <w:noWrap w:val="0"/>
            <w:vAlign w:val="center"/>
          </w:tcPr>
          <w:p w14:paraId="68DCABE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0.040</w:t>
            </w:r>
          </w:p>
        </w:tc>
        <w:tc>
          <w:tcPr>
            <w:tcW w:w="1266" w:type="dxa"/>
            <w:tcBorders>
              <w:tl2br w:val="nil"/>
              <w:tr2bl w:val="nil"/>
            </w:tcBorders>
            <w:shd w:val="clear" w:color="auto" w:fill="auto"/>
            <w:noWrap w:val="0"/>
            <w:vAlign w:val="center"/>
          </w:tcPr>
          <w:p w14:paraId="2302B66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0.270</w:t>
            </w:r>
          </w:p>
        </w:tc>
        <w:tc>
          <w:tcPr>
            <w:tcW w:w="1300" w:type="dxa"/>
            <w:tcBorders>
              <w:tl2br w:val="nil"/>
              <w:tr2bl w:val="nil"/>
            </w:tcBorders>
            <w:shd w:val="clear" w:color="auto" w:fill="auto"/>
            <w:noWrap w:val="0"/>
            <w:vAlign w:val="center"/>
          </w:tcPr>
          <w:p w14:paraId="436595C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0.036</w:t>
            </w:r>
          </w:p>
        </w:tc>
        <w:tc>
          <w:tcPr>
            <w:tcW w:w="1267" w:type="dxa"/>
            <w:tcBorders>
              <w:tl2br w:val="nil"/>
              <w:tr2bl w:val="nil"/>
            </w:tcBorders>
            <w:shd w:val="clear" w:color="auto" w:fill="auto"/>
            <w:noWrap w:val="0"/>
            <w:vAlign w:val="center"/>
          </w:tcPr>
          <w:p w14:paraId="275CB3A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0.279</w:t>
            </w:r>
          </w:p>
        </w:tc>
        <w:tc>
          <w:tcPr>
            <w:tcW w:w="1458" w:type="dxa"/>
            <w:tcBorders>
              <w:tl2br w:val="nil"/>
              <w:tr2bl w:val="nil"/>
            </w:tcBorders>
            <w:shd w:val="clear" w:color="auto" w:fill="auto"/>
            <w:noWrap w:val="0"/>
            <w:vAlign w:val="center"/>
          </w:tcPr>
          <w:p w14:paraId="1DEFA15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0.054</w:t>
            </w:r>
          </w:p>
        </w:tc>
        <w:tc>
          <w:tcPr>
            <w:tcW w:w="1448" w:type="dxa"/>
            <w:tcBorders>
              <w:tl2br w:val="nil"/>
              <w:tr2bl w:val="nil"/>
            </w:tcBorders>
            <w:shd w:val="clear" w:color="auto" w:fill="auto"/>
            <w:noWrap w:val="0"/>
            <w:vAlign w:val="center"/>
          </w:tcPr>
          <w:p w14:paraId="5281839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0.452</w:t>
            </w:r>
          </w:p>
        </w:tc>
      </w:tr>
      <w:tr w14:paraId="66FF1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480EC9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-41</w:t>
            </w:r>
          </w:p>
        </w:tc>
        <w:tc>
          <w:tcPr>
            <w:tcW w:w="1300" w:type="dxa"/>
            <w:tcBorders>
              <w:tl2br w:val="nil"/>
              <w:tr2bl w:val="nil"/>
            </w:tcBorders>
            <w:shd w:val="clear" w:color="auto" w:fill="auto"/>
            <w:noWrap w:val="0"/>
            <w:vAlign w:val="center"/>
          </w:tcPr>
          <w:p w14:paraId="6298406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0.043</w:t>
            </w:r>
          </w:p>
        </w:tc>
        <w:tc>
          <w:tcPr>
            <w:tcW w:w="1266" w:type="dxa"/>
            <w:tcBorders>
              <w:tl2br w:val="nil"/>
              <w:tr2bl w:val="nil"/>
            </w:tcBorders>
            <w:shd w:val="clear" w:color="auto" w:fill="auto"/>
            <w:noWrap w:val="0"/>
            <w:vAlign w:val="center"/>
          </w:tcPr>
          <w:p w14:paraId="202DECA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0.283</w:t>
            </w:r>
          </w:p>
        </w:tc>
        <w:tc>
          <w:tcPr>
            <w:tcW w:w="1300" w:type="dxa"/>
            <w:tcBorders>
              <w:tl2br w:val="nil"/>
              <w:tr2bl w:val="nil"/>
            </w:tcBorders>
            <w:shd w:val="clear" w:color="auto" w:fill="auto"/>
            <w:noWrap w:val="0"/>
            <w:vAlign w:val="center"/>
          </w:tcPr>
          <w:p w14:paraId="4B1BE83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0.037</w:t>
            </w:r>
          </w:p>
        </w:tc>
        <w:tc>
          <w:tcPr>
            <w:tcW w:w="1267" w:type="dxa"/>
            <w:tcBorders>
              <w:tl2br w:val="nil"/>
              <w:tr2bl w:val="nil"/>
            </w:tcBorders>
            <w:shd w:val="clear" w:color="auto" w:fill="auto"/>
            <w:noWrap w:val="0"/>
            <w:vAlign w:val="center"/>
          </w:tcPr>
          <w:p w14:paraId="578C219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0.293</w:t>
            </w:r>
          </w:p>
        </w:tc>
        <w:tc>
          <w:tcPr>
            <w:tcW w:w="1458" w:type="dxa"/>
            <w:tcBorders>
              <w:tl2br w:val="nil"/>
              <w:tr2bl w:val="nil"/>
            </w:tcBorders>
            <w:shd w:val="clear" w:color="auto" w:fill="auto"/>
            <w:noWrap w:val="0"/>
            <w:vAlign w:val="center"/>
          </w:tcPr>
          <w:p w14:paraId="34F5588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0.055</w:t>
            </w:r>
          </w:p>
        </w:tc>
        <w:tc>
          <w:tcPr>
            <w:tcW w:w="1448" w:type="dxa"/>
            <w:tcBorders>
              <w:tl2br w:val="nil"/>
              <w:tr2bl w:val="nil"/>
            </w:tcBorders>
            <w:shd w:val="clear" w:color="auto" w:fill="auto"/>
            <w:noWrap w:val="0"/>
            <w:vAlign w:val="center"/>
          </w:tcPr>
          <w:p w14:paraId="5F92CAA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0.472</w:t>
            </w:r>
          </w:p>
        </w:tc>
      </w:tr>
      <w:tr w14:paraId="4EF84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336A30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-40</w:t>
            </w:r>
          </w:p>
        </w:tc>
        <w:tc>
          <w:tcPr>
            <w:tcW w:w="1300" w:type="dxa"/>
            <w:tcBorders>
              <w:tl2br w:val="nil"/>
              <w:tr2bl w:val="nil"/>
            </w:tcBorders>
            <w:shd w:val="clear" w:color="auto" w:fill="auto"/>
            <w:noWrap w:val="0"/>
            <w:vAlign w:val="center"/>
          </w:tcPr>
          <w:p w14:paraId="60A1BF6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0.046</w:t>
            </w:r>
          </w:p>
        </w:tc>
        <w:tc>
          <w:tcPr>
            <w:tcW w:w="1266" w:type="dxa"/>
            <w:tcBorders>
              <w:tl2br w:val="nil"/>
              <w:tr2bl w:val="nil"/>
            </w:tcBorders>
            <w:shd w:val="clear" w:color="auto" w:fill="auto"/>
            <w:noWrap w:val="0"/>
            <w:vAlign w:val="center"/>
          </w:tcPr>
          <w:p w14:paraId="0C4A757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0.297</w:t>
            </w:r>
          </w:p>
        </w:tc>
        <w:tc>
          <w:tcPr>
            <w:tcW w:w="1300" w:type="dxa"/>
            <w:tcBorders>
              <w:tl2br w:val="nil"/>
              <w:tr2bl w:val="nil"/>
            </w:tcBorders>
            <w:shd w:val="clear" w:color="auto" w:fill="auto"/>
            <w:noWrap w:val="0"/>
            <w:vAlign w:val="center"/>
          </w:tcPr>
          <w:p w14:paraId="04C3889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0.038</w:t>
            </w:r>
          </w:p>
        </w:tc>
        <w:tc>
          <w:tcPr>
            <w:tcW w:w="1267" w:type="dxa"/>
            <w:tcBorders>
              <w:tl2br w:val="nil"/>
              <w:tr2bl w:val="nil"/>
            </w:tcBorders>
            <w:shd w:val="clear" w:color="auto" w:fill="auto"/>
            <w:noWrap w:val="0"/>
            <w:vAlign w:val="center"/>
          </w:tcPr>
          <w:p w14:paraId="7EEB0C4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0.308</w:t>
            </w:r>
          </w:p>
        </w:tc>
        <w:tc>
          <w:tcPr>
            <w:tcW w:w="1458" w:type="dxa"/>
            <w:tcBorders>
              <w:tl2br w:val="nil"/>
              <w:tr2bl w:val="nil"/>
            </w:tcBorders>
            <w:shd w:val="clear" w:color="auto" w:fill="auto"/>
            <w:noWrap w:val="0"/>
            <w:vAlign w:val="center"/>
          </w:tcPr>
          <w:p w14:paraId="50D8A40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0.056</w:t>
            </w:r>
          </w:p>
        </w:tc>
        <w:tc>
          <w:tcPr>
            <w:tcW w:w="1448" w:type="dxa"/>
            <w:tcBorders>
              <w:tl2br w:val="nil"/>
              <w:tr2bl w:val="nil"/>
            </w:tcBorders>
            <w:shd w:val="clear" w:color="auto" w:fill="auto"/>
            <w:noWrap w:val="0"/>
            <w:vAlign w:val="center"/>
          </w:tcPr>
          <w:p w14:paraId="2ADC70F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0.495</w:t>
            </w:r>
          </w:p>
        </w:tc>
      </w:tr>
      <w:tr w14:paraId="6F21C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1253F0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-39</w:t>
            </w:r>
          </w:p>
        </w:tc>
        <w:tc>
          <w:tcPr>
            <w:tcW w:w="1300" w:type="dxa"/>
            <w:tcBorders>
              <w:tl2br w:val="nil"/>
              <w:tr2bl w:val="nil"/>
            </w:tcBorders>
            <w:shd w:val="clear" w:color="auto" w:fill="auto"/>
            <w:noWrap w:val="0"/>
            <w:vAlign w:val="center"/>
          </w:tcPr>
          <w:p w14:paraId="780720A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0.050</w:t>
            </w:r>
          </w:p>
        </w:tc>
        <w:tc>
          <w:tcPr>
            <w:tcW w:w="1266" w:type="dxa"/>
            <w:tcBorders>
              <w:tl2br w:val="nil"/>
              <w:tr2bl w:val="nil"/>
            </w:tcBorders>
            <w:shd w:val="clear" w:color="auto" w:fill="auto"/>
            <w:noWrap w:val="0"/>
            <w:vAlign w:val="center"/>
          </w:tcPr>
          <w:p w14:paraId="11E6203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0.312</w:t>
            </w:r>
          </w:p>
        </w:tc>
        <w:tc>
          <w:tcPr>
            <w:tcW w:w="1300" w:type="dxa"/>
            <w:tcBorders>
              <w:tl2br w:val="nil"/>
              <w:tr2bl w:val="nil"/>
            </w:tcBorders>
            <w:shd w:val="clear" w:color="auto" w:fill="auto"/>
            <w:noWrap w:val="0"/>
            <w:vAlign w:val="center"/>
          </w:tcPr>
          <w:p w14:paraId="0ED52E5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0.039</w:t>
            </w:r>
          </w:p>
        </w:tc>
        <w:tc>
          <w:tcPr>
            <w:tcW w:w="1267" w:type="dxa"/>
            <w:tcBorders>
              <w:tl2br w:val="nil"/>
              <w:tr2bl w:val="nil"/>
            </w:tcBorders>
            <w:shd w:val="clear" w:color="auto" w:fill="auto"/>
            <w:noWrap w:val="0"/>
            <w:vAlign w:val="center"/>
          </w:tcPr>
          <w:p w14:paraId="7A44C9A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0.324</w:t>
            </w:r>
          </w:p>
        </w:tc>
        <w:tc>
          <w:tcPr>
            <w:tcW w:w="1458" w:type="dxa"/>
            <w:tcBorders>
              <w:tl2br w:val="nil"/>
              <w:tr2bl w:val="nil"/>
            </w:tcBorders>
            <w:shd w:val="clear" w:color="auto" w:fill="auto"/>
            <w:noWrap w:val="0"/>
            <w:vAlign w:val="center"/>
          </w:tcPr>
          <w:p w14:paraId="3367922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0.057</w:t>
            </w:r>
          </w:p>
        </w:tc>
        <w:tc>
          <w:tcPr>
            <w:tcW w:w="1448" w:type="dxa"/>
            <w:tcBorders>
              <w:tl2br w:val="nil"/>
              <w:tr2bl w:val="nil"/>
            </w:tcBorders>
            <w:shd w:val="clear" w:color="auto" w:fill="auto"/>
            <w:noWrap w:val="0"/>
            <w:vAlign w:val="center"/>
          </w:tcPr>
          <w:p w14:paraId="0BF8398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0.518</w:t>
            </w:r>
          </w:p>
        </w:tc>
      </w:tr>
      <w:tr w14:paraId="4317F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0B1FAFC">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-38</w:t>
            </w:r>
          </w:p>
        </w:tc>
        <w:tc>
          <w:tcPr>
            <w:tcW w:w="1300" w:type="dxa"/>
            <w:tcBorders>
              <w:tl2br w:val="nil"/>
              <w:tr2bl w:val="nil"/>
            </w:tcBorders>
            <w:shd w:val="clear" w:color="auto" w:fill="auto"/>
            <w:noWrap w:val="0"/>
            <w:vAlign w:val="center"/>
          </w:tcPr>
          <w:p w14:paraId="28D821D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0.053</w:t>
            </w:r>
          </w:p>
        </w:tc>
        <w:tc>
          <w:tcPr>
            <w:tcW w:w="1266" w:type="dxa"/>
            <w:tcBorders>
              <w:tl2br w:val="nil"/>
              <w:tr2bl w:val="nil"/>
            </w:tcBorders>
            <w:shd w:val="clear" w:color="auto" w:fill="auto"/>
            <w:noWrap w:val="0"/>
            <w:vAlign w:val="center"/>
          </w:tcPr>
          <w:p w14:paraId="5970234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0.328</w:t>
            </w:r>
          </w:p>
        </w:tc>
        <w:tc>
          <w:tcPr>
            <w:tcW w:w="1300" w:type="dxa"/>
            <w:tcBorders>
              <w:tl2br w:val="nil"/>
              <w:tr2bl w:val="nil"/>
            </w:tcBorders>
            <w:shd w:val="clear" w:color="auto" w:fill="auto"/>
            <w:noWrap w:val="0"/>
            <w:vAlign w:val="center"/>
          </w:tcPr>
          <w:p w14:paraId="6B0F424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0.040</w:t>
            </w:r>
          </w:p>
        </w:tc>
        <w:tc>
          <w:tcPr>
            <w:tcW w:w="1267" w:type="dxa"/>
            <w:tcBorders>
              <w:tl2br w:val="nil"/>
              <w:tr2bl w:val="nil"/>
            </w:tcBorders>
            <w:shd w:val="clear" w:color="auto" w:fill="auto"/>
            <w:noWrap w:val="0"/>
            <w:vAlign w:val="center"/>
          </w:tcPr>
          <w:p w14:paraId="42DB715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0.341</w:t>
            </w:r>
          </w:p>
        </w:tc>
        <w:tc>
          <w:tcPr>
            <w:tcW w:w="1458" w:type="dxa"/>
            <w:tcBorders>
              <w:tl2br w:val="nil"/>
              <w:tr2bl w:val="nil"/>
            </w:tcBorders>
            <w:shd w:val="clear" w:color="auto" w:fill="auto"/>
            <w:noWrap w:val="0"/>
            <w:vAlign w:val="center"/>
          </w:tcPr>
          <w:p w14:paraId="5C41B82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0.059</w:t>
            </w:r>
          </w:p>
        </w:tc>
        <w:tc>
          <w:tcPr>
            <w:tcW w:w="1448" w:type="dxa"/>
            <w:tcBorders>
              <w:tl2br w:val="nil"/>
              <w:tr2bl w:val="nil"/>
            </w:tcBorders>
            <w:shd w:val="clear" w:color="auto" w:fill="auto"/>
            <w:noWrap w:val="0"/>
            <w:vAlign w:val="center"/>
          </w:tcPr>
          <w:p w14:paraId="10B6FCD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0.544</w:t>
            </w:r>
          </w:p>
        </w:tc>
      </w:tr>
      <w:tr w14:paraId="323370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3F8157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-37</w:t>
            </w:r>
          </w:p>
        </w:tc>
        <w:tc>
          <w:tcPr>
            <w:tcW w:w="1300" w:type="dxa"/>
            <w:tcBorders>
              <w:tl2br w:val="nil"/>
              <w:tr2bl w:val="nil"/>
            </w:tcBorders>
            <w:shd w:val="clear" w:color="auto" w:fill="auto"/>
            <w:noWrap w:val="0"/>
            <w:vAlign w:val="center"/>
          </w:tcPr>
          <w:p w14:paraId="66B1F71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0.058</w:t>
            </w:r>
          </w:p>
        </w:tc>
        <w:tc>
          <w:tcPr>
            <w:tcW w:w="1266" w:type="dxa"/>
            <w:tcBorders>
              <w:tl2br w:val="nil"/>
              <w:tr2bl w:val="nil"/>
            </w:tcBorders>
            <w:shd w:val="clear" w:color="auto" w:fill="auto"/>
            <w:noWrap w:val="0"/>
            <w:vAlign w:val="center"/>
          </w:tcPr>
          <w:p w14:paraId="0FAE3E8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0.346</w:t>
            </w:r>
          </w:p>
        </w:tc>
        <w:tc>
          <w:tcPr>
            <w:tcW w:w="1300" w:type="dxa"/>
            <w:tcBorders>
              <w:tl2br w:val="nil"/>
              <w:tr2bl w:val="nil"/>
            </w:tcBorders>
            <w:shd w:val="clear" w:color="auto" w:fill="auto"/>
            <w:noWrap w:val="0"/>
            <w:vAlign w:val="center"/>
          </w:tcPr>
          <w:p w14:paraId="118979B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0.041</w:t>
            </w:r>
          </w:p>
        </w:tc>
        <w:tc>
          <w:tcPr>
            <w:tcW w:w="1267" w:type="dxa"/>
            <w:tcBorders>
              <w:tl2br w:val="nil"/>
              <w:tr2bl w:val="nil"/>
            </w:tcBorders>
            <w:shd w:val="clear" w:color="auto" w:fill="auto"/>
            <w:noWrap w:val="0"/>
            <w:vAlign w:val="center"/>
          </w:tcPr>
          <w:p w14:paraId="21900C6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0.360</w:t>
            </w:r>
          </w:p>
        </w:tc>
        <w:tc>
          <w:tcPr>
            <w:tcW w:w="1458" w:type="dxa"/>
            <w:tcBorders>
              <w:tl2br w:val="nil"/>
              <w:tr2bl w:val="nil"/>
            </w:tcBorders>
            <w:shd w:val="clear" w:color="auto" w:fill="auto"/>
            <w:noWrap w:val="0"/>
            <w:vAlign w:val="center"/>
          </w:tcPr>
          <w:p w14:paraId="762C6EA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0.060</w:t>
            </w:r>
          </w:p>
        </w:tc>
        <w:tc>
          <w:tcPr>
            <w:tcW w:w="1448" w:type="dxa"/>
            <w:tcBorders>
              <w:tl2br w:val="nil"/>
              <w:tr2bl w:val="nil"/>
            </w:tcBorders>
            <w:shd w:val="clear" w:color="auto" w:fill="auto"/>
            <w:noWrap w:val="0"/>
            <w:vAlign w:val="center"/>
          </w:tcPr>
          <w:p w14:paraId="44AA6E9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0.571</w:t>
            </w:r>
          </w:p>
        </w:tc>
      </w:tr>
      <w:tr w14:paraId="7D3CF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B6D0C6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-36</w:t>
            </w:r>
          </w:p>
        </w:tc>
        <w:tc>
          <w:tcPr>
            <w:tcW w:w="1300" w:type="dxa"/>
            <w:tcBorders>
              <w:tl2br w:val="nil"/>
              <w:tr2bl w:val="nil"/>
            </w:tcBorders>
            <w:shd w:val="clear" w:color="auto" w:fill="auto"/>
            <w:noWrap w:val="0"/>
            <w:vAlign w:val="center"/>
          </w:tcPr>
          <w:p w14:paraId="73D6420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0.062</w:t>
            </w:r>
          </w:p>
        </w:tc>
        <w:tc>
          <w:tcPr>
            <w:tcW w:w="1266" w:type="dxa"/>
            <w:tcBorders>
              <w:tl2br w:val="nil"/>
              <w:tr2bl w:val="nil"/>
            </w:tcBorders>
            <w:shd w:val="clear" w:color="auto" w:fill="auto"/>
            <w:noWrap w:val="0"/>
            <w:vAlign w:val="center"/>
          </w:tcPr>
          <w:p w14:paraId="1BA9CF8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0.364</w:t>
            </w:r>
          </w:p>
        </w:tc>
        <w:tc>
          <w:tcPr>
            <w:tcW w:w="1300" w:type="dxa"/>
            <w:tcBorders>
              <w:tl2br w:val="nil"/>
              <w:tr2bl w:val="nil"/>
            </w:tcBorders>
            <w:shd w:val="clear" w:color="auto" w:fill="auto"/>
            <w:noWrap w:val="0"/>
            <w:vAlign w:val="center"/>
          </w:tcPr>
          <w:p w14:paraId="7A7F394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0.042</w:t>
            </w:r>
          </w:p>
        </w:tc>
        <w:tc>
          <w:tcPr>
            <w:tcW w:w="1267" w:type="dxa"/>
            <w:tcBorders>
              <w:tl2br w:val="nil"/>
              <w:tr2bl w:val="nil"/>
            </w:tcBorders>
            <w:shd w:val="clear" w:color="auto" w:fill="auto"/>
            <w:noWrap w:val="0"/>
            <w:vAlign w:val="center"/>
          </w:tcPr>
          <w:p w14:paraId="5496E92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0.380</w:t>
            </w:r>
          </w:p>
        </w:tc>
        <w:tc>
          <w:tcPr>
            <w:tcW w:w="1458" w:type="dxa"/>
            <w:tcBorders>
              <w:tl2br w:val="nil"/>
              <w:tr2bl w:val="nil"/>
            </w:tcBorders>
            <w:shd w:val="clear" w:color="auto" w:fill="auto"/>
            <w:noWrap w:val="0"/>
            <w:vAlign w:val="center"/>
          </w:tcPr>
          <w:p w14:paraId="2349DA6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0.060</w:t>
            </w:r>
          </w:p>
        </w:tc>
        <w:tc>
          <w:tcPr>
            <w:tcW w:w="1448" w:type="dxa"/>
            <w:tcBorders>
              <w:tl2br w:val="nil"/>
              <w:tr2bl w:val="nil"/>
            </w:tcBorders>
            <w:shd w:val="clear" w:color="auto" w:fill="auto"/>
            <w:noWrap w:val="0"/>
            <w:vAlign w:val="center"/>
          </w:tcPr>
          <w:p w14:paraId="2E53EB2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0.601</w:t>
            </w:r>
          </w:p>
        </w:tc>
      </w:tr>
      <w:tr w14:paraId="2D5FE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06949DC">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-35</w:t>
            </w:r>
          </w:p>
        </w:tc>
        <w:tc>
          <w:tcPr>
            <w:tcW w:w="1300" w:type="dxa"/>
            <w:tcBorders>
              <w:tl2br w:val="nil"/>
              <w:tr2bl w:val="nil"/>
            </w:tcBorders>
            <w:shd w:val="clear" w:color="auto" w:fill="auto"/>
            <w:noWrap w:val="0"/>
            <w:vAlign w:val="center"/>
          </w:tcPr>
          <w:p w14:paraId="1074F8E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0.067</w:t>
            </w:r>
          </w:p>
        </w:tc>
        <w:tc>
          <w:tcPr>
            <w:tcW w:w="1266" w:type="dxa"/>
            <w:tcBorders>
              <w:tl2br w:val="nil"/>
              <w:tr2bl w:val="nil"/>
            </w:tcBorders>
            <w:shd w:val="clear" w:color="auto" w:fill="auto"/>
            <w:noWrap w:val="0"/>
            <w:vAlign w:val="center"/>
          </w:tcPr>
          <w:p w14:paraId="1AE487B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0.385</w:t>
            </w:r>
          </w:p>
        </w:tc>
        <w:tc>
          <w:tcPr>
            <w:tcW w:w="1300" w:type="dxa"/>
            <w:tcBorders>
              <w:tl2br w:val="nil"/>
              <w:tr2bl w:val="nil"/>
            </w:tcBorders>
            <w:shd w:val="clear" w:color="auto" w:fill="auto"/>
            <w:noWrap w:val="0"/>
            <w:vAlign w:val="center"/>
          </w:tcPr>
          <w:p w14:paraId="661CEC2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0.042</w:t>
            </w:r>
          </w:p>
        </w:tc>
        <w:tc>
          <w:tcPr>
            <w:tcW w:w="1267" w:type="dxa"/>
            <w:tcBorders>
              <w:tl2br w:val="nil"/>
              <w:tr2bl w:val="nil"/>
            </w:tcBorders>
            <w:shd w:val="clear" w:color="auto" w:fill="auto"/>
            <w:noWrap w:val="0"/>
            <w:vAlign w:val="center"/>
          </w:tcPr>
          <w:p w14:paraId="5E13FC5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0.402</w:t>
            </w:r>
          </w:p>
        </w:tc>
        <w:tc>
          <w:tcPr>
            <w:tcW w:w="1458" w:type="dxa"/>
            <w:tcBorders>
              <w:tl2br w:val="nil"/>
              <w:tr2bl w:val="nil"/>
            </w:tcBorders>
            <w:shd w:val="clear" w:color="auto" w:fill="auto"/>
            <w:noWrap w:val="0"/>
            <w:vAlign w:val="center"/>
          </w:tcPr>
          <w:p w14:paraId="1672029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0.061</w:t>
            </w:r>
          </w:p>
        </w:tc>
        <w:tc>
          <w:tcPr>
            <w:tcW w:w="1448" w:type="dxa"/>
            <w:tcBorders>
              <w:tl2br w:val="nil"/>
              <w:tr2bl w:val="nil"/>
            </w:tcBorders>
            <w:shd w:val="clear" w:color="auto" w:fill="auto"/>
            <w:noWrap w:val="0"/>
            <w:vAlign w:val="center"/>
          </w:tcPr>
          <w:p w14:paraId="488E22B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0.632</w:t>
            </w:r>
          </w:p>
        </w:tc>
      </w:tr>
      <w:tr w14:paraId="5FCE9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1DCB09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-34</w:t>
            </w:r>
          </w:p>
        </w:tc>
        <w:tc>
          <w:tcPr>
            <w:tcW w:w="1300" w:type="dxa"/>
            <w:tcBorders>
              <w:tl2br w:val="nil"/>
              <w:tr2bl w:val="nil"/>
            </w:tcBorders>
            <w:shd w:val="clear" w:color="auto" w:fill="auto"/>
            <w:noWrap w:val="0"/>
            <w:vAlign w:val="center"/>
          </w:tcPr>
          <w:p w14:paraId="64E39A4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0.073</w:t>
            </w:r>
          </w:p>
        </w:tc>
        <w:tc>
          <w:tcPr>
            <w:tcW w:w="1266" w:type="dxa"/>
            <w:tcBorders>
              <w:tl2br w:val="nil"/>
              <w:tr2bl w:val="nil"/>
            </w:tcBorders>
            <w:shd w:val="clear" w:color="auto" w:fill="auto"/>
            <w:noWrap w:val="0"/>
            <w:vAlign w:val="center"/>
          </w:tcPr>
          <w:p w14:paraId="0AB45E0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0.407</w:t>
            </w:r>
          </w:p>
        </w:tc>
        <w:tc>
          <w:tcPr>
            <w:tcW w:w="1300" w:type="dxa"/>
            <w:tcBorders>
              <w:tl2br w:val="nil"/>
              <w:tr2bl w:val="nil"/>
            </w:tcBorders>
            <w:shd w:val="clear" w:color="auto" w:fill="auto"/>
            <w:noWrap w:val="0"/>
            <w:vAlign w:val="center"/>
          </w:tcPr>
          <w:p w14:paraId="22D0D91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0.043</w:t>
            </w:r>
          </w:p>
        </w:tc>
        <w:tc>
          <w:tcPr>
            <w:tcW w:w="1267" w:type="dxa"/>
            <w:tcBorders>
              <w:tl2br w:val="nil"/>
              <w:tr2bl w:val="nil"/>
            </w:tcBorders>
            <w:shd w:val="clear" w:color="auto" w:fill="auto"/>
            <w:noWrap w:val="0"/>
            <w:vAlign w:val="center"/>
          </w:tcPr>
          <w:p w14:paraId="77CD9B5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0.425</w:t>
            </w:r>
          </w:p>
        </w:tc>
        <w:tc>
          <w:tcPr>
            <w:tcW w:w="1458" w:type="dxa"/>
            <w:tcBorders>
              <w:tl2br w:val="nil"/>
              <w:tr2bl w:val="nil"/>
            </w:tcBorders>
            <w:shd w:val="clear" w:color="auto" w:fill="auto"/>
            <w:noWrap w:val="0"/>
            <w:vAlign w:val="center"/>
          </w:tcPr>
          <w:p w14:paraId="1A4CE74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3A98077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0.666</w:t>
            </w:r>
          </w:p>
        </w:tc>
      </w:tr>
      <w:tr w14:paraId="14D77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608D17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-33</w:t>
            </w:r>
          </w:p>
        </w:tc>
        <w:tc>
          <w:tcPr>
            <w:tcW w:w="1300" w:type="dxa"/>
            <w:tcBorders>
              <w:tl2br w:val="nil"/>
              <w:tr2bl w:val="nil"/>
            </w:tcBorders>
            <w:shd w:val="clear" w:color="auto" w:fill="auto"/>
            <w:noWrap w:val="0"/>
            <w:vAlign w:val="center"/>
          </w:tcPr>
          <w:p w14:paraId="2499C40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0.079</w:t>
            </w:r>
          </w:p>
        </w:tc>
        <w:tc>
          <w:tcPr>
            <w:tcW w:w="1266" w:type="dxa"/>
            <w:tcBorders>
              <w:tl2br w:val="nil"/>
              <w:tr2bl w:val="nil"/>
            </w:tcBorders>
            <w:shd w:val="clear" w:color="auto" w:fill="auto"/>
            <w:noWrap w:val="0"/>
            <w:vAlign w:val="center"/>
          </w:tcPr>
          <w:p w14:paraId="2B40EF8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0.431</w:t>
            </w:r>
          </w:p>
        </w:tc>
        <w:tc>
          <w:tcPr>
            <w:tcW w:w="1300" w:type="dxa"/>
            <w:tcBorders>
              <w:tl2br w:val="nil"/>
              <w:tr2bl w:val="nil"/>
            </w:tcBorders>
            <w:shd w:val="clear" w:color="auto" w:fill="auto"/>
            <w:noWrap w:val="0"/>
            <w:vAlign w:val="center"/>
          </w:tcPr>
          <w:p w14:paraId="03698CE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0.043</w:t>
            </w:r>
          </w:p>
        </w:tc>
        <w:tc>
          <w:tcPr>
            <w:tcW w:w="1267" w:type="dxa"/>
            <w:tcBorders>
              <w:tl2br w:val="nil"/>
              <w:tr2bl w:val="nil"/>
            </w:tcBorders>
            <w:shd w:val="clear" w:color="auto" w:fill="auto"/>
            <w:noWrap w:val="0"/>
            <w:vAlign w:val="center"/>
          </w:tcPr>
          <w:p w14:paraId="71025D4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0.451</w:t>
            </w:r>
          </w:p>
        </w:tc>
        <w:tc>
          <w:tcPr>
            <w:tcW w:w="1458" w:type="dxa"/>
            <w:tcBorders>
              <w:tl2br w:val="nil"/>
              <w:tr2bl w:val="nil"/>
            </w:tcBorders>
            <w:shd w:val="clear" w:color="auto" w:fill="auto"/>
            <w:noWrap w:val="0"/>
            <w:vAlign w:val="center"/>
          </w:tcPr>
          <w:p w14:paraId="6FDD8C5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1468391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0.703</w:t>
            </w:r>
          </w:p>
        </w:tc>
      </w:tr>
      <w:tr w14:paraId="198B1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412B81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-32</w:t>
            </w:r>
          </w:p>
        </w:tc>
        <w:tc>
          <w:tcPr>
            <w:tcW w:w="1300" w:type="dxa"/>
            <w:tcBorders>
              <w:tl2br w:val="nil"/>
              <w:tr2bl w:val="nil"/>
            </w:tcBorders>
            <w:shd w:val="clear" w:color="auto" w:fill="auto"/>
            <w:noWrap w:val="0"/>
            <w:vAlign w:val="center"/>
          </w:tcPr>
          <w:p w14:paraId="2C29B7E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0.086</w:t>
            </w:r>
          </w:p>
        </w:tc>
        <w:tc>
          <w:tcPr>
            <w:tcW w:w="1266" w:type="dxa"/>
            <w:tcBorders>
              <w:tl2br w:val="nil"/>
              <w:tr2bl w:val="nil"/>
            </w:tcBorders>
            <w:shd w:val="clear" w:color="auto" w:fill="auto"/>
            <w:noWrap w:val="0"/>
            <w:vAlign w:val="center"/>
          </w:tcPr>
          <w:p w14:paraId="69101F0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0.457</w:t>
            </w:r>
          </w:p>
        </w:tc>
        <w:tc>
          <w:tcPr>
            <w:tcW w:w="1300" w:type="dxa"/>
            <w:tcBorders>
              <w:tl2br w:val="nil"/>
              <w:tr2bl w:val="nil"/>
            </w:tcBorders>
            <w:shd w:val="clear" w:color="auto" w:fill="auto"/>
            <w:noWrap w:val="0"/>
            <w:vAlign w:val="center"/>
          </w:tcPr>
          <w:p w14:paraId="08BA555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0.043</w:t>
            </w:r>
          </w:p>
        </w:tc>
        <w:tc>
          <w:tcPr>
            <w:tcW w:w="1267" w:type="dxa"/>
            <w:tcBorders>
              <w:tl2br w:val="nil"/>
              <w:tr2bl w:val="nil"/>
            </w:tcBorders>
            <w:shd w:val="clear" w:color="auto" w:fill="auto"/>
            <w:noWrap w:val="0"/>
            <w:vAlign w:val="center"/>
          </w:tcPr>
          <w:p w14:paraId="12479D3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0.479</w:t>
            </w:r>
          </w:p>
        </w:tc>
        <w:tc>
          <w:tcPr>
            <w:tcW w:w="1458" w:type="dxa"/>
            <w:tcBorders>
              <w:tl2br w:val="nil"/>
              <w:tr2bl w:val="nil"/>
            </w:tcBorders>
            <w:shd w:val="clear" w:color="auto" w:fill="auto"/>
            <w:noWrap w:val="0"/>
            <w:vAlign w:val="center"/>
          </w:tcPr>
          <w:p w14:paraId="50CF723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764D741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0.742</w:t>
            </w:r>
          </w:p>
        </w:tc>
      </w:tr>
      <w:tr w14:paraId="5C7BF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9E2B2C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-31</w:t>
            </w:r>
          </w:p>
        </w:tc>
        <w:tc>
          <w:tcPr>
            <w:tcW w:w="1300" w:type="dxa"/>
            <w:tcBorders>
              <w:tl2br w:val="nil"/>
              <w:tr2bl w:val="nil"/>
            </w:tcBorders>
            <w:shd w:val="clear" w:color="auto" w:fill="auto"/>
            <w:noWrap w:val="0"/>
            <w:vAlign w:val="center"/>
          </w:tcPr>
          <w:p w14:paraId="67044CA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0.094</w:t>
            </w:r>
          </w:p>
        </w:tc>
        <w:tc>
          <w:tcPr>
            <w:tcW w:w="1266" w:type="dxa"/>
            <w:tcBorders>
              <w:tl2br w:val="nil"/>
              <w:tr2bl w:val="nil"/>
            </w:tcBorders>
            <w:shd w:val="clear" w:color="auto" w:fill="auto"/>
            <w:noWrap w:val="0"/>
            <w:vAlign w:val="center"/>
          </w:tcPr>
          <w:p w14:paraId="0F119A0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0.485</w:t>
            </w:r>
          </w:p>
        </w:tc>
        <w:tc>
          <w:tcPr>
            <w:tcW w:w="1300" w:type="dxa"/>
            <w:tcBorders>
              <w:tl2br w:val="nil"/>
              <w:tr2bl w:val="nil"/>
            </w:tcBorders>
            <w:shd w:val="clear" w:color="auto" w:fill="auto"/>
            <w:noWrap w:val="0"/>
            <w:vAlign w:val="center"/>
          </w:tcPr>
          <w:p w14:paraId="47FF58B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0.043</w:t>
            </w:r>
          </w:p>
        </w:tc>
        <w:tc>
          <w:tcPr>
            <w:tcW w:w="1267" w:type="dxa"/>
            <w:tcBorders>
              <w:tl2br w:val="nil"/>
              <w:tr2bl w:val="nil"/>
            </w:tcBorders>
            <w:shd w:val="clear" w:color="auto" w:fill="auto"/>
            <w:noWrap w:val="0"/>
            <w:vAlign w:val="center"/>
          </w:tcPr>
          <w:p w14:paraId="214266A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0.509</w:t>
            </w:r>
          </w:p>
        </w:tc>
        <w:tc>
          <w:tcPr>
            <w:tcW w:w="1458" w:type="dxa"/>
            <w:tcBorders>
              <w:tl2br w:val="nil"/>
              <w:tr2bl w:val="nil"/>
            </w:tcBorders>
            <w:shd w:val="clear" w:color="auto" w:fill="auto"/>
            <w:noWrap w:val="0"/>
            <w:vAlign w:val="center"/>
          </w:tcPr>
          <w:p w14:paraId="2C7304E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5476E7F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0.785</w:t>
            </w:r>
          </w:p>
        </w:tc>
      </w:tr>
      <w:tr w14:paraId="4B83C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408B5AF">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-30</w:t>
            </w:r>
          </w:p>
        </w:tc>
        <w:tc>
          <w:tcPr>
            <w:tcW w:w="1300" w:type="dxa"/>
            <w:tcBorders>
              <w:tl2br w:val="nil"/>
              <w:tr2bl w:val="nil"/>
            </w:tcBorders>
            <w:shd w:val="clear" w:color="auto" w:fill="auto"/>
            <w:noWrap w:val="0"/>
            <w:vAlign w:val="center"/>
          </w:tcPr>
          <w:p w14:paraId="1DBDF06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0.102</w:t>
            </w:r>
          </w:p>
        </w:tc>
        <w:tc>
          <w:tcPr>
            <w:tcW w:w="1266" w:type="dxa"/>
            <w:tcBorders>
              <w:tl2br w:val="nil"/>
              <w:tr2bl w:val="nil"/>
            </w:tcBorders>
            <w:shd w:val="clear" w:color="auto" w:fill="auto"/>
            <w:noWrap w:val="0"/>
            <w:vAlign w:val="center"/>
          </w:tcPr>
          <w:p w14:paraId="318AEB1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0.516</w:t>
            </w:r>
          </w:p>
        </w:tc>
        <w:tc>
          <w:tcPr>
            <w:tcW w:w="1300" w:type="dxa"/>
            <w:tcBorders>
              <w:tl2br w:val="nil"/>
              <w:tr2bl w:val="nil"/>
            </w:tcBorders>
            <w:shd w:val="clear" w:color="auto" w:fill="auto"/>
            <w:noWrap w:val="0"/>
            <w:vAlign w:val="center"/>
          </w:tcPr>
          <w:p w14:paraId="2D61C36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0.043</w:t>
            </w:r>
          </w:p>
        </w:tc>
        <w:tc>
          <w:tcPr>
            <w:tcW w:w="1267" w:type="dxa"/>
            <w:tcBorders>
              <w:tl2br w:val="nil"/>
              <w:tr2bl w:val="nil"/>
            </w:tcBorders>
            <w:shd w:val="clear" w:color="auto" w:fill="auto"/>
            <w:noWrap w:val="0"/>
            <w:vAlign w:val="center"/>
          </w:tcPr>
          <w:p w14:paraId="6B0A477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0.542</w:t>
            </w:r>
          </w:p>
        </w:tc>
        <w:tc>
          <w:tcPr>
            <w:tcW w:w="1458" w:type="dxa"/>
            <w:tcBorders>
              <w:tl2br w:val="nil"/>
              <w:tr2bl w:val="nil"/>
            </w:tcBorders>
            <w:shd w:val="clear" w:color="auto" w:fill="auto"/>
            <w:noWrap w:val="0"/>
            <w:vAlign w:val="center"/>
          </w:tcPr>
          <w:p w14:paraId="171186F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0.061</w:t>
            </w:r>
          </w:p>
        </w:tc>
        <w:tc>
          <w:tcPr>
            <w:tcW w:w="1448" w:type="dxa"/>
            <w:tcBorders>
              <w:tl2br w:val="nil"/>
              <w:tr2bl w:val="nil"/>
            </w:tcBorders>
            <w:shd w:val="clear" w:color="auto" w:fill="auto"/>
            <w:noWrap w:val="0"/>
            <w:vAlign w:val="center"/>
          </w:tcPr>
          <w:p w14:paraId="343D56D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0.832</w:t>
            </w:r>
          </w:p>
        </w:tc>
      </w:tr>
      <w:tr w14:paraId="64A9E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9B3BF91">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-29</w:t>
            </w:r>
          </w:p>
        </w:tc>
        <w:tc>
          <w:tcPr>
            <w:tcW w:w="1300" w:type="dxa"/>
            <w:tcBorders>
              <w:tl2br w:val="nil"/>
              <w:tr2bl w:val="nil"/>
            </w:tcBorders>
            <w:shd w:val="clear" w:color="auto" w:fill="auto"/>
            <w:noWrap w:val="0"/>
            <w:vAlign w:val="center"/>
          </w:tcPr>
          <w:p w14:paraId="6265547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0.112</w:t>
            </w:r>
          </w:p>
        </w:tc>
        <w:tc>
          <w:tcPr>
            <w:tcW w:w="1266" w:type="dxa"/>
            <w:tcBorders>
              <w:tl2br w:val="nil"/>
              <w:tr2bl w:val="nil"/>
            </w:tcBorders>
            <w:shd w:val="clear" w:color="auto" w:fill="auto"/>
            <w:noWrap w:val="0"/>
            <w:vAlign w:val="center"/>
          </w:tcPr>
          <w:p w14:paraId="6C9202F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0.550</w:t>
            </w:r>
          </w:p>
        </w:tc>
        <w:tc>
          <w:tcPr>
            <w:tcW w:w="1300" w:type="dxa"/>
            <w:tcBorders>
              <w:tl2br w:val="nil"/>
              <w:tr2bl w:val="nil"/>
            </w:tcBorders>
            <w:shd w:val="clear" w:color="auto" w:fill="auto"/>
            <w:noWrap w:val="0"/>
            <w:vAlign w:val="center"/>
          </w:tcPr>
          <w:p w14:paraId="6893E98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0.042</w:t>
            </w:r>
          </w:p>
        </w:tc>
        <w:tc>
          <w:tcPr>
            <w:tcW w:w="1267" w:type="dxa"/>
            <w:tcBorders>
              <w:tl2br w:val="nil"/>
              <w:tr2bl w:val="nil"/>
            </w:tcBorders>
            <w:shd w:val="clear" w:color="auto" w:fill="auto"/>
            <w:noWrap w:val="0"/>
            <w:vAlign w:val="center"/>
          </w:tcPr>
          <w:p w14:paraId="2B44DDA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0.578</w:t>
            </w:r>
          </w:p>
        </w:tc>
        <w:tc>
          <w:tcPr>
            <w:tcW w:w="1458" w:type="dxa"/>
            <w:tcBorders>
              <w:tl2br w:val="nil"/>
              <w:tr2bl w:val="nil"/>
            </w:tcBorders>
            <w:shd w:val="clear" w:color="auto" w:fill="auto"/>
            <w:noWrap w:val="0"/>
            <w:vAlign w:val="center"/>
          </w:tcPr>
          <w:p w14:paraId="031D2B2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0.059</w:t>
            </w:r>
          </w:p>
        </w:tc>
        <w:tc>
          <w:tcPr>
            <w:tcW w:w="1448" w:type="dxa"/>
            <w:tcBorders>
              <w:tl2br w:val="nil"/>
              <w:tr2bl w:val="nil"/>
            </w:tcBorders>
            <w:shd w:val="clear" w:color="auto" w:fill="auto"/>
            <w:noWrap w:val="0"/>
            <w:vAlign w:val="center"/>
          </w:tcPr>
          <w:p w14:paraId="172B55A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0.882</w:t>
            </w:r>
          </w:p>
        </w:tc>
      </w:tr>
      <w:tr w14:paraId="072B8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878C67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-28</w:t>
            </w:r>
          </w:p>
        </w:tc>
        <w:tc>
          <w:tcPr>
            <w:tcW w:w="1300" w:type="dxa"/>
            <w:tcBorders>
              <w:tl2br w:val="nil"/>
              <w:tr2bl w:val="nil"/>
            </w:tcBorders>
            <w:shd w:val="clear" w:color="auto" w:fill="auto"/>
            <w:noWrap w:val="0"/>
            <w:vAlign w:val="center"/>
          </w:tcPr>
          <w:p w14:paraId="1C21E7D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0.123</w:t>
            </w:r>
          </w:p>
        </w:tc>
        <w:tc>
          <w:tcPr>
            <w:tcW w:w="1266" w:type="dxa"/>
            <w:tcBorders>
              <w:tl2br w:val="nil"/>
              <w:tr2bl w:val="nil"/>
            </w:tcBorders>
            <w:shd w:val="clear" w:color="auto" w:fill="auto"/>
            <w:noWrap w:val="0"/>
            <w:vAlign w:val="center"/>
          </w:tcPr>
          <w:p w14:paraId="0E3CF06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0.587</w:t>
            </w:r>
          </w:p>
        </w:tc>
        <w:tc>
          <w:tcPr>
            <w:tcW w:w="1300" w:type="dxa"/>
            <w:tcBorders>
              <w:tl2br w:val="nil"/>
              <w:tr2bl w:val="nil"/>
            </w:tcBorders>
            <w:shd w:val="clear" w:color="auto" w:fill="auto"/>
            <w:noWrap w:val="0"/>
            <w:vAlign w:val="center"/>
          </w:tcPr>
          <w:p w14:paraId="3F88C3E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0.041</w:t>
            </w:r>
          </w:p>
        </w:tc>
        <w:tc>
          <w:tcPr>
            <w:tcW w:w="1267" w:type="dxa"/>
            <w:tcBorders>
              <w:tl2br w:val="nil"/>
              <w:tr2bl w:val="nil"/>
            </w:tcBorders>
            <w:shd w:val="clear" w:color="auto" w:fill="auto"/>
            <w:noWrap w:val="0"/>
            <w:vAlign w:val="center"/>
          </w:tcPr>
          <w:p w14:paraId="737A150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0.618</w:t>
            </w:r>
          </w:p>
        </w:tc>
        <w:tc>
          <w:tcPr>
            <w:tcW w:w="1458" w:type="dxa"/>
            <w:tcBorders>
              <w:tl2br w:val="nil"/>
              <w:tr2bl w:val="nil"/>
            </w:tcBorders>
            <w:shd w:val="clear" w:color="auto" w:fill="auto"/>
            <w:noWrap w:val="0"/>
            <w:vAlign w:val="center"/>
          </w:tcPr>
          <w:p w14:paraId="0B2A3B6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0.057</w:t>
            </w:r>
          </w:p>
        </w:tc>
        <w:tc>
          <w:tcPr>
            <w:tcW w:w="1448" w:type="dxa"/>
            <w:tcBorders>
              <w:tl2br w:val="nil"/>
              <w:tr2bl w:val="nil"/>
            </w:tcBorders>
            <w:shd w:val="clear" w:color="auto" w:fill="auto"/>
            <w:noWrap w:val="0"/>
            <w:vAlign w:val="center"/>
          </w:tcPr>
          <w:p w14:paraId="1B595F6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0.937</w:t>
            </w:r>
          </w:p>
        </w:tc>
      </w:tr>
      <w:tr w14:paraId="7ABCD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91BBD7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-27</w:t>
            </w:r>
          </w:p>
        </w:tc>
        <w:tc>
          <w:tcPr>
            <w:tcW w:w="1300" w:type="dxa"/>
            <w:tcBorders>
              <w:tl2br w:val="nil"/>
              <w:tr2bl w:val="nil"/>
            </w:tcBorders>
            <w:shd w:val="clear" w:color="auto" w:fill="auto"/>
            <w:noWrap w:val="0"/>
            <w:vAlign w:val="center"/>
          </w:tcPr>
          <w:p w14:paraId="5658D0C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0.136</w:t>
            </w:r>
          </w:p>
        </w:tc>
        <w:tc>
          <w:tcPr>
            <w:tcW w:w="1266" w:type="dxa"/>
            <w:tcBorders>
              <w:tl2br w:val="nil"/>
              <w:tr2bl w:val="nil"/>
            </w:tcBorders>
            <w:shd w:val="clear" w:color="auto" w:fill="auto"/>
            <w:noWrap w:val="0"/>
            <w:vAlign w:val="center"/>
          </w:tcPr>
          <w:p w14:paraId="6C82B60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0.628</w:t>
            </w:r>
          </w:p>
        </w:tc>
        <w:tc>
          <w:tcPr>
            <w:tcW w:w="1300" w:type="dxa"/>
            <w:tcBorders>
              <w:tl2br w:val="nil"/>
              <w:tr2bl w:val="nil"/>
            </w:tcBorders>
            <w:shd w:val="clear" w:color="auto" w:fill="auto"/>
            <w:noWrap w:val="0"/>
            <w:vAlign w:val="center"/>
          </w:tcPr>
          <w:p w14:paraId="3790382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0.040</w:t>
            </w:r>
          </w:p>
        </w:tc>
        <w:tc>
          <w:tcPr>
            <w:tcW w:w="1267" w:type="dxa"/>
            <w:tcBorders>
              <w:tl2br w:val="nil"/>
              <w:tr2bl w:val="nil"/>
            </w:tcBorders>
            <w:shd w:val="clear" w:color="auto" w:fill="auto"/>
            <w:noWrap w:val="0"/>
            <w:vAlign w:val="center"/>
          </w:tcPr>
          <w:p w14:paraId="5556231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0.661</w:t>
            </w:r>
          </w:p>
        </w:tc>
        <w:tc>
          <w:tcPr>
            <w:tcW w:w="1458" w:type="dxa"/>
            <w:tcBorders>
              <w:tl2br w:val="nil"/>
              <w:tr2bl w:val="nil"/>
            </w:tcBorders>
            <w:shd w:val="clear" w:color="auto" w:fill="auto"/>
            <w:noWrap w:val="0"/>
            <w:vAlign w:val="center"/>
          </w:tcPr>
          <w:p w14:paraId="3C0F056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0.055</w:t>
            </w:r>
          </w:p>
        </w:tc>
        <w:tc>
          <w:tcPr>
            <w:tcW w:w="1448" w:type="dxa"/>
            <w:tcBorders>
              <w:tl2br w:val="nil"/>
              <w:tr2bl w:val="nil"/>
            </w:tcBorders>
            <w:shd w:val="clear" w:color="auto" w:fill="auto"/>
            <w:noWrap w:val="0"/>
            <w:vAlign w:val="center"/>
          </w:tcPr>
          <w:p w14:paraId="19D62DA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0.996</w:t>
            </w:r>
          </w:p>
        </w:tc>
      </w:tr>
      <w:tr w14:paraId="410E9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DF5FBC5">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-26</w:t>
            </w:r>
          </w:p>
        </w:tc>
        <w:tc>
          <w:tcPr>
            <w:tcW w:w="1300" w:type="dxa"/>
            <w:tcBorders>
              <w:tl2br w:val="nil"/>
              <w:tr2bl w:val="nil"/>
            </w:tcBorders>
            <w:shd w:val="clear" w:color="auto" w:fill="auto"/>
            <w:noWrap w:val="0"/>
            <w:vAlign w:val="center"/>
          </w:tcPr>
          <w:p w14:paraId="36BFC5D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0.150</w:t>
            </w:r>
          </w:p>
        </w:tc>
        <w:tc>
          <w:tcPr>
            <w:tcW w:w="1266" w:type="dxa"/>
            <w:tcBorders>
              <w:tl2br w:val="nil"/>
              <w:tr2bl w:val="nil"/>
            </w:tcBorders>
            <w:shd w:val="clear" w:color="auto" w:fill="auto"/>
            <w:noWrap w:val="0"/>
            <w:vAlign w:val="center"/>
          </w:tcPr>
          <w:p w14:paraId="2162C97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0.674</w:t>
            </w:r>
          </w:p>
        </w:tc>
        <w:tc>
          <w:tcPr>
            <w:tcW w:w="1300" w:type="dxa"/>
            <w:tcBorders>
              <w:tl2br w:val="nil"/>
              <w:tr2bl w:val="nil"/>
            </w:tcBorders>
            <w:shd w:val="clear" w:color="auto" w:fill="auto"/>
            <w:noWrap w:val="0"/>
            <w:vAlign w:val="center"/>
          </w:tcPr>
          <w:p w14:paraId="7DE0127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0.040</w:t>
            </w:r>
          </w:p>
        </w:tc>
        <w:tc>
          <w:tcPr>
            <w:tcW w:w="1267" w:type="dxa"/>
            <w:tcBorders>
              <w:tl2br w:val="nil"/>
              <w:tr2bl w:val="nil"/>
            </w:tcBorders>
            <w:shd w:val="clear" w:color="auto" w:fill="auto"/>
            <w:noWrap w:val="0"/>
            <w:vAlign w:val="center"/>
          </w:tcPr>
          <w:p w14:paraId="347F454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0.708</w:t>
            </w:r>
          </w:p>
        </w:tc>
        <w:tc>
          <w:tcPr>
            <w:tcW w:w="1458" w:type="dxa"/>
            <w:tcBorders>
              <w:tl2br w:val="nil"/>
              <w:tr2bl w:val="nil"/>
            </w:tcBorders>
            <w:shd w:val="clear" w:color="auto" w:fill="auto"/>
            <w:noWrap w:val="0"/>
            <w:vAlign w:val="center"/>
          </w:tcPr>
          <w:p w14:paraId="7BED96F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0.051</w:t>
            </w:r>
          </w:p>
        </w:tc>
        <w:tc>
          <w:tcPr>
            <w:tcW w:w="1448" w:type="dxa"/>
            <w:tcBorders>
              <w:tl2br w:val="nil"/>
              <w:tr2bl w:val="nil"/>
            </w:tcBorders>
            <w:shd w:val="clear" w:color="auto" w:fill="auto"/>
            <w:noWrap w:val="0"/>
            <w:vAlign w:val="center"/>
          </w:tcPr>
          <w:p w14:paraId="5972B05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1.061</w:t>
            </w:r>
          </w:p>
        </w:tc>
      </w:tr>
      <w:tr w14:paraId="32262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48B6EF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-25</w:t>
            </w:r>
          </w:p>
        </w:tc>
        <w:tc>
          <w:tcPr>
            <w:tcW w:w="1300" w:type="dxa"/>
            <w:tcBorders>
              <w:tl2br w:val="nil"/>
              <w:tr2bl w:val="nil"/>
            </w:tcBorders>
            <w:shd w:val="clear" w:color="auto" w:fill="auto"/>
            <w:noWrap w:val="0"/>
            <w:vAlign w:val="center"/>
          </w:tcPr>
          <w:p w14:paraId="3C2D52F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0.166</w:t>
            </w:r>
          </w:p>
        </w:tc>
        <w:tc>
          <w:tcPr>
            <w:tcW w:w="1266" w:type="dxa"/>
            <w:tcBorders>
              <w:tl2br w:val="nil"/>
              <w:tr2bl w:val="nil"/>
            </w:tcBorders>
            <w:shd w:val="clear" w:color="auto" w:fill="auto"/>
            <w:noWrap w:val="0"/>
            <w:vAlign w:val="center"/>
          </w:tcPr>
          <w:p w14:paraId="2FE272A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0.724</w:t>
            </w:r>
          </w:p>
        </w:tc>
        <w:tc>
          <w:tcPr>
            <w:tcW w:w="1300" w:type="dxa"/>
            <w:tcBorders>
              <w:tl2br w:val="nil"/>
              <w:tr2bl w:val="nil"/>
            </w:tcBorders>
            <w:shd w:val="clear" w:color="auto" w:fill="auto"/>
            <w:noWrap w:val="0"/>
            <w:vAlign w:val="center"/>
          </w:tcPr>
          <w:p w14:paraId="113C5EE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0.040</w:t>
            </w:r>
          </w:p>
        </w:tc>
        <w:tc>
          <w:tcPr>
            <w:tcW w:w="1267" w:type="dxa"/>
            <w:tcBorders>
              <w:tl2br w:val="nil"/>
              <w:tr2bl w:val="nil"/>
            </w:tcBorders>
            <w:shd w:val="clear" w:color="auto" w:fill="auto"/>
            <w:noWrap w:val="0"/>
            <w:vAlign w:val="center"/>
          </w:tcPr>
          <w:p w14:paraId="64FA5F4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0.760</w:t>
            </w:r>
          </w:p>
        </w:tc>
        <w:tc>
          <w:tcPr>
            <w:tcW w:w="1458" w:type="dxa"/>
            <w:tcBorders>
              <w:tl2br w:val="nil"/>
              <w:tr2bl w:val="nil"/>
            </w:tcBorders>
            <w:shd w:val="clear" w:color="auto" w:fill="auto"/>
            <w:noWrap w:val="0"/>
            <w:vAlign w:val="center"/>
          </w:tcPr>
          <w:p w14:paraId="040BFB6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0.048</w:t>
            </w:r>
          </w:p>
        </w:tc>
        <w:tc>
          <w:tcPr>
            <w:tcW w:w="1448" w:type="dxa"/>
            <w:tcBorders>
              <w:tl2br w:val="nil"/>
              <w:tr2bl w:val="nil"/>
            </w:tcBorders>
            <w:shd w:val="clear" w:color="auto" w:fill="auto"/>
            <w:noWrap w:val="0"/>
            <w:vAlign w:val="center"/>
          </w:tcPr>
          <w:p w14:paraId="158DA95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1.131</w:t>
            </w:r>
          </w:p>
        </w:tc>
      </w:tr>
      <w:tr w14:paraId="1D89D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A7C2BA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-24</w:t>
            </w:r>
          </w:p>
        </w:tc>
        <w:tc>
          <w:tcPr>
            <w:tcW w:w="1300" w:type="dxa"/>
            <w:tcBorders>
              <w:tl2br w:val="nil"/>
              <w:tr2bl w:val="nil"/>
            </w:tcBorders>
            <w:shd w:val="clear" w:color="auto" w:fill="auto"/>
            <w:noWrap w:val="0"/>
            <w:vAlign w:val="center"/>
          </w:tcPr>
          <w:p w14:paraId="258CA19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0.184</w:t>
            </w:r>
          </w:p>
        </w:tc>
        <w:tc>
          <w:tcPr>
            <w:tcW w:w="1266" w:type="dxa"/>
            <w:tcBorders>
              <w:tl2br w:val="nil"/>
              <w:tr2bl w:val="nil"/>
            </w:tcBorders>
            <w:shd w:val="clear" w:color="auto" w:fill="auto"/>
            <w:noWrap w:val="0"/>
            <w:vAlign w:val="center"/>
          </w:tcPr>
          <w:p w14:paraId="3B0768C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0.780</w:t>
            </w:r>
          </w:p>
        </w:tc>
        <w:tc>
          <w:tcPr>
            <w:tcW w:w="1300" w:type="dxa"/>
            <w:tcBorders>
              <w:tl2br w:val="nil"/>
              <w:tr2bl w:val="nil"/>
            </w:tcBorders>
            <w:shd w:val="clear" w:color="auto" w:fill="auto"/>
            <w:noWrap w:val="0"/>
            <w:vAlign w:val="center"/>
          </w:tcPr>
          <w:p w14:paraId="672292C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0.041</w:t>
            </w:r>
          </w:p>
        </w:tc>
        <w:tc>
          <w:tcPr>
            <w:tcW w:w="1267" w:type="dxa"/>
            <w:tcBorders>
              <w:tl2br w:val="nil"/>
              <w:tr2bl w:val="nil"/>
            </w:tcBorders>
            <w:shd w:val="clear" w:color="auto" w:fill="auto"/>
            <w:noWrap w:val="0"/>
            <w:vAlign w:val="center"/>
          </w:tcPr>
          <w:p w14:paraId="257354A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0.818</w:t>
            </w:r>
          </w:p>
        </w:tc>
        <w:tc>
          <w:tcPr>
            <w:tcW w:w="1458" w:type="dxa"/>
            <w:tcBorders>
              <w:tl2br w:val="nil"/>
              <w:tr2bl w:val="nil"/>
            </w:tcBorders>
            <w:shd w:val="clear" w:color="auto" w:fill="auto"/>
            <w:noWrap w:val="0"/>
            <w:vAlign w:val="center"/>
          </w:tcPr>
          <w:p w14:paraId="0A7295E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0.044</w:t>
            </w:r>
          </w:p>
        </w:tc>
        <w:tc>
          <w:tcPr>
            <w:tcW w:w="1448" w:type="dxa"/>
            <w:tcBorders>
              <w:tl2br w:val="nil"/>
              <w:tr2bl w:val="nil"/>
            </w:tcBorders>
            <w:shd w:val="clear" w:color="auto" w:fill="auto"/>
            <w:noWrap w:val="0"/>
            <w:vAlign w:val="center"/>
          </w:tcPr>
          <w:p w14:paraId="34E20FE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1.208</w:t>
            </w:r>
          </w:p>
        </w:tc>
      </w:tr>
      <w:tr w14:paraId="7E1FA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93676E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-23</w:t>
            </w:r>
          </w:p>
        </w:tc>
        <w:tc>
          <w:tcPr>
            <w:tcW w:w="1300" w:type="dxa"/>
            <w:tcBorders>
              <w:tl2br w:val="nil"/>
              <w:tr2bl w:val="nil"/>
            </w:tcBorders>
            <w:shd w:val="clear" w:color="auto" w:fill="auto"/>
            <w:noWrap w:val="0"/>
            <w:vAlign w:val="center"/>
          </w:tcPr>
          <w:p w14:paraId="3079D87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0.205</w:t>
            </w:r>
          </w:p>
        </w:tc>
        <w:tc>
          <w:tcPr>
            <w:tcW w:w="1266" w:type="dxa"/>
            <w:tcBorders>
              <w:tl2br w:val="nil"/>
              <w:tr2bl w:val="nil"/>
            </w:tcBorders>
            <w:shd w:val="clear" w:color="auto" w:fill="auto"/>
            <w:noWrap w:val="0"/>
            <w:vAlign w:val="center"/>
          </w:tcPr>
          <w:p w14:paraId="170E879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0.842</w:t>
            </w:r>
          </w:p>
        </w:tc>
        <w:tc>
          <w:tcPr>
            <w:tcW w:w="1300" w:type="dxa"/>
            <w:tcBorders>
              <w:tl2br w:val="nil"/>
              <w:tr2bl w:val="nil"/>
            </w:tcBorders>
            <w:shd w:val="clear" w:color="auto" w:fill="auto"/>
            <w:noWrap w:val="0"/>
            <w:vAlign w:val="center"/>
          </w:tcPr>
          <w:p w14:paraId="3AF62CD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0.045</w:t>
            </w:r>
          </w:p>
        </w:tc>
        <w:tc>
          <w:tcPr>
            <w:tcW w:w="1267" w:type="dxa"/>
            <w:tcBorders>
              <w:tl2br w:val="nil"/>
              <w:tr2bl w:val="nil"/>
            </w:tcBorders>
            <w:shd w:val="clear" w:color="auto" w:fill="auto"/>
            <w:noWrap w:val="0"/>
            <w:vAlign w:val="center"/>
          </w:tcPr>
          <w:p w14:paraId="6EB09F6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0.881</w:t>
            </w:r>
          </w:p>
        </w:tc>
        <w:tc>
          <w:tcPr>
            <w:tcW w:w="1458" w:type="dxa"/>
            <w:tcBorders>
              <w:tl2br w:val="nil"/>
              <w:tr2bl w:val="nil"/>
            </w:tcBorders>
            <w:shd w:val="clear" w:color="auto" w:fill="auto"/>
            <w:noWrap w:val="0"/>
            <w:vAlign w:val="center"/>
          </w:tcPr>
          <w:p w14:paraId="3EE6E63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0.042</w:t>
            </w:r>
          </w:p>
        </w:tc>
        <w:tc>
          <w:tcPr>
            <w:tcW w:w="1448" w:type="dxa"/>
            <w:tcBorders>
              <w:tl2br w:val="nil"/>
              <w:tr2bl w:val="nil"/>
            </w:tcBorders>
            <w:shd w:val="clear" w:color="auto" w:fill="auto"/>
            <w:noWrap w:val="0"/>
            <w:vAlign w:val="center"/>
          </w:tcPr>
          <w:p w14:paraId="581610C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1.292</w:t>
            </w:r>
          </w:p>
        </w:tc>
      </w:tr>
      <w:tr w14:paraId="1182A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517638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-22</w:t>
            </w:r>
          </w:p>
        </w:tc>
        <w:tc>
          <w:tcPr>
            <w:tcW w:w="1300" w:type="dxa"/>
            <w:tcBorders>
              <w:tl2br w:val="nil"/>
              <w:tr2bl w:val="nil"/>
            </w:tcBorders>
            <w:shd w:val="clear" w:color="auto" w:fill="auto"/>
            <w:noWrap w:val="0"/>
            <w:vAlign w:val="center"/>
          </w:tcPr>
          <w:p w14:paraId="51DD8CC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0.229</w:t>
            </w:r>
          </w:p>
        </w:tc>
        <w:tc>
          <w:tcPr>
            <w:tcW w:w="1266" w:type="dxa"/>
            <w:tcBorders>
              <w:tl2br w:val="nil"/>
              <w:tr2bl w:val="nil"/>
            </w:tcBorders>
            <w:shd w:val="clear" w:color="auto" w:fill="auto"/>
            <w:noWrap w:val="0"/>
            <w:vAlign w:val="center"/>
          </w:tcPr>
          <w:p w14:paraId="050A8C7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0.911</w:t>
            </w:r>
          </w:p>
        </w:tc>
        <w:tc>
          <w:tcPr>
            <w:tcW w:w="1300" w:type="dxa"/>
            <w:tcBorders>
              <w:tl2br w:val="nil"/>
              <w:tr2bl w:val="nil"/>
            </w:tcBorders>
            <w:shd w:val="clear" w:color="auto" w:fill="auto"/>
            <w:noWrap w:val="0"/>
            <w:vAlign w:val="center"/>
          </w:tcPr>
          <w:p w14:paraId="5DBB964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0.053</w:t>
            </w:r>
          </w:p>
        </w:tc>
        <w:tc>
          <w:tcPr>
            <w:tcW w:w="1267" w:type="dxa"/>
            <w:tcBorders>
              <w:tl2br w:val="nil"/>
              <w:tr2bl w:val="nil"/>
            </w:tcBorders>
            <w:shd w:val="clear" w:color="auto" w:fill="auto"/>
            <w:noWrap w:val="0"/>
            <w:vAlign w:val="center"/>
          </w:tcPr>
          <w:p w14:paraId="79E314A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0.951</w:t>
            </w:r>
          </w:p>
        </w:tc>
        <w:tc>
          <w:tcPr>
            <w:tcW w:w="1458" w:type="dxa"/>
            <w:tcBorders>
              <w:tl2br w:val="nil"/>
              <w:tr2bl w:val="nil"/>
            </w:tcBorders>
            <w:shd w:val="clear" w:color="auto" w:fill="auto"/>
            <w:noWrap w:val="0"/>
            <w:vAlign w:val="center"/>
          </w:tcPr>
          <w:p w14:paraId="3AFB3FF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0.045</w:t>
            </w:r>
          </w:p>
        </w:tc>
        <w:tc>
          <w:tcPr>
            <w:tcW w:w="1448" w:type="dxa"/>
            <w:tcBorders>
              <w:tl2br w:val="nil"/>
              <w:tr2bl w:val="nil"/>
            </w:tcBorders>
            <w:shd w:val="clear" w:color="auto" w:fill="auto"/>
            <w:noWrap w:val="0"/>
            <w:vAlign w:val="center"/>
          </w:tcPr>
          <w:p w14:paraId="544880D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1.384</w:t>
            </w:r>
          </w:p>
        </w:tc>
      </w:tr>
      <w:tr w14:paraId="67FAC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F8EE83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-21</w:t>
            </w:r>
          </w:p>
        </w:tc>
        <w:tc>
          <w:tcPr>
            <w:tcW w:w="1300" w:type="dxa"/>
            <w:tcBorders>
              <w:tl2br w:val="nil"/>
              <w:tr2bl w:val="nil"/>
            </w:tcBorders>
            <w:shd w:val="clear" w:color="auto" w:fill="auto"/>
            <w:noWrap w:val="0"/>
            <w:vAlign w:val="center"/>
          </w:tcPr>
          <w:p w14:paraId="09E3139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0.257</w:t>
            </w:r>
          </w:p>
        </w:tc>
        <w:tc>
          <w:tcPr>
            <w:tcW w:w="1266" w:type="dxa"/>
            <w:tcBorders>
              <w:tl2br w:val="nil"/>
              <w:tr2bl w:val="nil"/>
            </w:tcBorders>
            <w:shd w:val="clear" w:color="auto" w:fill="auto"/>
            <w:noWrap w:val="0"/>
            <w:vAlign w:val="center"/>
          </w:tcPr>
          <w:p w14:paraId="13ABD63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0.989</w:t>
            </w:r>
          </w:p>
        </w:tc>
        <w:tc>
          <w:tcPr>
            <w:tcW w:w="1300" w:type="dxa"/>
            <w:tcBorders>
              <w:tl2br w:val="nil"/>
              <w:tr2bl w:val="nil"/>
            </w:tcBorders>
            <w:shd w:val="clear" w:color="auto" w:fill="auto"/>
            <w:noWrap w:val="0"/>
            <w:vAlign w:val="center"/>
          </w:tcPr>
          <w:p w14:paraId="6BEF858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0.065</w:t>
            </w:r>
          </w:p>
        </w:tc>
        <w:tc>
          <w:tcPr>
            <w:tcW w:w="1267" w:type="dxa"/>
            <w:tcBorders>
              <w:tl2br w:val="nil"/>
              <w:tr2bl w:val="nil"/>
            </w:tcBorders>
            <w:shd w:val="clear" w:color="auto" w:fill="auto"/>
            <w:noWrap w:val="0"/>
            <w:vAlign w:val="center"/>
          </w:tcPr>
          <w:p w14:paraId="6074D01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1.028</w:t>
            </w:r>
          </w:p>
        </w:tc>
        <w:tc>
          <w:tcPr>
            <w:tcW w:w="1458" w:type="dxa"/>
            <w:tcBorders>
              <w:tl2br w:val="nil"/>
              <w:tr2bl w:val="nil"/>
            </w:tcBorders>
            <w:shd w:val="clear" w:color="auto" w:fill="auto"/>
            <w:noWrap w:val="0"/>
            <w:vAlign w:val="center"/>
          </w:tcPr>
          <w:p w14:paraId="0471B6A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0.054</w:t>
            </w:r>
          </w:p>
        </w:tc>
        <w:tc>
          <w:tcPr>
            <w:tcW w:w="1448" w:type="dxa"/>
            <w:tcBorders>
              <w:tl2br w:val="nil"/>
              <w:tr2bl w:val="nil"/>
            </w:tcBorders>
            <w:shd w:val="clear" w:color="auto" w:fill="auto"/>
            <w:noWrap w:val="0"/>
            <w:vAlign w:val="center"/>
          </w:tcPr>
          <w:p w14:paraId="0588A34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1.485</w:t>
            </w:r>
          </w:p>
        </w:tc>
      </w:tr>
      <w:tr w14:paraId="774E1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E9B382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-20</w:t>
            </w:r>
          </w:p>
        </w:tc>
        <w:tc>
          <w:tcPr>
            <w:tcW w:w="1300" w:type="dxa"/>
            <w:tcBorders>
              <w:tl2br w:val="nil"/>
              <w:tr2bl w:val="nil"/>
            </w:tcBorders>
            <w:shd w:val="clear" w:color="auto" w:fill="auto"/>
            <w:noWrap w:val="0"/>
            <w:vAlign w:val="center"/>
          </w:tcPr>
          <w:p w14:paraId="6E74B02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0.288</w:t>
            </w:r>
          </w:p>
        </w:tc>
        <w:tc>
          <w:tcPr>
            <w:tcW w:w="1266" w:type="dxa"/>
            <w:tcBorders>
              <w:tl2br w:val="nil"/>
              <w:tr2bl w:val="nil"/>
            </w:tcBorders>
            <w:shd w:val="clear" w:color="auto" w:fill="auto"/>
            <w:noWrap w:val="0"/>
            <w:vAlign w:val="center"/>
          </w:tcPr>
          <w:p w14:paraId="3F402E0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1.076</w:t>
            </w:r>
          </w:p>
        </w:tc>
        <w:tc>
          <w:tcPr>
            <w:tcW w:w="1300" w:type="dxa"/>
            <w:tcBorders>
              <w:tl2br w:val="nil"/>
              <w:tr2bl w:val="nil"/>
            </w:tcBorders>
            <w:shd w:val="clear" w:color="auto" w:fill="auto"/>
            <w:noWrap w:val="0"/>
            <w:vAlign w:val="center"/>
          </w:tcPr>
          <w:p w14:paraId="6E60108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0.083</w:t>
            </w:r>
          </w:p>
        </w:tc>
        <w:tc>
          <w:tcPr>
            <w:tcW w:w="1267" w:type="dxa"/>
            <w:tcBorders>
              <w:tl2br w:val="nil"/>
              <w:tr2bl w:val="nil"/>
            </w:tcBorders>
            <w:shd w:val="clear" w:color="auto" w:fill="auto"/>
            <w:noWrap w:val="0"/>
            <w:vAlign w:val="center"/>
          </w:tcPr>
          <w:p w14:paraId="6151CEA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1.113</w:t>
            </w:r>
          </w:p>
        </w:tc>
        <w:tc>
          <w:tcPr>
            <w:tcW w:w="1458" w:type="dxa"/>
            <w:tcBorders>
              <w:tl2br w:val="nil"/>
              <w:tr2bl w:val="nil"/>
            </w:tcBorders>
            <w:shd w:val="clear" w:color="auto" w:fill="auto"/>
            <w:noWrap w:val="0"/>
            <w:vAlign w:val="center"/>
          </w:tcPr>
          <w:p w14:paraId="6BA7596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0.071</w:t>
            </w:r>
          </w:p>
        </w:tc>
        <w:tc>
          <w:tcPr>
            <w:tcW w:w="1448" w:type="dxa"/>
            <w:tcBorders>
              <w:tl2br w:val="nil"/>
              <w:tr2bl w:val="nil"/>
            </w:tcBorders>
            <w:shd w:val="clear" w:color="auto" w:fill="auto"/>
            <w:noWrap w:val="0"/>
            <w:vAlign w:val="center"/>
          </w:tcPr>
          <w:p w14:paraId="661ECC0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1.594</w:t>
            </w:r>
          </w:p>
        </w:tc>
      </w:tr>
      <w:tr w14:paraId="6296C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8A5AA8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-19</w:t>
            </w:r>
          </w:p>
        </w:tc>
        <w:tc>
          <w:tcPr>
            <w:tcW w:w="1300" w:type="dxa"/>
            <w:tcBorders>
              <w:tl2br w:val="nil"/>
              <w:tr2bl w:val="nil"/>
            </w:tcBorders>
            <w:shd w:val="clear" w:color="auto" w:fill="auto"/>
            <w:noWrap w:val="0"/>
            <w:vAlign w:val="center"/>
          </w:tcPr>
          <w:p w14:paraId="582AA0F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0.324</w:t>
            </w:r>
          </w:p>
        </w:tc>
        <w:tc>
          <w:tcPr>
            <w:tcW w:w="1266" w:type="dxa"/>
            <w:tcBorders>
              <w:tl2br w:val="nil"/>
              <w:tr2bl w:val="nil"/>
            </w:tcBorders>
            <w:shd w:val="clear" w:color="auto" w:fill="auto"/>
            <w:noWrap w:val="0"/>
            <w:vAlign w:val="center"/>
          </w:tcPr>
          <w:p w14:paraId="0BC5791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1.174</w:t>
            </w:r>
          </w:p>
        </w:tc>
        <w:tc>
          <w:tcPr>
            <w:tcW w:w="1300" w:type="dxa"/>
            <w:tcBorders>
              <w:tl2br w:val="nil"/>
              <w:tr2bl w:val="nil"/>
            </w:tcBorders>
            <w:shd w:val="clear" w:color="auto" w:fill="auto"/>
            <w:noWrap w:val="0"/>
            <w:vAlign w:val="center"/>
          </w:tcPr>
          <w:p w14:paraId="41769E3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0.107</w:t>
            </w:r>
          </w:p>
        </w:tc>
        <w:tc>
          <w:tcPr>
            <w:tcW w:w="1267" w:type="dxa"/>
            <w:tcBorders>
              <w:tl2br w:val="nil"/>
              <w:tr2bl w:val="nil"/>
            </w:tcBorders>
            <w:shd w:val="clear" w:color="auto" w:fill="auto"/>
            <w:noWrap w:val="0"/>
            <w:vAlign w:val="center"/>
          </w:tcPr>
          <w:p w14:paraId="70BD937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1.207</w:t>
            </w:r>
          </w:p>
        </w:tc>
        <w:tc>
          <w:tcPr>
            <w:tcW w:w="1458" w:type="dxa"/>
            <w:tcBorders>
              <w:tl2br w:val="nil"/>
              <w:tr2bl w:val="nil"/>
            </w:tcBorders>
            <w:shd w:val="clear" w:color="auto" w:fill="auto"/>
            <w:noWrap w:val="0"/>
            <w:vAlign w:val="center"/>
          </w:tcPr>
          <w:p w14:paraId="50200C6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0.096</w:t>
            </w:r>
          </w:p>
        </w:tc>
        <w:tc>
          <w:tcPr>
            <w:tcW w:w="1448" w:type="dxa"/>
            <w:tcBorders>
              <w:tl2br w:val="nil"/>
              <w:tr2bl w:val="nil"/>
            </w:tcBorders>
            <w:shd w:val="clear" w:color="auto" w:fill="auto"/>
            <w:noWrap w:val="0"/>
            <w:vAlign w:val="center"/>
          </w:tcPr>
          <w:p w14:paraId="2351AD7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1.714</w:t>
            </w:r>
          </w:p>
        </w:tc>
      </w:tr>
      <w:tr w14:paraId="7FED2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440735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-18</w:t>
            </w:r>
          </w:p>
        </w:tc>
        <w:tc>
          <w:tcPr>
            <w:tcW w:w="1300" w:type="dxa"/>
            <w:tcBorders>
              <w:tl2br w:val="nil"/>
              <w:tr2bl w:val="nil"/>
            </w:tcBorders>
            <w:shd w:val="clear" w:color="auto" w:fill="auto"/>
            <w:noWrap w:val="0"/>
            <w:vAlign w:val="center"/>
          </w:tcPr>
          <w:p w14:paraId="712C89A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0.365</w:t>
            </w:r>
          </w:p>
        </w:tc>
        <w:tc>
          <w:tcPr>
            <w:tcW w:w="1266" w:type="dxa"/>
            <w:tcBorders>
              <w:tl2br w:val="nil"/>
              <w:tr2bl w:val="nil"/>
            </w:tcBorders>
            <w:shd w:val="clear" w:color="auto" w:fill="auto"/>
            <w:noWrap w:val="0"/>
            <w:vAlign w:val="center"/>
          </w:tcPr>
          <w:p w14:paraId="23B0E53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1.284</w:t>
            </w:r>
          </w:p>
        </w:tc>
        <w:tc>
          <w:tcPr>
            <w:tcW w:w="1300" w:type="dxa"/>
            <w:tcBorders>
              <w:tl2br w:val="nil"/>
              <w:tr2bl w:val="nil"/>
            </w:tcBorders>
            <w:shd w:val="clear" w:color="auto" w:fill="auto"/>
            <w:noWrap w:val="0"/>
            <w:vAlign w:val="center"/>
          </w:tcPr>
          <w:p w14:paraId="574BBB9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0.137</w:t>
            </w:r>
          </w:p>
        </w:tc>
        <w:tc>
          <w:tcPr>
            <w:tcW w:w="1267" w:type="dxa"/>
            <w:tcBorders>
              <w:tl2br w:val="nil"/>
              <w:tr2bl w:val="nil"/>
            </w:tcBorders>
            <w:shd w:val="clear" w:color="auto" w:fill="auto"/>
            <w:noWrap w:val="0"/>
            <w:vAlign w:val="center"/>
          </w:tcPr>
          <w:p w14:paraId="49DCE1F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1.310</w:t>
            </w:r>
          </w:p>
        </w:tc>
        <w:tc>
          <w:tcPr>
            <w:tcW w:w="1458" w:type="dxa"/>
            <w:tcBorders>
              <w:tl2br w:val="nil"/>
              <w:tr2bl w:val="nil"/>
            </w:tcBorders>
            <w:shd w:val="clear" w:color="auto" w:fill="auto"/>
            <w:noWrap w:val="0"/>
            <w:vAlign w:val="center"/>
          </w:tcPr>
          <w:p w14:paraId="43BAD0B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0.130</w:t>
            </w:r>
          </w:p>
        </w:tc>
        <w:tc>
          <w:tcPr>
            <w:tcW w:w="1448" w:type="dxa"/>
            <w:tcBorders>
              <w:tl2br w:val="nil"/>
              <w:tr2bl w:val="nil"/>
            </w:tcBorders>
            <w:shd w:val="clear" w:color="auto" w:fill="auto"/>
            <w:noWrap w:val="0"/>
            <w:vAlign w:val="center"/>
          </w:tcPr>
          <w:p w14:paraId="403B459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1.845</w:t>
            </w:r>
          </w:p>
        </w:tc>
      </w:tr>
      <w:tr w14:paraId="22589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8A0D435">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-17</w:t>
            </w:r>
          </w:p>
        </w:tc>
        <w:tc>
          <w:tcPr>
            <w:tcW w:w="1300" w:type="dxa"/>
            <w:tcBorders>
              <w:tl2br w:val="nil"/>
              <w:tr2bl w:val="nil"/>
            </w:tcBorders>
            <w:shd w:val="clear" w:color="auto" w:fill="auto"/>
            <w:noWrap w:val="0"/>
            <w:vAlign w:val="center"/>
          </w:tcPr>
          <w:p w14:paraId="4F1DB58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0.412</w:t>
            </w:r>
          </w:p>
        </w:tc>
        <w:tc>
          <w:tcPr>
            <w:tcW w:w="1266" w:type="dxa"/>
            <w:tcBorders>
              <w:tl2br w:val="nil"/>
              <w:tr2bl w:val="nil"/>
            </w:tcBorders>
            <w:shd w:val="clear" w:color="auto" w:fill="auto"/>
            <w:noWrap w:val="0"/>
            <w:vAlign w:val="center"/>
          </w:tcPr>
          <w:p w14:paraId="4712D06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1.409</w:t>
            </w:r>
          </w:p>
        </w:tc>
        <w:tc>
          <w:tcPr>
            <w:tcW w:w="1300" w:type="dxa"/>
            <w:tcBorders>
              <w:tl2br w:val="nil"/>
              <w:tr2bl w:val="nil"/>
            </w:tcBorders>
            <w:shd w:val="clear" w:color="auto" w:fill="auto"/>
            <w:noWrap w:val="0"/>
            <w:vAlign w:val="center"/>
          </w:tcPr>
          <w:p w14:paraId="767A7D5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0.175</w:t>
            </w:r>
          </w:p>
        </w:tc>
        <w:tc>
          <w:tcPr>
            <w:tcW w:w="1267" w:type="dxa"/>
            <w:tcBorders>
              <w:tl2br w:val="nil"/>
              <w:tr2bl w:val="nil"/>
            </w:tcBorders>
            <w:shd w:val="clear" w:color="auto" w:fill="auto"/>
            <w:noWrap w:val="0"/>
            <w:vAlign w:val="center"/>
          </w:tcPr>
          <w:p w14:paraId="2701530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1.424</w:t>
            </w:r>
          </w:p>
        </w:tc>
        <w:tc>
          <w:tcPr>
            <w:tcW w:w="1458" w:type="dxa"/>
            <w:tcBorders>
              <w:tl2br w:val="nil"/>
              <w:tr2bl w:val="nil"/>
            </w:tcBorders>
            <w:shd w:val="clear" w:color="auto" w:fill="auto"/>
            <w:noWrap w:val="0"/>
            <w:vAlign w:val="center"/>
          </w:tcPr>
          <w:p w14:paraId="23657F4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0.171</w:t>
            </w:r>
          </w:p>
        </w:tc>
        <w:tc>
          <w:tcPr>
            <w:tcW w:w="1448" w:type="dxa"/>
            <w:tcBorders>
              <w:tl2br w:val="nil"/>
              <w:tr2bl w:val="nil"/>
            </w:tcBorders>
            <w:shd w:val="clear" w:color="auto" w:fill="auto"/>
            <w:noWrap w:val="0"/>
            <w:vAlign w:val="center"/>
          </w:tcPr>
          <w:p w14:paraId="3E70408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1.986</w:t>
            </w:r>
          </w:p>
        </w:tc>
      </w:tr>
      <w:tr w14:paraId="7BF7D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1A77554">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-16</w:t>
            </w:r>
          </w:p>
        </w:tc>
        <w:tc>
          <w:tcPr>
            <w:tcW w:w="1300" w:type="dxa"/>
            <w:tcBorders>
              <w:tl2br w:val="nil"/>
              <w:tr2bl w:val="nil"/>
            </w:tcBorders>
            <w:shd w:val="clear" w:color="auto" w:fill="auto"/>
            <w:noWrap w:val="0"/>
            <w:vAlign w:val="center"/>
          </w:tcPr>
          <w:p w14:paraId="748CA4D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0.466</w:t>
            </w:r>
          </w:p>
        </w:tc>
        <w:tc>
          <w:tcPr>
            <w:tcW w:w="1266" w:type="dxa"/>
            <w:tcBorders>
              <w:tl2br w:val="nil"/>
              <w:tr2bl w:val="nil"/>
            </w:tcBorders>
            <w:shd w:val="clear" w:color="auto" w:fill="auto"/>
            <w:noWrap w:val="0"/>
            <w:vAlign w:val="center"/>
          </w:tcPr>
          <w:p w14:paraId="308F0B6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1.550</w:t>
            </w:r>
          </w:p>
        </w:tc>
        <w:tc>
          <w:tcPr>
            <w:tcW w:w="1300" w:type="dxa"/>
            <w:tcBorders>
              <w:tl2br w:val="nil"/>
              <w:tr2bl w:val="nil"/>
            </w:tcBorders>
            <w:shd w:val="clear" w:color="auto" w:fill="auto"/>
            <w:noWrap w:val="0"/>
            <w:vAlign w:val="center"/>
          </w:tcPr>
          <w:p w14:paraId="24BF303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0.221</w:t>
            </w:r>
          </w:p>
        </w:tc>
        <w:tc>
          <w:tcPr>
            <w:tcW w:w="1267" w:type="dxa"/>
            <w:tcBorders>
              <w:tl2br w:val="nil"/>
              <w:tr2bl w:val="nil"/>
            </w:tcBorders>
            <w:shd w:val="clear" w:color="auto" w:fill="auto"/>
            <w:noWrap w:val="0"/>
            <w:vAlign w:val="center"/>
          </w:tcPr>
          <w:p w14:paraId="19F657A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1.548</w:t>
            </w:r>
          </w:p>
        </w:tc>
        <w:tc>
          <w:tcPr>
            <w:tcW w:w="1458" w:type="dxa"/>
            <w:tcBorders>
              <w:tl2br w:val="nil"/>
              <w:tr2bl w:val="nil"/>
            </w:tcBorders>
            <w:shd w:val="clear" w:color="auto" w:fill="auto"/>
            <w:noWrap w:val="0"/>
            <w:vAlign w:val="center"/>
          </w:tcPr>
          <w:p w14:paraId="5792697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0.223</w:t>
            </w:r>
          </w:p>
        </w:tc>
        <w:tc>
          <w:tcPr>
            <w:tcW w:w="1448" w:type="dxa"/>
            <w:tcBorders>
              <w:tl2br w:val="nil"/>
              <w:tr2bl w:val="nil"/>
            </w:tcBorders>
            <w:shd w:val="clear" w:color="auto" w:fill="auto"/>
            <w:noWrap w:val="0"/>
            <w:vAlign w:val="center"/>
          </w:tcPr>
          <w:p w14:paraId="6E92B15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2.139</w:t>
            </w:r>
          </w:p>
        </w:tc>
      </w:tr>
      <w:tr w14:paraId="3AD49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59A9E8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-15</w:t>
            </w:r>
          </w:p>
        </w:tc>
        <w:tc>
          <w:tcPr>
            <w:tcW w:w="1300" w:type="dxa"/>
            <w:tcBorders>
              <w:tl2br w:val="nil"/>
              <w:tr2bl w:val="nil"/>
            </w:tcBorders>
            <w:shd w:val="clear" w:color="auto" w:fill="auto"/>
            <w:noWrap w:val="0"/>
            <w:vAlign w:val="center"/>
          </w:tcPr>
          <w:p w14:paraId="320B9EE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0.526</w:t>
            </w:r>
          </w:p>
        </w:tc>
        <w:tc>
          <w:tcPr>
            <w:tcW w:w="1266" w:type="dxa"/>
            <w:tcBorders>
              <w:tl2br w:val="nil"/>
              <w:tr2bl w:val="nil"/>
            </w:tcBorders>
            <w:shd w:val="clear" w:color="auto" w:fill="auto"/>
            <w:noWrap w:val="0"/>
            <w:vAlign w:val="center"/>
          </w:tcPr>
          <w:p w14:paraId="585849F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1.710</w:t>
            </w:r>
          </w:p>
        </w:tc>
        <w:tc>
          <w:tcPr>
            <w:tcW w:w="1300" w:type="dxa"/>
            <w:tcBorders>
              <w:tl2br w:val="nil"/>
              <w:tr2bl w:val="nil"/>
            </w:tcBorders>
            <w:shd w:val="clear" w:color="auto" w:fill="auto"/>
            <w:noWrap w:val="0"/>
            <w:vAlign w:val="center"/>
          </w:tcPr>
          <w:p w14:paraId="33D805A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0.276</w:t>
            </w:r>
          </w:p>
        </w:tc>
        <w:tc>
          <w:tcPr>
            <w:tcW w:w="1267" w:type="dxa"/>
            <w:tcBorders>
              <w:tl2br w:val="nil"/>
              <w:tr2bl w:val="nil"/>
            </w:tcBorders>
            <w:shd w:val="clear" w:color="auto" w:fill="auto"/>
            <w:noWrap w:val="0"/>
            <w:vAlign w:val="center"/>
          </w:tcPr>
          <w:p w14:paraId="21D0F12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1.684</w:t>
            </w:r>
          </w:p>
        </w:tc>
        <w:tc>
          <w:tcPr>
            <w:tcW w:w="1458" w:type="dxa"/>
            <w:tcBorders>
              <w:tl2br w:val="nil"/>
              <w:tr2bl w:val="nil"/>
            </w:tcBorders>
            <w:shd w:val="clear" w:color="auto" w:fill="auto"/>
            <w:noWrap w:val="0"/>
            <w:vAlign w:val="center"/>
          </w:tcPr>
          <w:p w14:paraId="74238B2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0.286</w:t>
            </w:r>
          </w:p>
        </w:tc>
        <w:tc>
          <w:tcPr>
            <w:tcW w:w="1448" w:type="dxa"/>
            <w:tcBorders>
              <w:tl2br w:val="nil"/>
              <w:tr2bl w:val="nil"/>
            </w:tcBorders>
            <w:shd w:val="clear" w:color="auto" w:fill="auto"/>
            <w:noWrap w:val="0"/>
            <w:vAlign w:val="center"/>
          </w:tcPr>
          <w:p w14:paraId="72D24C9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2.303</w:t>
            </w:r>
          </w:p>
        </w:tc>
      </w:tr>
      <w:tr w14:paraId="483B9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83EBC9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-14</w:t>
            </w:r>
          </w:p>
        </w:tc>
        <w:tc>
          <w:tcPr>
            <w:tcW w:w="1300" w:type="dxa"/>
            <w:tcBorders>
              <w:tl2br w:val="nil"/>
              <w:tr2bl w:val="nil"/>
            </w:tcBorders>
            <w:shd w:val="clear" w:color="auto" w:fill="auto"/>
            <w:noWrap w:val="0"/>
            <w:vAlign w:val="center"/>
          </w:tcPr>
          <w:p w14:paraId="278545B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0.594</w:t>
            </w:r>
          </w:p>
        </w:tc>
        <w:tc>
          <w:tcPr>
            <w:tcW w:w="1266" w:type="dxa"/>
            <w:tcBorders>
              <w:tl2br w:val="nil"/>
              <w:tr2bl w:val="nil"/>
            </w:tcBorders>
            <w:shd w:val="clear" w:color="auto" w:fill="auto"/>
            <w:noWrap w:val="0"/>
            <w:vAlign w:val="center"/>
          </w:tcPr>
          <w:p w14:paraId="3B4EBED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1.890</w:t>
            </w:r>
          </w:p>
        </w:tc>
        <w:tc>
          <w:tcPr>
            <w:tcW w:w="1300" w:type="dxa"/>
            <w:tcBorders>
              <w:tl2br w:val="nil"/>
              <w:tr2bl w:val="nil"/>
            </w:tcBorders>
            <w:shd w:val="clear" w:color="auto" w:fill="auto"/>
            <w:noWrap w:val="0"/>
            <w:vAlign w:val="center"/>
          </w:tcPr>
          <w:p w14:paraId="6D3A12C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0.342</w:t>
            </w:r>
          </w:p>
        </w:tc>
        <w:tc>
          <w:tcPr>
            <w:tcW w:w="1267" w:type="dxa"/>
            <w:tcBorders>
              <w:tl2br w:val="nil"/>
              <w:tr2bl w:val="nil"/>
            </w:tcBorders>
            <w:shd w:val="clear" w:color="auto" w:fill="auto"/>
            <w:noWrap w:val="0"/>
            <w:vAlign w:val="center"/>
          </w:tcPr>
          <w:p w14:paraId="13EA042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1.831</w:t>
            </w:r>
          </w:p>
        </w:tc>
        <w:tc>
          <w:tcPr>
            <w:tcW w:w="1458" w:type="dxa"/>
            <w:tcBorders>
              <w:tl2br w:val="nil"/>
              <w:tr2bl w:val="nil"/>
            </w:tcBorders>
            <w:shd w:val="clear" w:color="auto" w:fill="auto"/>
            <w:noWrap w:val="0"/>
            <w:vAlign w:val="center"/>
          </w:tcPr>
          <w:p w14:paraId="1B5B8F1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0.360</w:t>
            </w:r>
          </w:p>
        </w:tc>
        <w:tc>
          <w:tcPr>
            <w:tcW w:w="1448" w:type="dxa"/>
            <w:tcBorders>
              <w:tl2br w:val="nil"/>
              <w:tr2bl w:val="nil"/>
            </w:tcBorders>
            <w:shd w:val="clear" w:color="auto" w:fill="auto"/>
            <w:noWrap w:val="0"/>
            <w:vAlign w:val="center"/>
          </w:tcPr>
          <w:p w14:paraId="42156C9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2.477</w:t>
            </w:r>
          </w:p>
        </w:tc>
      </w:tr>
      <w:tr w14:paraId="09862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95B3814">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-13</w:t>
            </w:r>
          </w:p>
        </w:tc>
        <w:tc>
          <w:tcPr>
            <w:tcW w:w="1300" w:type="dxa"/>
            <w:tcBorders>
              <w:tl2br w:val="nil"/>
              <w:tr2bl w:val="nil"/>
            </w:tcBorders>
            <w:shd w:val="clear" w:color="auto" w:fill="auto"/>
            <w:noWrap w:val="0"/>
            <w:vAlign w:val="center"/>
          </w:tcPr>
          <w:p w14:paraId="68930C4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0.667</w:t>
            </w:r>
          </w:p>
        </w:tc>
        <w:tc>
          <w:tcPr>
            <w:tcW w:w="1266" w:type="dxa"/>
            <w:tcBorders>
              <w:tl2br w:val="nil"/>
              <w:tr2bl w:val="nil"/>
            </w:tcBorders>
            <w:shd w:val="clear" w:color="auto" w:fill="auto"/>
            <w:noWrap w:val="0"/>
            <w:vAlign w:val="center"/>
          </w:tcPr>
          <w:p w14:paraId="27D7352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2.093</w:t>
            </w:r>
          </w:p>
        </w:tc>
        <w:tc>
          <w:tcPr>
            <w:tcW w:w="1300" w:type="dxa"/>
            <w:tcBorders>
              <w:tl2br w:val="nil"/>
              <w:tr2bl w:val="nil"/>
            </w:tcBorders>
            <w:shd w:val="clear" w:color="auto" w:fill="auto"/>
            <w:noWrap w:val="0"/>
            <w:vAlign w:val="center"/>
          </w:tcPr>
          <w:p w14:paraId="3F4ADC2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0.418</w:t>
            </w:r>
          </w:p>
        </w:tc>
        <w:tc>
          <w:tcPr>
            <w:tcW w:w="1267" w:type="dxa"/>
            <w:tcBorders>
              <w:tl2br w:val="nil"/>
              <w:tr2bl w:val="nil"/>
            </w:tcBorders>
            <w:shd w:val="clear" w:color="auto" w:fill="auto"/>
            <w:noWrap w:val="0"/>
            <w:vAlign w:val="center"/>
          </w:tcPr>
          <w:p w14:paraId="6C5398C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1.987</w:t>
            </w:r>
          </w:p>
        </w:tc>
        <w:tc>
          <w:tcPr>
            <w:tcW w:w="1458" w:type="dxa"/>
            <w:tcBorders>
              <w:tl2br w:val="nil"/>
              <w:tr2bl w:val="nil"/>
            </w:tcBorders>
            <w:shd w:val="clear" w:color="auto" w:fill="auto"/>
            <w:noWrap w:val="0"/>
            <w:vAlign w:val="center"/>
          </w:tcPr>
          <w:p w14:paraId="2BFF6FF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0.447</w:t>
            </w:r>
          </w:p>
        </w:tc>
        <w:tc>
          <w:tcPr>
            <w:tcW w:w="1448" w:type="dxa"/>
            <w:tcBorders>
              <w:tl2br w:val="nil"/>
              <w:tr2bl w:val="nil"/>
            </w:tcBorders>
            <w:shd w:val="clear" w:color="auto" w:fill="auto"/>
            <w:noWrap w:val="0"/>
            <w:vAlign w:val="center"/>
          </w:tcPr>
          <w:p w14:paraId="7CE753B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2.659</w:t>
            </w:r>
          </w:p>
        </w:tc>
      </w:tr>
      <w:tr w14:paraId="70282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F49799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-12</w:t>
            </w:r>
          </w:p>
        </w:tc>
        <w:tc>
          <w:tcPr>
            <w:tcW w:w="1300" w:type="dxa"/>
            <w:tcBorders>
              <w:tl2br w:val="nil"/>
              <w:tr2bl w:val="nil"/>
            </w:tcBorders>
            <w:shd w:val="clear" w:color="auto" w:fill="auto"/>
            <w:noWrap w:val="0"/>
            <w:vAlign w:val="center"/>
          </w:tcPr>
          <w:p w14:paraId="2A0C7B5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0.746</w:t>
            </w:r>
          </w:p>
        </w:tc>
        <w:tc>
          <w:tcPr>
            <w:tcW w:w="1266" w:type="dxa"/>
            <w:tcBorders>
              <w:tl2br w:val="nil"/>
              <w:tr2bl w:val="nil"/>
            </w:tcBorders>
            <w:shd w:val="clear" w:color="auto" w:fill="auto"/>
            <w:noWrap w:val="0"/>
            <w:vAlign w:val="center"/>
          </w:tcPr>
          <w:p w14:paraId="5A5C7AC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2.319</w:t>
            </w:r>
          </w:p>
        </w:tc>
        <w:tc>
          <w:tcPr>
            <w:tcW w:w="1300" w:type="dxa"/>
            <w:tcBorders>
              <w:tl2br w:val="nil"/>
              <w:tr2bl w:val="nil"/>
            </w:tcBorders>
            <w:shd w:val="clear" w:color="auto" w:fill="auto"/>
            <w:noWrap w:val="0"/>
            <w:vAlign w:val="center"/>
          </w:tcPr>
          <w:p w14:paraId="09C46F4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0.506</w:t>
            </w:r>
          </w:p>
        </w:tc>
        <w:tc>
          <w:tcPr>
            <w:tcW w:w="1267" w:type="dxa"/>
            <w:tcBorders>
              <w:tl2br w:val="nil"/>
              <w:tr2bl w:val="nil"/>
            </w:tcBorders>
            <w:shd w:val="clear" w:color="auto" w:fill="auto"/>
            <w:noWrap w:val="0"/>
            <w:vAlign w:val="center"/>
          </w:tcPr>
          <w:p w14:paraId="5ED1F07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2.152</w:t>
            </w:r>
          </w:p>
        </w:tc>
        <w:tc>
          <w:tcPr>
            <w:tcW w:w="1458" w:type="dxa"/>
            <w:tcBorders>
              <w:tl2br w:val="nil"/>
              <w:tr2bl w:val="nil"/>
            </w:tcBorders>
            <w:shd w:val="clear" w:color="auto" w:fill="auto"/>
            <w:noWrap w:val="0"/>
            <w:vAlign w:val="center"/>
          </w:tcPr>
          <w:p w14:paraId="29C13BB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0.548</w:t>
            </w:r>
          </w:p>
        </w:tc>
        <w:tc>
          <w:tcPr>
            <w:tcW w:w="1448" w:type="dxa"/>
            <w:tcBorders>
              <w:tl2br w:val="nil"/>
              <w:tr2bl w:val="nil"/>
            </w:tcBorders>
            <w:shd w:val="clear" w:color="auto" w:fill="auto"/>
            <w:noWrap w:val="0"/>
            <w:vAlign w:val="center"/>
          </w:tcPr>
          <w:p w14:paraId="44FA3AA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2.846</w:t>
            </w:r>
          </w:p>
        </w:tc>
      </w:tr>
      <w:tr w14:paraId="6227B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0633D1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-11</w:t>
            </w:r>
          </w:p>
        </w:tc>
        <w:tc>
          <w:tcPr>
            <w:tcW w:w="1300" w:type="dxa"/>
            <w:tcBorders>
              <w:tl2br w:val="nil"/>
              <w:tr2bl w:val="nil"/>
            </w:tcBorders>
            <w:shd w:val="clear" w:color="auto" w:fill="auto"/>
            <w:noWrap w:val="0"/>
            <w:vAlign w:val="center"/>
          </w:tcPr>
          <w:p w14:paraId="6BA4DCE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0.828</w:t>
            </w:r>
          </w:p>
        </w:tc>
        <w:tc>
          <w:tcPr>
            <w:tcW w:w="1266" w:type="dxa"/>
            <w:tcBorders>
              <w:tl2br w:val="nil"/>
              <w:tr2bl w:val="nil"/>
            </w:tcBorders>
            <w:shd w:val="clear" w:color="auto" w:fill="auto"/>
            <w:noWrap w:val="0"/>
            <w:vAlign w:val="center"/>
          </w:tcPr>
          <w:p w14:paraId="5CD83B3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2.570</w:t>
            </w:r>
          </w:p>
        </w:tc>
        <w:tc>
          <w:tcPr>
            <w:tcW w:w="1300" w:type="dxa"/>
            <w:tcBorders>
              <w:tl2br w:val="nil"/>
              <w:tr2bl w:val="nil"/>
            </w:tcBorders>
            <w:shd w:val="clear" w:color="auto" w:fill="auto"/>
            <w:noWrap w:val="0"/>
            <w:vAlign w:val="center"/>
          </w:tcPr>
          <w:p w14:paraId="0555713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0.602</w:t>
            </w:r>
          </w:p>
        </w:tc>
        <w:tc>
          <w:tcPr>
            <w:tcW w:w="1267" w:type="dxa"/>
            <w:tcBorders>
              <w:tl2br w:val="nil"/>
              <w:tr2bl w:val="nil"/>
            </w:tcBorders>
            <w:shd w:val="clear" w:color="auto" w:fill="auto"/>
            <w:noWrap w:val="0"/>
            <w:vAlign w:val="center"/>
          </w:tcPr>
          <w:p w14:paraId="0DF756B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2.321</w:t>
            </w:r>
          </w:p>
        </w:tc>
        <w:tc>
          <w:tcPr>
            <w:tcW w:w="1458" w:type="dxa"/>
            <w:tcBorders>
              <w:tl2br w:val="nil"/>
              <w:tr2bl w:val="nil"/>
            </w:tcBorders>
            <w:shd w:val="clear" w:color="auto" w:fill="auto"/>
            <w:noWrap w:val="0"/>
            <w:vAlign w:val="center"/>
          </w:tcPr>
          <w:p w14:paraId="5257135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0.660</w:t>
            </w:r>
          </w:p>
        </w:tc>
        <w:tc>
          <w:tcPr>
            <w:tcW w:w="1448" w:type="dxa"/>
            <w:tcBorders>
              <w:tl2br w:val="nil"/>
              <w:tr2bl w:val="nil"/>
            </w:tcBorders>
            <w:shd w:val="clear" w:color="auto" w:fill="auto"/>
            <w:noWrap w:val="0"/>
            <w:vAlign w:val="center"/>
          </w:tcPr>
          <w:p w14:paraId="003B8FB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3.032</w:t>
            </w:r>
          </w:p>
        </w:tc>
      </w:tr>
      <w:tr w14:paraId="32814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ED9BB3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-10</w:t>
            </w:r>
          </w:p>
        </w:tc>
        <w:tc>
          <w:tcPr>
            <w:tcW w:w="1300" w:type="dxa"/>
            <w:tcBorders>
              <w:tl2br w:val="nil"/>
              <w:tr2bl w:val="nil"/>
            </w:tcBorders>
            <w:shd w:val="clear" w:color="auto" w:fill="auto"/>
            <w:noWrap w:val="0"/>
            <w:vAlign w:val="center"/>
          </w:tcPr>
          <w:p w14:paraId="7083578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0.908</w:t>
            </w:r>
          </w:p>
        </w:tc>
        <w:tc>
          <w:tcPr>
            <w:tcW w:w="1266" w:type="dxa"/>
            <w:tcBorders>
              <w:tl2br w:val="nil"/>
              <w:tr2bl w:val="nil"/>
            </w:tcBorders>
            <w:shd w:val="clear" w:color="auto" w:fill="auto"/>
            <w:noWrap w:val="0"/>
            <w:vAlign w:val="center"/>
          </w:tcPr>
          <w:p w14:paraId="688870E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2.844</w:t>
            </w:r>
          </w:p>
        </w:tc>
        <w:tc>
          <w:tcPr>
            <w:tcW w:w="1300" w:type="dxa"/>
            <w:tcBorders>
              <w:tl2br w:val="nil"/>
              <w:tr2bl w:val="nil"/>
            </w:tcBorders>
            <w:shd w:val="clear" w:color="auto" w:fill="auto"/>
            <w:noWrap w:val="0"/>
            <w:vAlign w:val="center"/>
          </w:tcPr>
          <w:p w14:paraId="2D18F80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0.704</w:t>
            </w:r>
          </w:p>
        </w:tc>
        <w:tc>
          <w:tcPr>
            <w:tcW w:w="1267" w:type="dxa"/>
            <w:tcBorders>
              <w:tl2br w:val="nil"/>
              <w:tr2bl w:val="nil"/>
            </w:tcBorders>
            <w:shd w:val="clear" w:color="auto" w:fill="auto"/>
            <w:noWrap w:val="0"/>
            <w:vAlign w:val="center"/>
          </w:tcPr>
          <w:p w14:paraId="77FAC28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2.488</w:t>
            </w:r>
          </w:p>
        </w:tc>
        <w:tc>
          <w:tcPr>
            <w:tcW w:w="1458" w:type="dxa"/>
            <w:tcBorders>
              <w:tl2br w:val="nil"/>
              <w:tr2bl w:val="nil"/>
            </w:tcBorders>
            <w:shd w:val="clear" w:color="auto" w:fill="auto"/>
            <w:noWrap w:val="0"/>
            <w:vAlign w:val="center"/>
          </w:tcPr>
          <w:p w14:paraId="11FDCCA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0.782</w:t>
            </w:r>
          </w:p>
        </w:tc>
        <w:tc>
          <w:tcPr>
            <w:tcW w:w="1448" w:type="dxa"/>
            <w:tcBorders>
              <w:tl2br w:val="nil"/>
              <w:tr2bl w:val="nil"/>
            </w:tcBorders>
            <w:shd w:val="clear" w:color="auto" w:fill="auto"/>
            <w:noWrap w:val="0"/>
            <w:vAlign w:val="center"/>
          </w:tcPr>
          <w:p w14:paraId="3630B50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3.208</w:t>
            </w:r>
          </w:p>
        </w:tc>
      </w:tr>
      <w:tr w14:paraId="3F6FF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950872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-9</w:t>
            </w:r>
          </w:p>
        </w:tc>
        <w:tc>
          <w:tcPr>
            <w:tcW w:w="1300" w:type="dxa"/>
            <w:tcBorders>
              <w:tl2br w:val="nil"/>
              <w:tr2bl w:val="nil"/>
            </w:tcBorders>
            <w:shd w:val="clear" w:color="auto" w:fill="auto"/>
            <w:noWrap w:val="0"/>
            <w:vAlign w:val="center"/>
          </w:tcPr>
          <w:p w14:paraId="78F38FD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0.979</w:t>
            </w:r>
          </w:p>
        </w:tc>
        <w:tc>
          <w:tcPr>
            <w:tcW w:w="1266" w:type="dxa"/>
            <w:tcBorders>
              <w:tl2br w:val="nil"/>
              <w:tr2bl w:val="nil"/>
            </w:tcBorders>
            <w:shd w:val="clear" w:color="auto" w:fill="auto"/>
            <w:noWrap w:val="0"/>
            <w:vAlign w:val="center"/>
          </w:tcPr>
          <w:p w14:paraId="3927DE4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3.135</w:t>
            </w:r>
          </w:p>
        </w:tc>
        <w:tc>
          <w:tcPr>
            <w:tcW w:w="1300" w:type="dxa"/>
            <w:tcBorders>
              <w:tl2br w:val="nil"/>
              <w:tr2bl w:val="nil"/>
            </w:tcBorders>
            <w:shd w:val="clear" w:color="auto" w:fill="auto"/>
            <w:noWrap w:val="0"/>
            <w:vAlign w:val="center"/>
          </w:tcPr>
          <w:p w14:paraId="7883415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0.806</w:t>
            </w:r>
          </w:p>
        </w:tc>
        <w:tc>
          <w:tcPr>
            <w:tcW w:w="1267" w:type="dxa"/>
            <w:tcBorders>
              <w:tl2br w:val="nil"/>
              <w:tr2bl w:val="nil"/>
            </w:tcBorders>
            <w:shd w:val="clear" w:color="auto" w:fill="auto"/>
            <w:noWrap w:val="0"/>
            <w:vAlign w:val="center"/>
          </w:tcPr>
          <w:p w14:paraId="672E279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2.645</w:t>
            </w:r>
          </w:p>
        </w:tc>
        <w:tc>
          <w:tcPr>
            <w:tcW w:w="1458" w:type="dxa"/>
            <w:tcBorders>
              <w:tl2br w:val="nil"/>
              <w:tr2bl w:val="nil"/>
            </w:tcBorders>
            <w:shd w:val="clear" w:color="auto" w:fill="auto"/>
            <w:noWrap w:val="0"/>
            <w:vAlign w:val="center"/>
          </w:tcPr>
          <w:p w14:paraId="30FD718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0.909</w:t>
            </w:r>
          </w:p>
        </w:tc>
        <w:tc>
          <w:tcPr>
            <w:tcW w:w="1448" w:type="dxa"/>
            <w:tcBorders>
              <w:tl2br w:val="nil"/>
              <w:tr2bl w:val="nil"/>
            </w:tcBorders>
            <w:shd w:val="clear" w:color="auto" w:fill="auto"/>
            <w:noWrap w:val="0"/>
            <w:vAlign w:val="center"/>
          </w:tcPr>
          <w:p w14:paraId="3F5C3D7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3.366</w:t>
            </w:r>
          </w:p>
        </w:tc>
      </w:tr>
      <w:tr w14:paraId="68FC1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FDF5B6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-8</w:t>
            </w:r>
          </w:p>
        </w:tc>
        <w:tc>
          <w:tcPr>
            <w:tcW w:w="1300" w:type="dxa"/>
            <w:tcBorders>
              <w:tl2br w:val="nil"/>
              <w:tr2bl w:val="nil"/>
            </w:tcBorders>
            <w:shd w:val="clear" w:color="auto" w:fill="auto"/>
            <w:noWrap w:val="0"/>
            <w:vAlign w:val="center"/>
          </w:tcPr>
          <w:p w14:paraId="184365A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1.033</w:t>
            </w:r>
          </w:p>
        </w:tc>
        <w:tc>
          <w:tcPr>
            <w:tcW w:w="1266" w:type="dxa"/>
            <w:tcBorders>
              <w:tl2br w:val="nil"/>
              <w:tr2bl w:val="nil"/>
            </w:tcBorders>
            <w:shd w:val="clear" w:color="auto" w:fill="auto"/>
            <w:noWrap w:val="0"/>
            <w:vAlign w:val="center"/>
          </w:tcPr>
          <w:p w14:paraId="268DB43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3.437</w:t>
            </w:r>
          </w:p>
        </w:tc>
        <w:tc>
          <w:tcPr>
            <w:tcW w:w="1300" w:type="dxa"/>
            <w:tcBorders>
              <w:tl2br w:val="nil"/>
              <w:tr2bl w:val="nil"/>
            </w:tcBorders>
            <w:shd w:val="clear" w:color="auto" w:fill="auto"/>
            <w:noWrap w:val="0"/>
            <w:vAlign w:val="center"/>
          </w:tcPr>
          <w:p w14:paraId="1AD8012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0.900</w:t>
            </w:r>
          </w:p>
        </w:tc>
        <w:tc>
          <w:tcPr>
            <w:tcW w:w="1267" w:type="dxa"/>
            <w:tcBorders>
              <w:tl2br w:val="nil"/>
              <w:tr2bl w:val="nil"/>
            </w:tcBorders>
            <w:shd w:val="clear" w:color="auto" w:fill="auto"/>
            <w:noWrap w:val="0"/>
            <w:vAlign w:val="center"/>
          </w:tcPr>
          <w:p w14:paraId="4AB3557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2.782</w:t>
            </w:r>
          </w:p>
        </w:tc>
        <w:tc>
          <w:tcPr>
            <w:tcW w:w="1458" w:type="dxa"/>
            <w:tcBorders>
              <w:tl2br w:val="nil"/>
              <w:tr2bl w:val="nil"/>
            </w:tcBorders>
            <w:shd w:val="clear" w:color="auto" w:fill="auto"/>
            <w:noWrap w:val="0"/>
            <w:vAlign w:val="center"/>
          </w:tcPr>
          <w:p w14:paraId="6043C70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1.033</w:t>
            </w:r>
          </w:p>
        </w:tc>
        <w:tc>
          <w:tcPr>
            <w:tcW w:w="1448" w:type="dxa"/>
            <w:tcBorders>
              <w:tl2br w:val="nil"/>
              <w:tr2bl w:val="nil"/>
            </w:tcBorders>
            <w:shd w:val="clear" w:color="auto" w:fill="auto"/>
            <w:noWrap w:val="0"/>
            <w:vAlign w:val="center"/>
          </w:tcPr>
          <w:p w14:paraId="3C87231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3.493</w:t>
            </w:r>
          </w:p>
        </w:tc>
      </w:tr>
      <w:tr w14:paraId="3AF00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CDD10F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-7</w:t>
            </w:r>
          </w:p>
        </w:tc>
        <w:tc>
          <w:tcPr>
            <w:tcW w:w="1300" w:type="dxa"/>
            <w:tcBorders>
              <w:tl2br w:val="nil"/>
              <w:tr2bl w:val="nil"/>
            </w:tcBorders>
            <w:shd w:val="clear" w:color="auto" w:fill="auto"/>
            <w:noWrap w:val="0"/>
            <w:vAlign w:val="center"/>
          </w:tcPr>
          <w:p w14:paraId="7B40BC4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bCs/>
                <w:color w:val="auto"/>
                <w:highlight w:val="none"/>
                <w:vertAlign w:val="baseline"/>
                <w:lang w:eastAsia="zh-CN"/>
              </w:rPr>
              <w:t>1.060</w:t>
            </w:r>
          </w:p>
        </w:tc>
        <w:tc>
          <w:tcPr>
            <w:tcW w:w="1266" w:type="dxa"/>
            <w:tcBorders>
              <w:tl2br w:val="nil"/>
              <w:tr2bl w:val="nil"/>
            </w:tcBorders>
            <w:shd w:val="clear" w:color="auto" w:fill="auto"/>
            <w:noWrap w:val="0"/>
            <w:vAlign w:val="center"/>
          </w:tcPr>
          <w:p w14:paraId="3498FC0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3.738</w:t>
            </w:r>
          </w:p>
        </w:tc>
        <w:tc>
          <w:tcPr>
            <w:tcW w:w="1300" w:type="dxa"/>
            <w:tcBorders>
              <w:tl2br w:val="nil"/>
              <w:tr2bl w:val="nil"/>
            </w:tcBorders>
            <w:shd w:val="clear" w:color="auto" w:fill="auto"/>
            <w:noWrap w:val="0"/>
            <w:vAlign w:val="center"/>
          </w:tcPr>
          <w:p w14:paraId="5AB3852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0.978</w:t>
            </w:r>
          </w:p>
        </w:tc>
        <w:tc>
          <w:tcPr>
            <w:tcW w:w="1267" w:type="dxa"/>
            <w:tcBorders>
              <w:tl2br w:val="nil"/>
              <w:tr2bl w:val="nil"/>
            </w:tcBorders>
            <w:shd w:val="clear" w:color="auto" w:fill="auto"/>
            <w:noWrap w:val="0"/>
            <w:vAlign w:val="center"/>
          </w:tcPr>
          <w:p w14:paraId="1F68767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2.888</w:t>
            </w:r>
          </w:p>
        </w:tc>
        <w:tc>
          <w:tcPr>
            <w:tcW w:w="1458" w:type="dxa"/>
            <w:tcBorders>
              <w:tl2br w:val="nil"/>
              <w:tr2bl w:val="nil"/>
            </w:tcBorders>
            <w:shd w:val="clear" w:color="auto" w:fill="auto"/>
            <w:noWrap w:val="0"/>
            <w:vAlign w:val="center"/>
          </w:tcPr>
          <w:p w14:paraId="6D4EB21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1.146</w:t>
            </w:r>
          </w:p>
        </w:tc>
        <w:tc>
          <w:tcPr>
            <w:tcW w:w="1448" w:type="dxa"/>
            <w:tcBorders>
              <w:tl2br w:val="nil"/>
              <w:tr2bl w:val="nil"/>
            </w:tcBorders>
            <w:shd w:val="clear" w:color="auto" w:fill="auto"/>
            <w:noWrap w:val="0"/>
            <w:vAlign w:val="center"/>
          </w:tcPr>
          <w:p w14:paraId="07C0271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3.578</w:t>
            </w:r>
          </w:p>
        </w:tc>
      </w:tr>
      <w:tr w14:paraId="1C154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147B61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-6</w:t>
            </w:r>
          </w:p>
        </w:tc>
        <w:tc>
          <w:tcPr>
            <w:tcW w:w="1300" w:type="dxa"/>
            <w:tcBorders>
              <w:tl2br w:val="nil"/>
              <w:tr2bl w:val="nil"/>
            </w:tcBorders>
            <w:shd w:val="clear" w:color="auto" w:fill="auto"/>
            <w:noWrap w:val="0"/>
            <w:vAlign w:val="center"/>
          </w:tcPr>
          <w:p w14:paraId="046334E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1.052</w:t>
            </w:r>
          </w:p>
        </w:tc>
        <w:tc>
          <w:tcPr>
            <w:tcW w:w="1266" w:type="dxa"/>
            <w:tcBorders>
              <w:tl2br w:val="nil"/>
              <w:tr2bl w:val="nil"/>
            </w:tcBorders>
            <w:shd w:val="clear" w:color="auto" w:fill="auto"/>
            <w:noWrap w:val="0"/>
            <w:vAlign w:val="center"/>
          </w:tcPr>
          <w:p w14:paraId="0B8A7BA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4.023</w:t>
            </w:r>
          </w:p>
        </w:tc>
        <w:tc>
          <w:tcPr>
            <w:tcW w:w="1300" w:type="dxa"/>
            <w:tcBorders>
              <w:tl2br w:val="nil"/>
              <w:tr2bl w:val="nil"/>
            </w:tcBorders>
            <w:shd w:val="clear" w:color="auto" w:fill="auto"/>
            <w:noWrap w:val="0"/>
            <w:vAlign w:val="center"/>
          </w:tcPr>
          <w:p w14:paraId="54D2661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1.029</w:t>
            </w:r>
          </w:p>
        </w:tc>
        <w:tc>
          <w:tcPr>
            <w:tcW w:w="1267" w:type="dxa"/>
            <w:tcBorders>
              <w:tl2br w:val="nil"/>
              <w:tr2bl w:val="nil"/>
            </w:tcBorders>
            <w:shd w:val="clear" w:color="auto" w:fill="auto"/>
            <w:noWrap w:val="0"/>
            <w:vAlign w:val="center"/>
          </w:tcPr>
          <w:p w14:paraId="03692B9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2.953</w:t>
            </w:r>
          </w:p>
        </w:tc>
        <w:tc>
          <w:tcPr>
            <w:tcW w:w="1458" w:type="dxa"/>
            <w:tcBorders>
              <w:tl2br w:val="nil"/>
              <w:tr2bl w:val="nil"/>
            </w:tcBorders>
            <w:shd w:val="clear" w:color="auto" w:fill="auto"/>
            <w:noWrap w:val="0"/>
            <w:vAlign w:val="center"/>
          </w:tcPr>
          <w:p w14:paraId="1F64579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1.241</w:t>
            </w:r>
          </w:p>
        </w:tc>
        <w:tc>
          <w:tcPr>
            <w:tcW w:w="1448" w:type="dxa"/>
            <w:tcBorders>
              <w:tl2br w:val="nil"/>
              <w:tr2bl w:val="nil"/>
            </w:tcBorders>
            <w:shd w:val="clear" w:color="auto" w:fill="auto"/>
            <w:noWrap w:val="0"/>
            <w:vAlign w:val="center"/>
          </w:tcPr>
          <w:p w14:paraId="41DDFB3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3.613</w:t>
            </w:r>
          </w:p>
        </w:tc>
      </w:tr>
      <w:tr w14:paraId="2BDCB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08E5365">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w:t>
            </w:r>
          </w:p>
        </w:tc>
        <w:tc>
          <w:tcPr>
            <w:tcW w:w="1300" w:type="dxa"/>
            <w:tcBorders>
              <w:tl2br w:val="nil"/>
              <w:tr2bl w:val="nil"/>
            </w:tcBorders>
            <w:shd w:val="clear" w:color="auto" w:fill="auto"/>
            <w:noWrap w:val="0"/>
            <w:vAlign w:val="center"/>
          </w:tcPr>
          <w:p w14:paraId="7DF3162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1.003</w:t>
            </w:r>
          </w:p>
        </w:tc>
        <w:tc>
          <w:tcPr>
            <w:tcW w:w="1266" w:type="dxa"/>
            <w:tcBorders>
              <w:tl2br w:val="nil"/>
              <w:tr2bl w:val="nil"/>
            </w:tcBorders>
            <w:shd w:val="clear" w:color="auto" w:fill="auto"/>
            <w:noWrap w:val="0"/>
            <w:vAlign w:val="center"/>
          </w:tcPr>
          <w:p w14:paraId="7E71E37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4.277</w:t>
            </w:r>
          </w:p>
        </w:tc>
        <w:tc>
          <w:tcPr>
            <w:tcW w:w="1300" w:type="dxa"/>
            <w:tcBorders>
              <w:tl2br w:val="nil"/>
              <w:tr2bl w:val="nil"/>
            </w:tcBorders>
            <w:shd w:val="clear" w:color="auto" w:fill="auto"/>
            <w:noWrap w:val="0"/>
            <w:vAlign w:val="center"/>
          </w:tcPr>
          <w:p w14:paraId="1E39A57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1.048</w:t>
            </w:r>
          </w:p>
        </w:tc>
        <w:tc>
          <w:tcPr>
            <w:tcW w:w="1267" w:type="dxa"/>
            <w:tcBorders>
              <w:tl2br w:val="nil"/>
              <w:tr2bl w:val="nil"/>
            </w:tcBorders>
            <w:shd w:val="clear" w:color="auto" w:fill="auto"/>
            <w:noWrap w:val="0"/>
            <w:vAlign w:val="center"/>
          </w:tcPr>
          <w:p w14:paraId="034CE1F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2.968</w:t>
            </w:r>
          </w:p>
        </w:tc>
        <w:tc>
          <w:tcPr>
            <w:tcW w:w="1458" w:type="dxa"/>
            <w:tcBorders>
              <w:tl2br w:val="nil"/>
              <w:tr2bl w:val="nil"/>
            </w:tcBorders>
            <w:shd w:val="clear" w:color="auto" w:fill="auto"/>
            <w:noWrap w:val="0"/>
            <w:vAlign w:val="center"/>
          </w:tcPr>
          <w:p w14:paraId="3006FFE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1.311</w:t>
            </w:r>
          </w:p>
        </w:tc>
        <w:tc>
          <w:tcPr>
            <w:tcW w:w="1448" w:type="dxa"/>
            <w:tcBorders>
              <w:tl2br w:val="nil"/>
              <w:tr2bl w:val="nil"/>
            </w:tcBorders>
            <w:shd w:val="clear" w:color="auto" w:fill="auto"/>
            <w:noWrap w:val="0"/>
            <w:vAlign w:val="center"/>
          </w:tcPr>
          <w:p w14:paraId="3FD156D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3.597</w:t>
            </w:r>
          </w:p>
        </w:tc>
      </w:tr>
      <w:tr w14:paraId="6C7E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245126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w:t>
            </w:r>
          </w:p>
        </w:tc>
        <w:tc>
          <w:tcPr>
            <w:tcW w:w="1300" w:type="dxa"/>
            <w:tcBorders>
              <w:tl2br w:val="nil"/>
              <w:tr2bl w:val="nil"/>
            </w:tcBorders>
            <w:shd w:val="clear" w:color="auto" w:fill="auto"/>
            <w:noWrap w:val="0"/>
            <w:vAlign w:val="center"/>
          </w:tcPr>
          <w:p w14:paraId="260FB95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0.913</w:t>
            </w:r>
          </w:p>
        </w:tc>
        <w:tc>
          <w:tcPr>
            <w:tcW w:w="1266" w:type="dxa"/>
            <w:tcBorders>
              <w:tl2br w:val="nil"/>
              <w:tr2bl w:val="nil"/>
            </w:tcBorders>
            <w:shd w:val="clear" w:color="auto" w:fill="auto"/>
            <w:noWrap w:val="0"/>
            <w:vAlign w:val="center"/>
          </w:tcPr>
          <w:p w14:paraId="4BC2A2C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4.488</w:t>
            </w:r>
          </w:p>
        </w:tc>
        <w:tc>
          <w:tcPr>
            <w:tcW w:w="1300" w:type="dxa"/>
            <w:tcBorders>
              <w:tl2br w:val="nil"/>
              <w:tr2bl w:val="nil"/>
            </w:tcBorders>
            <w:shd w:val="clear" w:color="auto" w:fill="auto"/>
            <w:noWrap w:val="0"/>
            <w:vAlign w:val="center"/>
          </w:tcPr>
          <w:p w14:paraId="08DF62F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1.031</w:t>
            </w:r>
          </w:p>
        </w:tc>
        <w:tc>
          <w:tcPr>
            <w:tcW w:w="1267" w:type="dxa"/>
            <w:tcBorders>
              <w:tl2br w:val="nil"/>
              <w:tr2bl w:val="nil"/>
            </w:tcBorders>
            <w:shd w:val="clear" w:color="auto" w:fill="auto"/>
            <w:noWrap w:val="0"/>
            <w:vAlign w:val="center"/>
          </w:tcPr>
          <w:p w14:paraId="35BD605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2.932</w:t>
            </w:r>
          </w:p>
        </w:tc>
        <w:tc>
          <w:tcPr>
            <w:tcW w:w="1458" w:type="dxa"/>
            <w:tcBorders>
              <w:tl2br w:val="nil"/>
              <w:tr2bl w:val="nil"/>
            </w:tcBorders>
            <w:shd w:val="clear" w:color="auto" w:fill="auto"/>
            <w:noWrap w:val="0"/>
            <w:vAlign w:val="center"/>
          </w:tcPr>
          <w:p w14:paraId="390D450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1.355</w:t>
            </w:r>
          </w:p>
        </w:tc>
        <w:tc>
          <w:tcPr>
            <w:tcW w:w="1448" w:type="dxa"/>
            <w:tcBorders>
              <w:tl2br w:val="nil"/>
              <w:tr2bl w:val="nil"/>
            </w:tcBorders>
            <w:shd w:val="clear" w:color="auto" w:fill="auto"/>
            <w:noWrap w:val="0"/>
            <w:vAlign w:val="center"/>
          </w:tcPr>
          <w:p w14:paraId="1DAD4D8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3.538</w:t>
            </w:r>
          </w:p>
        </w:tc>
      </w:tr>
      <w:tr w14:paraId="12DFA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0ABDEF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w:t>
            </w:r>
          </w:p>
        </w:tc>
        <w:tc>
          <w:tcPr>
            <w:tcW w:w="1300" w:type="dxa"/>
            <w:tcBorders>
              <w:tl2br w:val="nil"/>
              <w:tr2bl w:val="nil"/>
            </w:tcBorders>
            <w:shd w:val="clear" w:color="auto" w:fill="auto"/>
            <w:noWrap w:val="0"/>
            <w:vAlign w:val="center"/>
          </w:tcPr>
          <w:p w14:paraId="29C9614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0.794</w:t>
            </w:r>
          </w:p>
        </w:tc>
        <w:tc>
          <w:tcPr>
            <w:tcW w:w="1266" w:type="dxa"/>
            <w:tcBorders>
              <w:tl2br w:val="nil"/>
              <w:tr2bl w:val="nil"/>
            </w:tcBorders>
            <w:shd w:val="clear" w:color="auto" w:fill="auto"/>
            <w:noWrap w:val="0"/>
            <w:vAlign w:val="center"/>
          </w:tcPr>
          <w:p w14:paraId="417A6F4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4.646</w:t>
            </w:r>
          </w:p>
        </w:tc>
        <w:tc>
          <w:tcPr>
            <w:tcW w:w="1300" w:type="dxa"/>
            <w:tcBorders>
              <w:tl2br w:val="nil"/>
              <w:tr2bl w:val="nil"/>
            </w:tcBorders>
            <w:shd w:val="clear" w:color="auto" w:fill="auto"/>
            <w:noWrap w:val="0"/>
            <w:vAlign w:val="center"/>
          </w:tcPr>
          <w:p w14:paraId="4526AF7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0.981</w:t>
            </w:r>
          </w:p>
        </w:tc>
        <w:tc>
          <w:tcPr>
            <w:tcW w:w="1267" w:type="dxa"/>
            <w:tcBorders>
              <w:tl2br w:val="nil"/>
              <w:tr2bl w:val="nil"/>
            </w:tcBorders>
            <w:shd w:val="clear" w:color="auto" w:fill="auto"/>
            <w:noWrap w:val="0"/>
            <w:vAlign w:val="center"/>
          </w:tcPr>
          <w:p w14:paraId="2837768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2.849</w:t>
            </w:r>
          </w:p>
        </w:tc>
        <w:tc>
          <w:tcPr>
            <w:tcW w:w="1458" w:type="dxa"/>
            <w:tcBorders>
              <w:tl2br w:val="nil"/>
              <w:tr2bl w:val="nil"/>
            </w:tcBorders>
            <w:shd w:val="clear" w:color="auto" w:fill="auto"/>
            <w:noWrap w:val="0"/>
            <w:vAlign w:val="center"/>
          </w:tcPr>
          <w:p w14:paraId="29EDF88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1.376</w:t>
            </w:r>
          </w:p>
        </w:tc>
        <w:tc>
          <w:tcPr>
            <w:tcW w:w="1448" w:type="dxa"/>
            <w:tcBorders>
              <w:tl2br w:val="nil"/>
              <w:tr2bl w:val="nil"/>
            </w:tcBorders>
            <w:shd w:val="clear" w:color="auto" w:fill="auto"/>
            <w:noWrap w:val="0"/>
            <w:vAlign w:val="center"/>
          </w:tcPr>
          <w:p w14:paraId="4A2324B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3.453</w:t>
            </w:r>
          </w:p>
        </w:tc>
      </w:tr>
      <w:tr w14:paraId="247E8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A2335E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w:t>
            </w:r>
          </w:p>
        </w:tc>
        <w:tc>
          <w:tcPr>
            <w:tcW w:w="1300" w:type="dxa"/>
            <w:tcBorders>
              <w:tl2br w:val="nil"/>
              <w:tr2bl w:val="nil"/>
            </w:tcBorders>
            <w:shd w:val="clear" w:color="auto" w:fill="auto"/>
            <w:noWrap w:val="0"/>
            <w:vAlign w:val="center"/>
          </w:tcPr>
          <w:p w14:paraId="4A2C4EA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0.666</w:t>
            </w:r>
          </w:p>
        </w:tc>
        <w:tc>
          <w:tcPr>
            <w:tcW w:w="1266" w:type="dxa"/>
            <w:tcBorders>
              <w:tl2br w:val="nil"/>
              <w:tr2bl w:val="nil"/>
            </w:tcBorders>
            <w:shd w:val="clear" w:color="auto" w:fill="auto"/>
            <w:noWrap w:val="0"/>
            <w:vAlign w:val="center"/>
          </w:tcPr>
          <w:p w14:paraId="07D7B39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4.749</w:t>
            </w:r>
          </w:p>
        </w:tc>
        <w:tc>
          <w:tcPr>
            <w:tcW w:w="1300" w:type="dxa"/>
            <w:tcBorders>
              <w:tl2br w:val="nil"/>
              <w:tr2bl w:val="nil"/>
            </w:tcBorders>
            <w:shd w:val="clear" w:color="auto" w:fill="auto"/>
            <w:noWrap w:val="0"/>
            <w:vAlign w:val="center"/>
          </w:tcPr>
          <w:p w14:paraId="3E765CF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0.906</w:t>
            </w:r>
          </w:p>
        </w:tc>
        <w:tc>
          <w:tcPr>
            <w:tcW w:w="1267" w:type="dxa"/>
            <w:tcBorders>
              <w:tl2br w:val="nil"/>
              <w:tr2bl w:val="nil"/>
            </w:tcBorders>
            <w:shd w:val="clear" w:color="auto" w:fill="auto"/>
            <w:noWrap w:val="0"/>
            <w:vAlign w:val="center"/>
          </w:tcPr>
          <w:p w14:paraId="62FE110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2.728</w:t>
            </w:r>
          </w:p>
        </w:tc>
        <w:tc>
          <w:tcPr>
            <w:tcW w:w="1458" w:type="dxa"/>
            <w:tcBorders>
              <w:tl2br w:val="nil"/>
              <w:tr2bl w:val="nil"/>
            </w:tcBorders>
            <w:shd w:val="clear" w:color="auto" w:fill="auto"/>
            <w:noWrap w:val="0"/>
            <w:vAlign w:val="center"/>
          </w:tcPr>
          <w:p w14:paraId="3BC5475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1.382</w:t>
            </w:r>
          </w:p>
        </w:tc>
        <w:tc>
          <w:tcPr>
            <w:tcW w:w="1448" w:type="dxa"/>
            <w:tcBorders>
              <w:tl2br w:val="nil"/>
              <w:tr2bl w:val="nil"/>
            </w:tcBorders>
            <w:shd w:val="clear" w:color="auto" w:fill="auto"/>
            <w:noWrap w:val="0"/>
            <w:vAlign w:val="center"/>
          </w:tcPr>
          <w:p w14:paraId="014F880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3.365</w:t>
            </w:r>
          </w:p>
        </w:tc>
      </w:tr>
      <w:tr w14:paraId="1EB8F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476B53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300" w:type="dxa"/>
            <w:tcBorders>
              <w:tl2br w:val="nil"/>
              <w:tr2bl w:val="nil"/>
            </w:tcBorders>
            <w:shd w:val="clear" w:color="auto" w:fill="auto"/>
            <w:noWrap w:val="0"/>
            <w:vAlign w:val="center"/>
          </w:tcPr>
          <w:p w14:paraId="06C6275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0.568</w:t>
            </w:r>
          </w:p>
        </w:tc>
        <w:tc>
          <w:tcPr>
            <w:tcW w:w="1266" w:type="dxa"/>
            <w:tcBorders>
              <w:tl2br w:val="nil"/>
              <w:tr2bl w:val="nil"/>
            </w:tcBorders>
            <w:shd w:val="clear" w:color="auto" w:fill="auto"/>
            <w:noWrap w:val="0"/>
            <w:vAlign w:val="center"/>
          </w:tcPr>
          <w:p w14:paraId="0D20335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bCs/>
                <w:color w:val="auto"/>
                <w:highlight w:val="none"/>
                <w:vertAlign w:val="baseline"/>
                <w:lang w:eastAsia="zh-CN"/>
              </w:rPr>
              <w:t>4.796</w:t>
            </w:r>
          </w:p>
        </w:tc>
        <w:tc>
          <w:tcPr>
            <w:tcW w:w="1300" w:type="dxa"/>
            <w:tcBorders>
              <w:tl2br w:val="nil"/>
              <w:tr2bl w:val="nil"/>
            </w:tcBorders>
            <w:shd w:val="clear" w:color="auto" w:fill="auto"/>
            <w:noWrap w:val="0"/>
            <w:vAlign w:val="center"/>
          </w:tcPr>
          <w:p w14:paraId="5E7BBB7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0.813</w:t>
            </w:r>
          </w:p>
        </w:tc>
        <w:tc>
          <w:tcPr>
            <w:tcW w:w="1267" w:type="dxa"/>
            <w:tcBorders>
              <w:tl2br w:val="nil"/>
              <w:tr2bl w:val="nil"/>
            </w:tcBorders>
            <w:shd w:val="clear" w:color="auto" w:fill="auto"/>
            <w:noWrap w:val="0"/>
            <w:vAlign w:val="center"/>
          </w:tcPr>
          <w:p w14:paraId="70A8F70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2.580</w:t>
            </w:r>
          </w:p>
        </w:tc>
        <w:tc>
          <w:tcPr>
            <w:tcW w:w="1458" w:type="dxa"/>
            <w:tcBorders>
              <w:tl2br w:val="nil"/>
              <w:tr2bl w:val="nil"/>
            </w:tcBorders>
            <w:shd w:val="clear" w:color="auto" w:fill="auto"/>
            <w:noWrap w:val="0"/>
            <w:vAlign w:val="center"/>
          </w:tcPr>
          <w:p w14:paraId="35E6FDE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1.381</w:t>
            </w:r>
          </w:p>
        </w:tc>
        <w:tc>
          <w:tcPr>
            <w:tcW w:w="1448" w:type="dxa"/>
            <w:tcBorders>
              <w:tl2br w:val="nil"/>
              <w:tr2bl w:val="nil"/>
            </w:tcBorders>
            <w:shd w:val="clear" w:color="auto" w:fill="auto"/>
            <w:noWrap w:val="0"/>
            <w:vAlign w:val="center"/>
          </w:tcPr>
          <w:p w14:paraId="5B25BC1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3.301</w:t>
            </w:r>
          </w:p>
        </w:tc>
      </w:tr>
      <w:tr w14:paraId="05F23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140835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0</w:t>
            </w:r>
          </w:p>
        </w:tc>
        <w:tc>
          <w:tcPr>
            <w:tcW w:w="1300" w:type="dxa"/>
            <w:tcBorders>
              <w:tl2br w:val="nil"/>
              <w:tr2bl w:val="nil"/>
            </w:tcBorders>
            <w:shd w:val="clear" w:color="auto" w:fill="auto"/>
            <w:noWrap w:val="0"/>
            <w:vAlign w:val="center"/>
          </w:tcPr>
          <w:p w14:paraId="37348F9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0.544</w:t>
            </w:r>
          </w:p>
        </w:tc>
        <w:tc>
          <w:tcPr>
            <w:tcW w:w="1266" w:type="dxa"/>
            <w:tcBorders>
              <w:tl2br w:val="nil"/>
              <w:tr2bl w:val="nil"/>
            </w:tcBorders>
            <w:shd w:val="clear" w:color="auto" w:fill="auto"/>
            <w:noWrap w:val="0"/>
            <w:vAlign w:val="center"/>
          </w:tcPr>
          <w:p w14:paraId="39035C3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4.789</w:t>
            </w:r>
          </w:p>
        </w:tc>
        <w:tc>
          <w:tcPr>
            <w:tcW w:w="1300" w:type="dxa"/>
            <w:tcBorders>
              <w:tl2br w:val="nil"/>
              <w:tr2bl w:val="nil"/>
            </w:tcBorders>
            <w:shd w:val="clear" w:color="auto" w:fill="auto"/>
            <w:noWrap w:val="0"/>
            <w:vAlign w:val="center"/>
          </w:tcPr>
          <w:p w14:paraId="3732D1D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0.713</w:t>
            </w:r>
          </w:p>
        </w:tc>
        <w:tc>
          <w:tcPr>
            <w:tcW w:w="1267" w:type="dxa"/>
            <w:tcBorders>
              <w:tl2br w:val="nil"/>
              <w:tr2bl w:val="nil"/>
            </w:tcBorders>
            <w:shd w:val="clear" w:color="auto" w:fill="auto"/>
            <w:noWrap w:val="0"/>
            <w:vAlign w:val="center"/>
          </w:tcPr>
          <w:p w14:paraId="6192E66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2.416</w:t>
            </w:r>
          </w:p>
        </w:tc>
        <w:tc>
          <w:tcPr>
            <w:tcW w:w="1458" w:type="dxa"/>
            <w:tcBorders>
              <w:tl2br w:val="nil"/>
              <w:tr2bl w:val="nil"/>
            </w:tcBorders>
            <w:shd w:val="clear" w:color="auto" w:fill="auto"/>
            <w:noWrap w:val="0"/>
            <w:vAlign w:val="center"/>
          </w:tcPr>
          <w:p w14:paraId="62212A7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1.380</w:t>
            </w:r>
          </w:p>
        </w:tc>
        <w:tc>
          <w:tcPr>
            <w:tcW w:w="1448" w:type="dxa"/>
            <w:tcBorders>
              <w:tl2br w:val="nil"/>
              <w:tr2bl w:val="nil"/>
            </w:tcBorders>
            <w:shd w:val="clear" w:color="auto" w:fill="auto"/>
            <w:noWrap w:val="0"/>
            <w:vAlign w:val="center"/>
          </w:tcPr>
          <w:p w14:paraId="5D2BC7D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3.277</w:t>
            </w:r>
          </w:p>
        </w:tc>
      </w:tr>
      <w:tr w14:paraId="569B6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8478B6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w:t>
            </w:r>
          </w:p>
        </w:tc>
        <w:tc>
          <w:tcPr>
            <w:tcW w:w="1300" w:type="dxa"/>
            <w:tcBorders>
              <w:tl2br w:val="nil"/>
              <w:tr2bl w:val="nil"/>
            </w:tcBorders>
            <w:shd w:val="clear" w:color="auto" w:fill="auto"/>
            <w:noWrap w:val="0"/>
            <w:vAlign w:val="center"/>
          </w:tcPr>
          <w:p w14:paraId="21152EF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0.607</w:t>
            </w:r>
          </w:p>
        </w:tc>
        <w:tc>
          <w:tcPr>
            <w:tcW w:w="1266" w:type="dxa"/>
            <w:tcBorders>
              <w:tl2br w:val="nil"/>
              <w:tr2bl w:val="nil"/>
            </w:tcBorders>
            <w:shd w:val="clear" w:color="auto" w:fill="auto"/>
            <w:noWrap w:val="0"/>
            <w:vAlign w:val="center"/>
          </w:tcPr>
          <w:p w14:paraId="17E84F2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4.730</w:t>
            </w:r>
          </w:p>
        </w:tc>
        <w:tc>
          <w:tcPr>
            <w:tcW w:w="1300" w:type="dxa"/>
            <w:tcBorders>
              <w:tl2br w:val="nil"/>
              <w:tr2bl w:val="nil"/>
            </w:tcBorders>
            <w:shd w:val="clear" w:color="auto" w:fill="auto"/>
            <w:noWrap w:val="0"/>
            <w:vAlign w:val="center"/>
          </w:tcPr>
          <w:p w14:paraId="510B6DC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0.613</w:t>
            </w:r>
          </w:p>
        </w:tc>
        <w:tc>
          <w:tcPr>
            <w:tcW w:w="1267" w:type="dxa"/>
            <w:tcBorders>
              <w:tl2br w:val="nil"/>
              <w:tr2bl w:val="nil"/>
            </w:tcBorders>
            <w:shd w:val="clear" w:color="auto" w:fill="auto"/>
            <w:noWrap w:val="0"/>
            <w:vAlign w:val="center"/>
          </w:tcPr>
          <w:p w14:paraId="2EA0B74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2.247</w:t>
            </w:r>
          </w:p>
        </w:tc>
        <w:tc>
          <w:tcPr>
            <w:tcW w:w="1458" w:type="dxa"/>
            <w:tcBorders>
              <w:tl2br w:val="nil"/>
              <w:tr2bl w:val="nil"/>
            </w:tcBorders>
            <w:shd w:val="clear" w:color="auto" w:fill="auto"/>
            <w:noWrap w:val="0"/>
            <w:vAlign w:val="center"/>
          </w:tcPr>
          <w:p w14:paraId="498B753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1.381</w:t>
            </w:r>
          </w:p>
        </w:tc>
        <w:tc>
          <w:tcPr>
            <w:tcW w:w="1448" w:type="dxa"/>
            <w:tcBorders>
              <w:tl2br w:val="nil"/>
              <w:tr2bl w:val="nil"/>
            </w:tcBorders>
            <w:shd w:val="clear" w:color="auto" w:fill="auto"/>
            <w:noWrap w:val="0"/>
            <w:vAlign w:val="center"/>
          </w:tcPr>
          <w:p w14:paraId="45EE58D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3.301</w:t>
            </w:r>
          </w:p>
        </w:tc>
      </w:tr>
      <w:tr w14:paraId="4A1A4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C4988E1">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w:t>
            </w:r>
          </w:p>
        </w:tc>
        <w:tc>
          <w:tcPr>
            <w:tcW w:w="1300" w:type="dxa"/>
            <w:tcBorders>
              <w:tl2br w:val="nil"/>
              <w:tr2bl w:val="nil"/>
            </w:tcBorders>
            <w:shd w:val="clear" w:color="auto" w:fill="auto"/>
            <w:noWrap w:val="0"/>
            <w:vAlign w:val="center"/>
          </w:tcPr>
          <w:p w14:paraId="15B5A90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0.717</w:t>
            </w:r>
          </w:p>
        </w:tc>
        <w:tc>
          <w:tcPr>
            <w:tcW w:w="1266" w:type="dxa"/>
            <w:tcBorders>
              <w:tl2br w:val="nil"/>
              <w:tr2bl w:val="nil"/>
            </w:tcBorders>
            <w:shd w:val="clear" w:color="auto" w:fill="auto"/>
            <w:noWrap w:val="0"/>
            <w:vAlign w:val="center"/>
          </w:tcPr>
          <w:p w14:paraId="5D578E6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4.618</w:t>
            </w:r>
          </w:p>
        </w:tc>
        <w:tc>
          <w:tcPr>
            <w:tcW w:w="1300" w:type="dxa"/>
            <w:tcBorders>
              <w:tl2br w:val="nil"/>
              <w:tr2bl w:val="nil"/>
            </w:tcBorders>
            <w:shd w:val="clear" w:color="auto" w:fill="auto"/>
            <w:noWrap w:val="0"/>
            <w:vAlign w:val="center"/>
          </w:tcPr>
          <w:p w14:paraId="49843A9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0.519</w:t>
            </w:r>
          </w:p>
        </w:tc>
        <w:tc>
          <w:tcPr>
            <w:tcW w:w="1267" w:type="dxa"/>
            <w:tcBorders>
              <w:tl2br w:val="nil"/>
              <w:tr2bl w:val="nil"/>
            </w:tcBorders>
            <w:shd w:val="clear" w:color="auto" w:fill="auto"/>
            <w:noWrap w:val="0"/>
            <w:vAlign w:val="center"/>
          </w:tcPr>
          <w:p w14:paraId="1B5073B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2.078</w:t>
            </w:r>
          </w:p>
        </w:tc>
        <w:tc>
          <w:tcPr>
            <w:tcW w:w="1458" w:type="dxa"/>
            <w:tcBorders>
              <w:tl2br w:val="nil"/>
              <w:tr2bl w:val="nil"/>
            </w:tcBorders>
            <w:shd w:val="clear" w:color="auto" w:fill="auto"/>
            <w:noWrap w:val="0"/>
            <w:vAlign w:val="center"/>
          </w:tcPr>
          <w:p w14:paraId="289EB37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1.382</w:t>
            </w:r>
          </w:p>
        </w:tc>
        <w:tc>
          <w:tcPr>
            <w:tcW w:w="1448" w:type="dxa"/>
            <w:tcBorders>
              <w:tl2br w:val="nil"/>
              <w:tr2bl w:val="nil"/>
            </w:tcBorders>
            <w:shd w:val="clear" w:color="auto" w:fill="auto"/>
            <w:noWrap w:val="0"/>
            <w:vAlign w:val="center"/>
          </w:tcPr>
          <w:p w14:paraId="1F69B34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3.365</w:t>
            </w:r>
          </w:p>
        </w:tc>
      </w:tr>
      <w:tr w14:paraId="37D17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2D87AD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w:t>
            </w:r>
          </w:p>
        </w:tc>
        <w:tc>
          <w:tcPr>
            <w:tcW w:w="1300" w:type="dxa"/>
            <w:tcBorders>
              <w:tl2br w:val="nil"/>
              <w:tr2bl w:val="nil"/>
            </w:tcBorders>
            <w:shd w:val="clear" w:color="auto" w:fill="auto"/>
            <w:noWrap w:val="0"/>
            <w:vAlign w:val="center"/>
          </w:tcPr>
          <w:p w14:paraId="7242C75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0.831</w:t>
            </w:r>
          </w:p>
        </w:tc>
        <w:tc>
          <w:tcPr>
            <w:tcW w:w="1266" w:type="dxa"/>
            <w:tcBorders>
              <w:tl2br w:val="nil"/>
              <w:tr2bl w:val="nil"/>
            </w:tcBorders>
            <w:shd w:val="clear" w:color="auto" w:fill="auto"/>
            <w:noWrap w:val="0"/>
            <w:vAlign w:val="center"/>
          </w:tcPr>
          <w:p w14:paraId="1073A2A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4.454</w:t>
            </w:r>
          </w:p>
        </w:tc>
        <w:tc>
          <w:tcPr>
            <w:tcW w:w="1300" w:type="dxa"/>
            <w:tcBorders>
              <w:tl2br w:val="nil"/>
              <w:tr2bl w:val="nil"/>
            </w:tcBorders>
            <w:shd w:val="clear" w:color="auto" w:fill="auto"/>
            <w:noWrap w:val="0"/>
            <w:vAlign w:val="center"/>
          </w:tcPr>
          <w:p w14:paraId="4D3A4FB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0.432</w:t>
            </w:r>
          </w:p>
        </w:tc>
        <w:tc>
          <w:tcPr>
            <w:tcW w:w="1267" w:type="dxa"/>
            <w:tcBorders>
              <w:tl2br w:val="nil"/>
              <w:tr2bl w:val="nil"/>
            </w:tcBorders>
            <w:shd w:val="clear" w:color="auto" w:fill="auto"/>
            <w:noWrap w:val="0"/>
            <w:vAlign w:val="center"/>
          </w:tcPr>
          <w:p w14:paraId="1D03BD1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1.916</w:t>
            </w:r>
          </w:p>
        </w:tc>
        <w:tc>
          <w:tcPr>
            <w:tcW w:w="1458" w:type="dxa"/>
            <w:tcBorders>
              <w:tl2br w:val="nil"/>
              <w:tr2bl w:val="nil"/>
            </w:tcBorders>
            <w:shd w:val="clear" w:color="auto" w:fill="auto"/>
            <w:noWrap w:val="0"/>
            <w:vAlign w:val="center"/>
          </w:tcPr>
          <w:p w14:paraId="3A6795A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1.376</w:t>
            </w:r>
          </w:p>
        </w:tc>
        <w:tc>
          <w:tcPr>
            <w:tcW w:w="1448" w:type="dxa"/>
            <w:tcBorders>
              <w:tl2br w:val="nil"/>
              <w:tr2bl w:val="nil"/>
            </w:tcBorders>
            <w:shd w:val="clear" w:color="auto" w:fill="auto"/>
            <w:noWrap w:val="0"/>
            <w:vAlign w:val="center"/>
          </w:tcPr>
          <w:p w14:paraId="5836790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3.453</w:t>
            </w:r>
          </w:p>
        </w:tc>
      </w:tr>
      <w:tr w14:paraId="5BE437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CFE3EBD">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w:t>
            </w:r>
          </w:p>
        </w:tc>
        <w:tc>
          <w:tcPr>
            <w:tcW w:w="1300" w:type="dxa"/>
            <w:tcBorders>
              <w:tl2br w:val="nil"/>
              <w:tr2bl w:val="nil"/>
            </w:tcBorders>
            <w:shd w:val="clear" w:color="auto" w:fill="auto"/>
            <w:noWrap w:val="0"/>
            <w:vAlign w:val="center"/>
          </w:tcPr>
          <w:p w14:paraId="54F1053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0.920</w:t>
            </w:r>
          </w:p>
        </w:tc>
        <w:tc>
          <w:tcPr>
            <w:tcW w:w="1266" w:type="dxa"/>
            <w:tcBorders>
              <w:tl2br w:val="nil"/>
              <w:tr2bl w:val="nil"/>
            </w:tcBorders>
            <w:shd w:val="clear" w:color="auto" w:fill="auto"/>
            <w:noWrap w:val="0"/>
            <w:vAlign w:val="center"/>
          </w:tcPr>
          <w:p w14:paraId="2135D77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4.242</w:t>
            </w:r>
          </w:p>
        </w:tc>
        <w:tc>
          <w:tcPr>
            <w:tcW w:w="1300" w:type="dxa"/>
            <w:tcBorders>
              <w:tl2br w:val="nil"/>
              <w:tr2bl w:val="nil"/>
            </w:tcBorders>
            <w:shd w:val="clear" w:color="auto" w:fill="auto"/>
            <w:noWrap w:val="0"/>
            <w:vAlign w:val="center"/>
          </w:tcPr>
          <w:p w14:paraId="6F33D59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0.356</w:t>
            </w:r>
          </w:p>
        </w:tc>
        <w:tc>
          <w:tcPr>
            <w:tcW w:w="1267" w:type="dxa"/>
            <w:tcBorders>
              <w:tl2br w:val="nil"/>
              <w:tr2bl w:val="nil"/>
            </w:tcBorders>
            <w:shd w:val="clear" w:color="auto" w:fill="auto"/>
            <w:noWrap w:val="0"/>
            <w:vAlign w:val="center"/>
          </w:tcPr>
          <w:p w14:paraId="00F0BD1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1.763</w:t>
            </w:r>
          </w:p>
        </w:tc>
        <w:tc>
          <w:tcPr>
            <w:tcW w:w="1458" w:type="dxa"/>
            <w:tcBorders>
              <w:tl2br w:val="nil"/>
              <w:tr2bl w:val="nil"/>
            </w:tcBorders>
            <w:shd w:val="clear" w:color="auto" w:fill="auto"/>
            <w:noWrap w:val="0"/>
            <w:vAlign w:val="center"/>
          </w:tcPr>
          <w:p w14:paraId="518C19E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1.355</w:t>
            </w:r>
          </w:p>
        </w:tc>
        <w:tc>
          <w:tcPr>
            <w:tcW w:w="1448" w:type="dxa"/>
            <w:tcBorders>
              <w:tl2br w:val="nil"/>
              <w:tr2bl w:val="nil"/>
            </w:tcBorders>
            <w:shd w:val="clear" w:color="auto" w:fill="auto"/>
            <w:noWrap w:val="0"/>
            <w:vAlign w:val="center"/>
          </w:tcPr>
          <w:p w14:paraId="4A0A149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3.538</w:t>
            </w:r>
          </w:p>
        </w:tc>
      </w:tr>
      <w:tr w14:paraId="6770F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992B63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w:t>
            </w:r>
          </w:p>
        </w:tc>
        <w:tc>
          <w:tcPr>
            <w:tcW w:w="1300" w:type="dxa"/>
            <w:tcBorders>
              <w:tl2br w:val="nil"/>
              <w:tr2bl w:val="nil"/>
            </w:tcBorders>
            <w:shd w:val="clear" w:color="auto" w:fill="auto"/>
            <w:noWrap w:val="0"/>
            <w:vAlign w:val="center"/>
          </w:tcPr>
          <w:p w14:paraId="02A4442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0.973</w:t>
            </w:r>
          </w:p>
        </w:tc>
        <w:tc>
          <w:tcPr>
            <w:tcW w:w="1266" w:type="dxa"/>
            <w:tcBorders>
              <w:tl2br w:val="nil"/>
              <w:tr2bl w:val="nil"/>
            </w:tcBorders>
            <w:shd w:val="clear" w:color="auto" w:fill="auto"/>
            <w:noWrap w:val="0"/>
            <w:vAlign w:val="center"/>
          </w:tcPr>
          <w:p w14:paraId="57FE098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3.990</w:t>
            </w:r>
          </w:p>
        </w:tc>
        <w:tc>
          <w:tcPr>
            <w:tcW w:w="1300" w:type="dxa"/>
            <w:tcBorders>
              <w:tl2br w:val="nil"/>
              <w:tr2bl w:val="nil"/>
            </w:tcBorders>
            <w:shd w:val="clear" w:color="auto" w:fill="auto"/>
            <w:noWrap w:val="0"/>
            <w:vAlign w:val="center"/>
          </w:tcPr>
          <w:p w14:paraId="0079321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0.290</w:t>
            </w:r>
          </w:p>
        </w:tc>
        <w:tc>
          <w:tcPr>
            <w:tcW w:w="1267" w:type="dxa"/>
            <w:tcBorders>
              <w:tl2br w:val="nil"/>
              <w:tr2bl w:val="nil"/>
            </w:tcBorders>
            <w:shd w:val="clear" w:color="auto" w:fill="auto"/>
            <w:noWrap w:val="0"/>
            <w:vAlign w:val="center"/>
          </w:tcPr>
          <w:p w14:paraId="65C3757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1.620</w:t>
            </w:r>
          </w:p>
        </w:tc>
        <w:tc>
          <w:tcPr>
            <w:tcW w:w="1458" w:type="dxa"/>
            <w:tcBorders>
              <w:tl2br w:val="nil"/>
              <w:tr2bl w:val="nil"/>
            </w:tcBorders>
            <w:shd w:val="clear" w:color="auto" w:fill="auto"/>
            <w:noWrap w:val="0"/>
            <w:vAlign w:val="center"/>
          </w:tcPr>
          <w:p w14:paraId="06DD96C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1.311</w:t>
            </w:r>
          </w:p>
        </w:tc>
        <w:tc>
          <w:tcPr>
            <w:tcW w:w="1448" w:type="dxa"/>
            <w:tcBorders>
              <w:tl2br w:val="nil"/>
              <w:tr2bl w:val="nil"/>
            </w:tcBorders>
            <w:shd w:val="clear" w:color="auto" w:fill="auto"/>
            <w:noWrap w:val="0"/>
            <w:vAlign w:val="center"/>
          </w:tcPr>
          <w:p w14:paraId="4DA8B13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3.597</w:t>
            </w:r>
          </w:p>
        </w:tc>
      </w:tr>
      <w:tr w14:paraId="60720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3DD498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6</w:t>
            </w:r>
          </w:p>
        </w:tc>
        <w:tc>
          <w:tcPr>
            <w:tcW w:w="1300" w:type="dxa"/>
            <w:tcBorders>
              <w:tl2br w:val="nil"/>
              <w:tr2bl w:val="nil"/>
            </w:tcBorders>
            <w:shd w:val="clear" w:color="auto" w:fill="auto"/>
            <w:noWrap w:val="0"/>
            <w:vAlign w:val="center"/>
          </w:tcPr>
          <w:p w14:paraId="342D361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0.986</w:t>
            </w:r>
          </w:p>
        </w:tc>
        <w:tc>
          <w:tcPr>
            <w:tcW w:w="1266" w:type="dxa"/>
            <w:tcBorders>
              <w:tl2br w:val="nil"/>
              <w:tr2bl w:val="nil"/>
            </w:tcBorders>
            <w:shd w:val="clear" w:color="auto" w:fill="auto"/>
            <w:noWrap w:val="0"/>
            <w:vAlign w:val="center"/>
          </w:tcPr>
          <w:p w14:paraId="52648E8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3.708</w:t>
            </w:r>
          </w:p>
        </w:tc>
        <w:tc>
          <w:tcPr>
            <w:tcW w:w="1300" w:type="dxa"/>
            <w:tcBorders>
              <w:tl2br w:val="nil"/>
              <w:tr2bl w:val="nil"/>
            </w:tcBorders>
            <w:shd w:val="clear" w:color="auto" w:fill="auto"/>
            <w:noWrap w:val="0"/>
            <w:vAlign w:val="center"/>
          </w:tcPr>
          <w:p w14:paraId="0B51866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0.233</w:t>
            </w:r>
          </w:p>
        </w:tc>
        <w:tc>
          <w:tcPr>
            <w:tcW w:w="1267" w:type="dxa"/>
            <w:tcBorders>
              <w:tl2br w:val="nil"/>
              <w:tr2bl w:val="nil"/>
            </w:tcBorders>
            <w:shd w:val="clear" w:color="auto" w:fill="auto"/>
            <w:noWrap w:val="0"/>
            <w:vAlign w:val="center"/>
          </w:tcPr>
          <w:p w14:paraId="2E4A03C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1.489</w:t>
            </w:r>
          </w:p>
        </w:tc>
        <w:tc>
          <w:tcPr>
            <w:tcW w:w="1458" w:type="dxa"/>
            <w:tcBorders>
              <w:tl2br w:val="nil"/>
              <w:tr2bl w:val="nil"/>
            </w:tcBorders>
            <w:shd w:val="clear" w:color="auto" w:fill="auto"/>
            <w:noWrap w:val="0"/>
            <w:vAlign w:val="center"/>
          </w:tcPr>
          <w:p w14:paraId="69BC0D7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1.241</w:t>
            </w:r>
          </w:p>
        </w:tc>
        <w:tc>
          <w:tcPr>
            <w:tcW w:w="1448" w:type="dxa"/>
            <w:tcBorders>
              <w:tl2br w:val="nil"/>
              <w:tr2bl w:val="nil"/>
            </w:tcBorders>
            <w:shd w:val="clear" w:color="auto" w:fill="auto"/>
            <w:noWrap w:val="0"/>
            <w:vAlign w:val="center"/>
          </w:tcPr>
          <w:p w14:paraId="5D7E757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bCs/>
                <w:color w:val="auto"/>
                <w:highlight w:val="none"/>
                <w:vertAlign w:val="baseline"/>
                <w:lang w:eastAsia="zh-CN"/>
              </w:rPr>
              <w:t>3.613</w:t>
            </w:r>
          </w:p>
        </w:tc>
      </w:tr>
      <w:tr w14:paraId="16607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BF2EB8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7</w:t>
            </w:r>
          </w:p>
        </w:tc>
        <w:tc>
          <w:tcPr>
            <w:tcW w:w="1300" w:type="dxa"/>
            <w:tcBorders>
              <w:tl2br w:val="nil"/>
              <w:tr2bl w:val="nil"/>
            </w:tcBorders>
            <w:shd w:val="clear" w:color="auto" w:fill="auto"/>
            <w:noWrap w:val="0"/>
            <w:vAlign w:val="center"/>
          </w:tcPr>
          <w:p w14:paraId="1DFA757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0.964</w:t>
            </w:r>
          </w:p>
        </w:tc>
        <w:tc>
          <w:tcPr>
            <w:tcW w:w="1266" w:type="dxa"/>
            <w:tcBorders>
              <w:tl2br w:val="nil"/>
              <w:tr2bl w:val="nil"/>
            </w:tcBorders>
            <w:shd w:val="clear" w:color="auto" w:fill="auto"/>
            <w:noWrap w:val="0"/>
            <w:vAlign w:val="center"/>
          </w:tcPr>
          <w:p w14:paraId="780B664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3.412</w:t>
            </w:r>
          </w:p>
        </w:tc>
        <w:tc>
          <w:tcPr>
            <w:tcW w:w="1300" w:type="dxa"/>
            <w:tcBorders>
              <w:tl2br w:val="nil"/>
              <w:tr2bl w:val="nil"/>
            </w:tcBorders>
            <w:shd w:val="clear" w:color="auto" w:fill="auto"/>
            <w:noWrap w:val="0"/>
            <w:vAlign w:val="center"/>
          </w:tcPr>
          <w:p w14:paraId="0E2A9A4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0.186</w:t>
            </w:r>
          </w:p>
        </w:tc>
        <w:tc>
          <w:tcPr>
            <w:tcW w:w="1267" w:type="dxa"/>
            <w:tcBorders>
              <w:tl2br w:val="nil"/>
              <w:tr2bl w:val="nil"/>
            </w:tcBorders>
            <w:shd w:val="clear" w:color="auto" w:fill="auto"/>
            <w:noWrap w:val="0"/>
            <w:vAlign w:val="center"/>
          </w:tcPr>
          <w:p w14:paraId="13C0E83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1.369</w:t>
            </w:r>
          </w:p>
        </w:tc>
        <w:tc>
          <w:tcPr>
            <w:tcW w:w="1458" w:type="dxa"/>
            <w:tcBorders>
              <w:tl2br w:val="nil"/>
              <w:tr2bl w:val="nil"/>
            </w:tcBorders>
            <w:shd w:val="clear" w:color="auto" w:fill="auto"/>
            <w:noWrap w:val="0"/>
            <w:vAlign w:val="center"/>
          </w:tcPr>
          <w:p w14:paraId="29192EE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1.147</w:t>
            </w:r>
          </w:p>
        </w:tc>
        <w:tc>
          <w:tcPr>
            <w:tcW w:w="1448" w:type="dxa"/>
            <w:tcBorders>
              <w:tl2br w:val="nil"/>
              <w:tr2bl w:val="nil"/>
            </w:tcBorders>
            <w:shd w:val="clear" w:color="auto" w:fill="auto"/>
            <w:noWrap w:val="0"/>
            <w:vAlign w:val="center"/>
          </w:tcPr>
          <w:p w14:paraId="0B15E17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3.578</w:t>
            </w:r>
          </w:p>
        </w:tc>
      </w:tr>
      <w:tr w14:paraId="29EC3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9D11EB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8</w:t>
            </w:r>
          </w:p>
        </w:tc>
        <w:tc>
          <w:tcPr>
            <w:tcW w:w="1300" w:type="dxa"/>
            <w:tcBorders>
              <w:tl2br w:val="nil"/>
              <w:tr2bl w:val="nil"/>
            </w:tcBorders>
            <w:shd w:val="clear" w:color="auto" w:fill="auto"/>
            <w:noWrap w:val="0"/>
            <w:vAlign w:val="center"/>
          </w:tcPr>
          <w:p w14:paraId="75C9423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0.915</w:t>
            </w:r>
          </w:p>
        </w:tc>
        <w:tc>
          <w:tcPr>
            <w:tcW w:w="1266" w:type="dxa"/>
            <w:tcBorders>
              <w:tl2br w:val="nil"/>
              <w:tr2bl w:val="nil"/>
            </w:tcBorders>
            <w:shd w:val="clear" w:color="auto" w:fill="auto"/>
            <w:noWrap w:val="0"/>
            <w:vAlign w:val="center"/>
          </w:tcPr>
          <w:p w14:paraId="659D4A7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3.114</w:t>
            </w:r>
          </w:p>
        </w:tc>
        <w:tc>
          <w:tcPr>
            <w:tcW w:w="1300" w:type="dxa"/>
            <w:tcBorders>
              <w:tl2br w:val="nil"/>
              <w:tr2bl w:val="nil"/>
            </w:tcBorders>
            <w:shd w:val="clear" w:color="auto" w:fill="auto"/>
            <w:noWrap w:val="0"/>
            <w:vAlign w:val="center"/>
          </w:tcPr>
          <w:p w14:paraId="72F8151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0.147</w:t>
            </w:r>
          </w:p>
        </w:tc>
        <w:tc>
          <w:tcPr>
            <w:tcW w:w="1267" w:type="dxa"/>
            <w:tcBorders>
              <w:tl2br w:val="nil"/>
              <w:tr2bl w:val="nil"/>
            </w:tcBorders>
            <w:shd w:val="clear" w:color="auto" w:fill="auto"/>
            <w:noWrap w:val="0"/>
            <w:vAlign w:val="center"/>
          </w:tcPr>
          <w:p w14:paraId="35BE6B9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1.260</w:t>
            </w:r>
          </w:p>
        </w:tc>
        <w:tc>
          <w:tcPr>
            <w:tcW w:w="1458" w:type="dxa"/>
            <w:tcBorders>
              <w:tl2br w:val="nil"/>
              <w:tr2bl w:val="nil"/>
            </w:tcBorders>
            <w:shd w:val="clear" w:color="auto" w:fill="auto"/>
            <w:noWrap w:val="0"/>
            <w:vAlign w:val="center"/>
          </w:tcPr>
          <w:p w14:paraId="26F270C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1.033</w:t>
            </w:r>
          </w:p>
        </w:tc>
        <w:tc>
          <w:tcPr>
            <w:tcW w:w="1448" w:type="dxa"/>
            <w:tcBorders>
              <w:tl2br w:val="nil"/>
              <w:tr2bl w:val="nil"/>
            </w:tcBorders>
            <w:shd w:val="clear" w:color="auto" w:fill="auto"/>
            <w:noWrap w:val="0"/>
            <w:vAlign w:val="center"/>
          </w:tcPr>
          <w:p w14:paraId="50782FC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3.493</w:t>
            </w:r>
          </w:p>
        </w:tc>
      </w:tr>
      <w:tr w14:paraId="7C518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57D00D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9</w:t>
            </w:r>
          </w:p>
        </w:tc>
        <w:tc>
          <w:tcPr>
            <w:tcW w:w="1300" w:type="dxa"/>
            <w:tcBorders>
              <w:tl2br w:val="nil"/>
              <w:tr2bl w:val="nil"/>
            </w:tcBorders>
            <w:shd w:val="clear" w:color="auto" w:fill="auto"/>
            <w:noWrap w:val="0"/>
            <w:vAlign w:val="center"/>
          </w:tcPr>
          <w:p w14:paraId="2F6DBF4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0.849</w:t>
            </w:r>
          </w:p>
        </w:tc>
        <w:tc>
          <w:tcPr>
            <w:tcW w:w="1266" w:type="dxa"/>
            <w:tcBorders>
              <w:tl2br w:val="nil"/>
              <w:tr2bl w:val="nil"/>
            </w:tcBorders>
            <w:shd w:val="clear" w:color="auto" w:fill="auto"/>
            <w:noWrap w:val="0"/>
            <w:vAlign w:val="center"/>
          </w:tcPr>
          <w:p w14:paraId="5623847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2.827</w:t>
            </w:r>
          </w:p>
        </w:tc>
        <w:tc>
          <w:tcPr>
            <w:tcW w:w="1300" w:type="dxa"/>
            <w:tcBorders>
              <w:tl2br w:val="nil"/>
              <w:tr2bl w:val="nil"/>
            </w:tcBorders>
            <w:shd w:val="clear" w:color="auto" w:fill="auto"/>
            <w:noWrap w:val="0"/>
            <w:vAlign w:val="center"/>
          </w:tcPr>
          <w:p w14:paraId="1B27A42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0.115</w:t>
            </w:r>
          </w:p>
        </w:tc>
        <w:tc>
          <w:tcPr>
            <w:tcW w:w="1267" w:type="dxa"/>
            <w:tcBorders>
              <w:tl2br w:val="nil"/>
              <w:tr2bl w:val="nil"/>
            </w:tcBorders>
            <w:shd w:val="clear" w:color="auto" w:fill="auto"/>
            <w:noWrap w:val="0"/>
            <w:vAlign w:val="center"/>
          </w:tcPr>
          <w:p w14:paraId="55FBC37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1.161</w:t>
            </w:r>
          </w:p>
        </w:tc>
        <w:tc>
          <w:tcPr>
            <w:tcW w:w="1458" w:type="dxa"/>
            <w:tcBorders>
              <w:tl2br w:val="nil"/>
              <w:tr2bl w:val="nil"/>
            </w:tcBorders>
            <w:shd w:val="clear" w:color="auto" w:fill="auto"/>
            <w:noWrap w:val="0"/>
            <w:vAlign w:val="center"/>
          </w:tcPr>
          <w:p w14:paraId="5E9694C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0.909</w:t>
            </w:r>
          </w:p>
        </w:tc>
        <w:tc>
          <w:tcPr>
            <w:tcW w:w="1448" w:type="dxa"/>
            <w:tcBorders>
              <w:tl2br w:val="nil"/>
              <w:tr2bl w:val="nil"/>
            </w:tcBorders>
            <w:shd w:val="clear" w:color="auto" w:fill="auto"/>
            <w:noWrap w:val="0"/>
            <w:vAlign w:val="center"/>
          </w:tcPr>
          <w:p w14:paraId="1103A27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3.366</w:t>
            </w:r>
          </w:p>
        </w:tc>
      </w:tr>
      <w:tr w14:paraId="4C6A6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93EBBC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10</w:t>
            </w:r>
          </w:p>
        </w:tc>
        <w:tc>
          <w:tcPr>
            <w:tcW w:w="1300" w:type="dxa"/>
            <w:tcBorders>
              <w:tl2br w:val="nil"/>
              <w:tr2bl w:val="nil"/>
            </w:tcBorders>
            <w:shd w:val="clear" w:color="auto" w:fill="auto"/>
            <w:noWrap w:val="0"/>
            <w:vAlign w:val="center"/>
          </w:tcPr>
          <w:p w14:paraId="5419E1B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0.774</w:t>
            </w:r>
          </w:p>
        </w:tc>
        <w:tc>
          <w:tcPr>
            <w:tcW w:w="1266" w:type="dxa"/>
            <w:tcBorders>
              <w:tl2br w:val="nil"/>
              <w:tr2bl w:val="nil"/>
            </w:tcBorders>
            <w:shd w:val="clear" w:color="auto" w:fill="auto"/>
            <w:noWrap w:val="0"/>
            <w:vAlign w:val="center"/>
          </w:tcPr>
          <w:p w14:paraId="427BD51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2.557</w:t>
            </w:r>
          </w:p>
        </w:tc>
        <w:tc>
          <w:tcPr>
            <w:tcW w:w="1300" w:type="dxa"/>
            <w:tcBorders>
              <w:tl2br w:val="nil"/>
              <w:tr2bl w:val="nil"/>
            </w:tcBorders>
            <w:shd w:val="clear" w:color="auto" w:fill="auto"/>
            <w:noWrap w:val="0"/>
            <w:vAlign w:val="center"/>
          </w:tcPr>
          <w:p w14:paraId="0D3067C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0.088</w:t>
            </w:r>
          </w:p>
        </w:tc>
        <w:tc>
          <w:tcPr>
            <w:tcW w:w="1267" w:type="dxa"/>
            <w:tcBorders>
              <w:tl2br w:val="nil"/>
              <w:tr2bl w:val="nil"/>
            </w:tcBorders>
            <w:shd w:val="clear" w:color="auto" w:fill="auto"/>
            <w:noWrap w:val="0"/>
            <w:vAlign w:val="center"/>
          </w:tcPr>
          <w:p w14:paraId="395F8D0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1.072</w:t>
            </w:r>
          </w:p>
        </w:tc>
        <w:tc>
          <w:tcPr>
            <w:tcW w:w="1458" w:type="dxa"/>
            <w:tcBorders>
              <w:tl2br w:val="nil"/>
              <w:tr2bl w:val="nil"/>
            </w:tcBorders>
            <w:shd w:val="clear" w:color="auto" w:fill="auto"/>
            <w:noWrap w:val="0"/>
            <w:vAlign w:val="center"/>
          </w:tcPr>
          <w:p w14:paraId="07AF9DE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0.783</w:t>
            </w:r>
          </w:p>
        </w:tc>
        <w:tc>
          <w:tcPr>
            <w:tcW w:w="1448" w:type="dxa"/>
            <w:tcBorders>
              <w:tl2br w:val="nil"/>
              <w:tr2bl w:val="nil"/>
            </w:tcBorders>
            <w:shd w:val="clear" w:color="auto" w:fill="auto"/>
            <w:noWrap w:val="0"/>
            <w:vAlign w:val="center"/>
          </w:tcPr>
          <w:p w14:paraId="0B3B872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3.208</w:t>
            </w:r>
          </w:p>
        </w:tc>
      </w:tr>
      <w:tr w14:paraId="3A7FB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4FC005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11</w:t>
            </w:r>
          </w:p>
        </w:tc>
        <w:tc>
          <w:tcPr>
            <w:tcW w:w="1300" w:type="dxa"/>
            <w:tcBorders>
              <w:tl2br w:val="nil"/>
              <w:tr2bl w:val="nil"/>
            </w:tcBorders>
            <w:shd w:val="clear" w:color="auto" w:fill="auto"/>
            <w:noWrap w:val="0"/>
            <w:vAlign w:val="center"/>
          </w:tcPr>
          <w:p w14:paraId="1DF9F26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0.697</w:t>
            </w:r>
          </w:p>
        </w:tc>
        <w:tc>
          <w:tcPr>
            <w:tcW w:w="1266" w:type="dxa"/>
            <w:tcBorders>
              <w:tl2br w:val="nil"/>
              <w:tr2bl w:val="nil"/>
            </w:tcBorders>
            <w:shd w:val="clear" w:color="auto" w:fill="auto"/>
            <w:noWrap w:val="0"/>
            <w:vAlign w:val="center"/>
          </w:tcPr>
          <w:p w14:paraId="0E6C680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2.309</w:t>
            </w:r>
          </w:p>
        </w:tc>
        <w:tc>
          <w:tcPr>
            <w:tcW w:w="1300" w:type="dxa"/>
            <w:tcBorders>
              <w:tl2br w:val="nil"/>
              <w:tr2bl w:val="nil"/>
            </w:tcBorders>
            <w:shd w:val="clear" w:color="auto" w:fill="auto"/>
            <w:noWrap w:val="0"/>
            <w:vAlign w:val="center"/>
          </w:tcPr>
          <w:p w14:paraId="45BEB44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0.067</w:t>
            </w:r>
          </w:p>
        </w:tc>
        <w:tc>
          <w:tcPr>
            <w:tcW w:w="1267" w:type="dxa"/>
            <w:tcBorders>
              <w:tl2br w:val="nil"/>
              <w:tr2bl w:val="nil"/>
            </w:tcBorders>
            <w:shd w:val="clear" w:color="auto" w:fill="auto"/>
            <w:noWrap w:val="0"/>
            <w:vAlign w:val="center"/>
          </w:tcPr>
          <w:p w14:paraId="4F8DEE3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0.990</w:t>
            </w:r>
          </w:p>
        </w:tc>
        <w:tc>
          <w:tcPr>
            <w:tcW w:w="1458" w:type="dxa"/>
            <w:tcBorders>
              <w:tl2br w:val="nil"/>
              <w:tr2bl w:val="nil"/>
            </w:tcBorders>
            <w:shd w:val="clear" w:color="auto" w:fill="auto"/>
            <w:noWrap w:val="0"/>
            <w:vAlign w:val="center"/>
          </w:tcPr>
          <w:p w14:paraId="6221BB9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0.661</w:t>
            </w:r>
          </w:p>
        </w:tc>
        <w:tc>
          <w:tcPr>
            <w:tcW w:w="1448" w:type="dxa"/>
            <w:tcBorders>
              <w:tl2br w:val="nil"/>
              <w:tr2bl w:val="nil"/>
            </w:tcBorders>
            <w:shd w:val="clear" w:color="auto" w:fill="auto"/>
            <w:noWrap w:val="0"/>
            <w:vAlign w:val="center"/>
          </w:tcPr>
          <w:p w14:paraId="53EF077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3.032</w:t>
            </w:r>
          </w:p>
        </w:tc>
      </w:tr>
      <w:tr w14:paraId="11ABE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D89F72C">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12</w:t>
            </w:r>
          </w:p>
        </w:tc>
        <w:tc>
          <w:tcPr>
            <w:tcW w:w="1300" w:type="dxa"/>
            <w:tcBorders>
              <w:tl2br w:val="nil"/>
              <w:tr2bl w:val="nil"/>
            </w:tcBorders>
            <w:shd w:val="clear" w:color="auto" w:fill="auto"/>
            <w:noWrap w:val="0"/>
            <w:vAlign w:val="center"/>
          </w:tcPr>
          <w:p w14:paraId="3624413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0.622</w:t>
            </w:r>
          </w:p>
        </w:tc>
        <w:tc>
          <w:tcPr>
            <w:tcW w:w="1266" w:type="dxa"/>
            <w:tcBorders>
              <w:tl2br w:val="nil"/>
              <w:tr2bl w:val="nil"/>
            </w:tcBorders>
            <w:shd w:val="clear" w:color="auto" w:fill="auto"/>
            <w:noWrap w:val="0"/>
            <w:vAlign w:val="center"/>
          </w:tcPr>
          <w:p w14:paraId="6057615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2.084</w:t>
            </w:r>
          </w:p>
        </w:tc>
        <w:tc>
          <w:tcPr>
            <w:tcW w:w="1300" w:type="dxa"/>
            <w:tcBorders>
              <w:tl2br w:val="nil"/>
              <w:tr2bl w:val="nil"/>
            </w:tcBorders>
            <w:shd w:val="clear" w:color="auto" w:fill="auto"/>
            <w:noWrap w:val="0"/>
            <w:vAlign w:val="center"/>
          </w:tcPr>
          <w:p w14:paraId="5FE40BC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0.050</w:t>
            </w:r>
          </w:p>
        </w:tc>
        <w:tc>
          <w:tcPr>
            <w:tcW w:w="1267" w:type="dxa"/>
            <w:tcBorders>
              <w:tl2br w:val="nil"/>
              <w:tr2bl w:val="nil"/>
            </w:tcBorders>
            <w:shd w:val="clear" w:color="auto" w:fill="auto"/>
            <w:noWrap w:val="0"/>
            <w:vAlign w:val="center"/>
          </w:tcPr>
          <w:p w14:paraId="2A254F9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0.917</w:t>
            </w:r>
          </w:p>
        </w:tc>
        <w:tc>
          <w:tcPr>
            <w:tcW w:w="1458" w:type="dxa"/>
            <w:tcBorders>
              <w:tl2br w:val="nil"/>
              <w:tr2bl w:val="nil"/>
            </w:tcBorders>
            <w:shd w:val="clear" w:color="auto" w:fill="auto"/>
            <w:noWrap w:val="0"/>
            <w:vAlign w:val="center"/>
          </w:tcPr>
          <w:p w14:paraId="69B0AC2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0.548</w:t>
            </w:r>
          </w:p>
        </w:tc>
        <w:tc>
          <w:tcPr>
            <w:tcW w:w="1448" w:type="dxa"/>
            <w:tcBorders>
              <w:tl2br w:val="nil"/>
              <w:tr2bl w:val="nil"/>
            </w:tcBorders>
            <w:shd w:val="clear" w:color="auto" w:fill="auto"/>
            <w:noWrap w:val="0"/>
            <w:vAlign w:val="center"/>
          </w:tcPr>
          <w:p w14:paraId="5C8355D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2.846</w:t>
            </w:r>
          </w:p>
        </w:tc>
      </w:tr>
      <w:tr w14:paraId="2E596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631E6D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13</w:t>
            </w:r>
          </w:p>
        </w:tc>
        <w:tc>
          <w:tcPr>
            <w:tcW w:w="1300" w:type="dxa"/>
            <w:tcBorders>
              <w:tl2br w:val="nil"/>
              <w:tr2bl w:val="nil"/>
            </w:tcBorders>
            <w:shd w:val="clear" w:color="auto" w:fill="auto"/>
            <w:noWrap w:val="0"/>
            <w:vAlign w:val="center"/>
          </w:tcPr>
          <w:p w14:paraId="48BF4DC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0.551</w:t>
            </w:r>
          </w:p>
        </w:tc>
        <w:tc>
          <w:tcPr>
            <w:tcW w:w="1266" w:type="dxa"/>
            <w:tcBorders>
              <w:tl2br w:val="nil"/>
              <w:tr2bl w:val="nil"/>
            </w:tcBorders>
            <w:shd w:val="clear" w:color="auto" w:fill="auto"/>
            <w:noWrap w:val="0"/>
            <w:vAlign w:val="center"/>
          </w:tcPr>
          <w:p w14:paraId="2574C2F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1.883</w:t>
            </w:r>
          </w:p>
        </w:tc>
        <w:tc>
          <w:tcPr>
            <w:tcW w:w="1300" w:type="dxa"/>
            <w:tcBorders>
              <w:tl2br w:val="nil"/>
              <w:tr2bl w:val="nil"/>
            </w:tcBorders>
            <w:shd w:val="clear" w:color="auto" w:fill="auto"/>
            <w:noWrap w:val="0"/>
            <w:vAlign w:val="center"/>
          </w:tcPr>
          <w:p w14:paraId="5EB77F3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0.038</w:t>
            </w:r>
          </w:p>
        </w:tc>
        <w:tc>
          <w:tcPr>
            <w:tcW w:w="1267" w:type="dxa"/>
            <w:tcBorders>
              <w:tl2br w:val="nil"/>
              <w:tr2bl w:val="nil"/>
            </w:tcBorders>
            <w:shd w:val="clear" w:color="auto" w:fill="auto"/>
            <w:noWrap w:val="0"/>
            <w:vAlign w:val="center"/>
          </w:tcPr>
          <w:p w14:paraId="0FFF159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0.850</w:t>
            </w:r>
          </w:p>
        </w:tc>
        <w:tc>
          <w:tcPr>
            <w:tcW w:w="1458" w:type="dxa"/>
            <w:tcBorders>
              <w:tl2br w:val="nil"/>
              <w:tr2bl w:val="nil"/>
            </w:tcBorders>
            <w:shd w:val="clear" w:color="auto" w:fill="auto"/>
            <w:noWrap w:val="0"/>
            <w:vAlign w:val="center"/>
          </w:tcPr>
          <w:p w14:paraId="64EA8C8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0.448</w:t>
            </w:r>
          </w:p>
        </w:tc>
        <w:tc>
          <w:tcPr>
            <w:tcW w:w="1448" w:type="dxa"/>
            <w:tcBorders>
              <w:tl2br w:val="nil"/>
              <w:tr2bl w:val="nil"/>
            </w:tcBorders>
            <w:shd w:val="clear" w:color="auto" w:fill="auto"/>
            <w:noWrap w:val="0"/>
            <w:vAlign w:val="center"/>
          </w:tcPr>
          <w:p w14:paraId="418FCFE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2.659</w:t>
            </w:r>
          </w:p>
        </w:tc>
      </w:tr>
      <w:tr w14:paraId="29E9F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77260A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14</w:t>
            </w:r>
          </w:p>
        </w:tc>
        <w:tc>
          <w:tcPr>
            <w:tcW w:w="1300" w:type="dxa"/>
            <w:tcBorders>
              <w:tl2br w:val="nil"/>
              <w:tr2bl w:val="nil"/>
            </w:tcBorders>
            <w:shd w:val="clear" w:color="auto" w:fill="auto"/>
            <w:noWrap w:val="0"/>
            <w:vAlign w:val="center"/>
          </w:tcPr>
          <w:p w14:paraId="37ACD4C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0.487</w:t>
            </w:r>
          </w:p>
        </w:tc>
        <w:tc>
          <w:tcPr>
            <w:tcW w:w="1266" w:type="dxa"/>
            <w:tcBorders>
              <w:tl2br w:val="nil"/>
              <w:tr2bl w:val="nil"/>
            </w:tcBorders>
            <w:shd w:val="clear" w:color="auto" w:fill="auto"/>
            <w:noWrap w:val="0"/>
            <w:vAlign w:val="center"/>
          </w:tcPr>
          <w:p w14:paraId="5D9BCCC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1.705</w:t>
            </w:r>
          </w:p>
        </w:tc>
        <w:tc>
          <w:tcPr>
            <w:tcW w:w="1300" w:type="dxa"/>
            <w:tcBorders>
              <w:tl2br w:val="nil"/>
              <w:tr2bl w:val="nil"/>
            </w:tcBorders>
            <w:shd w:val="clear" w:color="auto" w:fill="auto"/>
            <w:noWrap w:val="0"/>
            <w:vAlign w:val="center"/>
          </w:tcPr>
          <w:p w14:paraId="4C2C5C8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34037C3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0.790</w:t>
            </w:r>
          </w:p>
        </w:tc>
        <w:tc>
          <w:tcPr>
            <w:tcW w:w="1458" w:type="dxa"/>
            <w:tcBorders>
              <w:tl2br w:val="nil"/>
              <w:tr2bl w:val="nil"/>
            </w:tcBorders>
            <w:shd w:val="clear" w:color="auto" w:fill="auto"/>
            <w:noWrap w:val="0"/>
            <w:vAlign w:val="center"/>
          </w:tcPr>
          <w:p w14:paraId="011F3DA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0.361</w:t>
            </w:r>
          </w:p>
        </w:tc>
        <w:tc>
          <w:tcPr>
            <w:tcW w:w="1448" w:type="dxa"/>
            <w:tcBorders>
              <w:tl2br w:val="nil"/>
              <w:tr2bl w:val="nil"/>
            </w:tcBorders>
            <w:shd w:val="clear" w:color="auto" w:fill="auto"/>
            <w:noWrap w:val="0"/>
            <w:vAlign w:val="center"/>
          </w:tcPr>
          <w:p w14:paraId="47F6583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2.477</w:t>
            </w:r>
          </w:p>
        </w:tc>
      </w:tr>
      <w:tr w14:paraId="132BE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DA0E59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15</w:t>
            </w:r>
          </w:p>
        </w:tc>
        <w:tc>
          <w:tcPr>
            <w:tcW w:w="1300" w:type="dxa"/>
            <w:tcBorders>
              <w:tl2br w:val="nil"/>
              <w:tr2bl w:val="nil"/>
            </w:tcBorders>
            <w:shd w:val="clear" w:color="auto" w:fill="auto"/>
            <w:noWrap w:val="0"/>
            <w:vAlign w:val="center"/>
          </w:tcPr>
          <w:p w14:paraId="606E04F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0.430</w:t>
            </w:r>
          </w:p>
        </w:tc>
        <w:tc>
          <w:tcPr>
            <w:tcW w:w="1266" w:type="dxa"/>
            <w:tcBorders>
              <w:tl2br w:val="nil"/>
              <w:tr2bl w:val="nil"/>
            </w:tcBorders>
            <w:shd w:val="clear" w:color="auto" w:fill="auto"/>
            <w:noWrap w:val="0"/>
            <w:vAlign w:val="center"/>
          </w:tcPr>
          <w:p w14:paraId="3E24300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1.546</w:t>
            </w:r>
          </w:p>
        </w:tc>
        <w:tc>
          <w:tcPr>
            <w:tcW w:w="1300" w:type="dxa"/>
            <w:tcBorders>
              <w:tl2br w:val="nil"/>
              <w:tr2bl w:val="nil"/>
            </w:tcBorders>
            <w:shd w:val="clear" w:color="auto" w:fill="auto"/>
            <w:noWrap w:val="0"/>
            <w:vAlign w:val="center"/>
          </w:tcPr>
          <w:p w14:paraId="06E0BE3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0.023</w:t>
            </w:r>
          </w:p>
        </w:tc>
        <w:tc>
          <w:tcPr>
            <w:tcW w:w="1267" w:type="dxa"/>
            <w:tcBorders>
              <w:tl2br w:val="nil"/>
              <w:tr2bl w:val="nil"/>
            </w:tcBorders>
            <w:shd w:val="clear" w:color="auto" w:fill="auto"/>
            <w:noWrap w:val="0"/>
            <w:vAlign w:val="center"/>
          </w:tcPr>
          <w:p w14:paraId="5D59766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0.735</w:t>
            </w:r>
          </w:p>
        </w:tc>
        <w:tc>
          <w:tcPr>
            <w:tcW w:w="1458" w:type="dxa"/>
            <w:tcBorders>
              <w:tl2br w:val="nil"/>
              <w:tr2bl w:val="nil"/>
            </w:tcBorders>
            <w:shd w:val="clear" w:color="auto" w:fill="auto"/>
            <w:noWrap w:val="0"/>
            <w:vAlign w:val="center"/>
          </w:tcPr>
          <w:p w14:paraId="32C1C07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0.286</w:t>
            </w:r>
          </w:p>
        </w:tc>
        <w:tc>
          <w:tcPr>
            <w:tcW w:w="1448" w:type="dxa"/>
            <w:tcBorders>
              <w:tl2br w:val="nil"/>
              <w:tr2bl w:val="nil"/>
            </w:tcBorders>
            <w:shd w:val="clear" w:color="auto" w:fill="auto"/>
            <w:noWrap w:val="0"/>
            <w:vAlign w:val="center"/>
          </w:tcPr>
          <w:p w14:paraId="7F2F176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2.303</w:t>
            </w:r>
          </w:p>
        </w:tc>
      </w:tr>
      <w:tr w14:paraId="47FE3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2CE0585">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16</w:t>
            </w:r>
          </w:p>
        </w:tc>
        <w:tc>
          <w:tcPr>
            <w:tcW w:w="1300" w:type="dxa"/>
            <w:tcBorders>
              <w:tl2br w:val="nil"/>
              <w:tr2bl w:val="nil"/>
            </w:tcBorders>
            <w:shd w:val="clear" w:color="auto" w:fill="auto"/>
            <w:noWrap w:val="0"/>
            <w:vAlign w:val="center"/>
          </w:tcPr>
          <w:p w14:paraId="34BF39B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0.380</w:t>
            </w:r>
          </w:p>
        </w:tc>
        <w:tc>
          <w:tcPr>
            <w:tcW w:w="1266" w:type="dxa"/>
            <w:tcBorders>
              <w:tl2br w:val="nil"/>
              <w:tr2bl w:val="nil"/>
            </w:tcBorders>
            <w:shd w:val="clear" w:color="auto" w:fill="auto"/>
            <w:noWrap w:val="0"/>
            <w:vAlign w:val="center"/>
          </w:tcPr>
          <w:p w14:paraId="383A783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1.406</w:t>
            </w:r>
          </w:p>
        </w:tc>
        <w:tc>
          <w:tcPr>
            <w:tcW w:w="1300" w:type="dxa"/>
            <w:tcBorders>
              <w:tl2br w:val="nil"/>
              <w:tr2bl w:val="nil"/>
            </w:tcBorders>
            <w:shd w:val="clear" w:color="auto" w:fill="auto"/>
            <w:noWrap w:val="0"/>
            <w:vAlign w:val="center"/>
          </w:tcPr>
          <w:p w14:paraId="54C5B0F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0.020</w:t>
            </w:r>
          </w:p>
        </w:tc>
        <w:tc>
          <w:tcPr>
            <w:tcW w:w="1267" w:type="dxa"/>
            <w:tcBorders>
              <w:tl2br w:val="nil"/>
              <w:tr2bl w:val="nil"/>
            </w:tcBorders>
            <w:shd w:val="clear" w:color="auto" w:fill="auto"/>
            <w:noWrap w:val="0"/>
            <w:vAlign w:val="center"/>
          </w:tcPr>
          <w:p w14:paraId="08CFFFC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0.685</w:t>
            </w:r>
          </w:p>
        </w:tc>
        <w:tc>
          <w:tcPr>
            <w:tcW w:w="1458" w:type="dxa"/>
            <w:tcBorders>
              <w:tl2br w:val="nil"/>
              <w:tr2bl w:val="nil"/>
            </w:tcBorders>
            <w:shd w:val="clear" w:color="auto" w:fill="auto"/>
            <w:noWrap w:val="0"/>
            <w:vAlign w:val="center"/>
          </w:tcPr>
          <w:p w14:paraId="45DA2EB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0.223</w:t>
            </w:r>
          </w:p>
        </w:tc>
        <w:tc>
          <w:tcPr>
            <w:tcW w:w="1448" w:type="dxa"/>
            <w:tcBorders>
              <w:tl2br w:val="nil"/>
              <w:tr2bl w:val="nil"/>
            </w:tcBorders>
            <w:shd w:val="clear" w:color="auto" w:fill="auto"/>
            <w:noWrap w:val="0"/>
            <w:vAlign w:val="center"/>
          </w:tcPr>
          <w:p w14:paraId="46CA861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2.139</w:t>
            </w:r>
          </w:p>
        </w:tc>
      </w:tr>
      <w:tr w14:paraId="55CA8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F90D39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17</w:t>
            </w:r>
          </w:p>
        </w:tc>
        <w:tc>
          <w:tcPr>
            <w:tcW w:w="1300" w:type="dxa"/>
            <w:tcBorders>
              <w:tl2br w:val="nil"/>
              <w:tr2bl w:val="nil"/>
            </w:tcBorders>
            <w:shd w:val="clear" w:color="auto" w:fill="auto"/>
            <w:noWrap w:val="0"/>
            <w:vAlign w:val="center"/>
          </w:tcPr>
          <w:p w14:paraId="7B03D7E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0.335</w:t>
            </w:r>
          </w:p>
        </w:tc>
        <w:tc>
          <w:tcPr>
            <w:tcW w:w="1266" w:type="dxa"/>
            <w:tcBorders>
              <w:tl2br w:val="nil"/>
              <w:tr2bl w:val="nil"/>
            </w:tcBorders>
            <w:shd w:val="clear" w:color="auto" w:fill="auto"/>
            <w:noWrap w:val="0"/>
            <w:vAlign w:val="center"/>
          </w:tcPr>
          <w:p w14:paraId="78AD78D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1.282</w:t>
            </w:r>
          </w:p>
        </w:tc>
        <w:tc>
          <w:tcPr>
            <w:tcW w:w="1300" w:type="dxa"/>
            <w:tcBorders>
              <w:tl2br w:val="nil"/>
              <w:tr2bl w:val="nil"/>
            </w:tcBorders>
            <w:shd w:val="clear" w:color="auto" w:fill="auto"/>
            <w:noWrap w:val="0"/>
            <w:vAlign w:val="center"/>
          </w:tcPr>
          <w:p w14:paraId="2C8461F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0.020</w:t>
            </w:r>
          </w:p>
        </w:tc>
        <w:tc>
          <w:tcPr>
            <w:tcW w:w="1267" w:type="dxa"/>
            <w:tcBorders>
              <w:tl2br w:val="nil"/>
              <w:tr2bl w:val="nil"/>
            </w:tcBorders>
            <w:shd w:val="clear" w:color="auto" w:fill="auto"/>
            <w:noWrap w:val="0"/>
            <w:vAlign w:val="center"/>
          </w:tcPr>
          <w:p w14:paraId="43FEA44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0.640</w:t>
            </w:r>
          </w:p>
        </w:tc>
        <w:tc>
          <w:tcPr>
            <w:tcW w:w="1458" w:type="dxa"/>
            <w:tcBorders>
              <w:tl2br w:val="nil"/>
              <w:tr2bl w:val="nil"/>
            </w:tcBorders>
            <w:shd w:val="clear" w:color="auto" w:fill="auto"/>
            <w:noWrap w:val="0"/>
            <w:vAlign w:val="center"/>
          </w:tcPr>
          <w:p w14:paraId="1EDA785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0.172</w:t>
            </w:r>
          </w:p>
        </w:tc>
        <w:tc>
          <w:tcPr>
            <w:tcW w:w="1448" w:type="dxa"/>
            <w:tcBorders>
              <w:tl2br w:val="nil"/>
              <w:tr2bl w:val="nil"/>
            </w:tcBorders>
            <w:shd w:val="clear" w:color="auto" w:fill="auto"/>
            <w:noWrap w:val="0"/>
            <w:vAlign w:val="center"/>
          </w:tcPr>
          <w:p w14:paraId="2489952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1.986</w:t>
            </w:r>
          </w:p>
        </w:tc>
      </w:tr>
      <w:tr w14:paraId="2D011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5A6014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18</w:t>
            </w:r>
          </w:p>
        </w:tc>
        <w:tc>
          <w:tcPr>
            <w:tcW w:w="1300" w:type="dxa"/>
            <w:tcBorders>
              <w:tl2br w:val="nil"/>
              <w:tr2bl w:val="nil"/>
            </w:tcBorders>
            <w:shd w:val="clear" w:color="auto" w:fill="auto"/>
            <w:noWrap w:val="0"/>
            <w:vAlign w:val="center"/>
          </w:tcPr>
          <w:p w14:paraId="6791BEF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0.297</w:t>
            </w:r>
          </w:p>
        </w:tc>
        <w:tc>
          <w:tcPr>
            <w:tcW w:w="1266" w:type="dxa"/>
            <w:tcBorders>
              <w:tl2br w:val="nil"/>
              <w:tr2bl w:val="nil"/>
            </w:tcBorders>
            <w:shd w:val="clear" w:color="auto" w:fill="auto"/>
            <w:noWrap w:val="0"/>
            <w:vAlign w:val="center"/>
          </w:tcPr>
          <w:p w14:paraId="195D3CD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1.172</w:t>
            </w:r>
          </w:p>
        </w:tc>
        <w:tc>
          <w:tcPr>
            <w:tcW w:w="1300" w:type="dxa"/>
            <w:tcBorders>
              <w:tl2br w:val="nil"/>
              <w:tr2bl w:val="nil"/>
            </w:tcBorders>
            <w:shd w:val="clear" w:color="auto" w:fill="auto"/>
            <w:noWrap w:val="0"/>
            <w:vAlign w:val="center"/>
          </w:tcPr>
          <w:p w14:paraId="36C65AA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0.021</w:t>
            </w:r>
          </w:p>
        </w:tc>
        <w:tc>
          <w:tcPr>
            <w:tcW w:w="1267" w:type="dxa"/>
            <w:tcBorders>
              <w:tl2br w:val="nil"/>
              <w:tr2bl w:val="nil"/>
            </w:tcBorders>
            <w:shd w:val="clear" w:color="auto" w:fill="auto"/>
            <w:noWrap w:val="0"/>
            <w:vAlign w:val="center"/>
          </w:tcPr>
          <w:p w14:paraId="3C9627D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0.598</w:t>
            </w:r>
          </w:p>
        </w:tc>
        <w:tc>
          <w:tcPr>
            <w:tcW w:w="1458" w:type="dxa"/>
            <w:tcBorders>
              <w:tl2br w:val="nil"/>
              <w:tr2bl w:val="nil"/>
            </w:tcBorders>
            <w:shd w:val="clear" w:color="auto" w:fill="auto"/>
            <w:noWrap w:val="0"/>
            <w:vAlign w:val="center"/>
          </w:tcPr>
          <w:p w14:paraId="373A035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0.130</w:t>
            </w:r>
          </w:p>
        </w:tc>
        <w:tc>
          <w:tcPr>
            <w:tcW w:w="1448" w:type="dxa"/>
            <w:tcBorders>
              <w:tl2br w:val="nil"/>
              <w:tr2bl w:val="nil"/>
            </w:tcBorders>
            <w:shd w:val="clear" w:color="auto" w:fill="auto"/>
            <w:noWrap w:val="0"/>
            <w:vAlign w:val="center"/>
          </w:tcPr>
          <w:p w14:paraId="12AC254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1.845</w:t>
            </w:r>
          </w:p>
        </w:tc>
      </w:tr>
      <w:tr w14:paraId="6B033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2226B0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19</w:t>
            </w:r>
          </w:p>
        </w:tc>
        <w:tc>
          <w:tcPr>
            <w:tcW w:w="1300" w:type="dxa"/>
            <w:tcBorders>
              <w:tl2br w:val="nil"/>
              <w:tr2bl w:val="nil"/>
            </w:tcBorders>
            <w:shd w:val="clear" w:color="auto" w:fill="auto"/>
            <w:noWrap w:val="0"/>
            <w:vAlign w:val="center"/>
          </w:tcPr>
          <w:p w14:paraId="46D18E6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0.263</w:t>
            </w:r>
          </w:p>
        </w:tc>
        <w:tc>
          <w:tcPr>
            <w:tcW w:w="1266" w:type="dxa"/>
            <w:tcBorders>
              <w:tl2br w:val="nil"/>
              <w:tr2bl w:val="nil"/>
            </w:tcBorders>
            <w:shd w:val="clear" w:color="auto" w:fill="auto"/>
            <w:noWrap w:val="0"/>
            <w:vAlign w:val="center"/>
          </w:tcPr>
          <w:p w14:paraId="054F1F0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1.074</w:t>
            </w:r>
          </w:p>
        </w:tc>
        <w:tc>
          <w:tcPr>
            <w:tcW w:w="1300" w:type="dxa"/>
            <w:tcBorders>
              <w:tl2br w:val="nil"/>
              <w:tr2bl w:val="nil"/>
            </w:tcBorders>
            <w:shd w:val="clear" w:color="auto" w:fill="auto"/>
            <w:noWrap w:val="0"/>
            <w:vAlign w:val="center"/>
          </w:tcPr>
          <w:p w14:paraId="5A4B74F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0.023</w:t>
            </w:r>
          </w:p>
        </w:tc>
        <w:tc>
          <w:tcPr>
            <w:tcW w:w="1267" w:type="dxa"/>
            <w:tcBorders>
              <w:tl2br w:val="nil"/>
              <w:tr2bl w:val="nil"/>
            </w:tcBorders>
            <w:shd w:val="clear" w:color="auto" w:fill="auto"/>
            <w:noWrap w:val="0"/>
            <w:vAlign w:val="center"/>
          </w:tcPr>
          <w:p w14:paraId="525667D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0.560</w:t>
            </w:r>
          </w:p>
        </w:tc>
        <w:tc>
          <w:tcPr>
            <w:tcW w:w="1458" w:type="dxa"/>
            <w:tcBorders>
              <w:tl2br w:val="nil"/>
              <w:tr2bl w:val="nil"/>
            </w:tcBorders>
            <w:shd w:val="clear" w:color="auto" w:fill="auto"/>
            <w:noWrap w:val="0"/>
            <w:vAlign w:val="center"/>
          </w:tcPr>
          <w:p w14:paraId="2F1664F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0.097</w:t>
            </w:r>
          </w:p>
        </w:tc>
        <w:tc>
          <w:tcPr>
            <w:tcW w:w="1448" w:type="dxa"/>
            <w:tcBorders>
              <w:tl2br w:val="nil"/>
              <w:tr2bl w:val="nil"/>
            </w:tcBorders>
            <w:shd w:val="clear" w:color="auto" w:fill="auto"/>
            <w:noWrap w:val="0"/>
            <w:vAlign w:val="center"/>
          </w:tcPr>
          <w:p w14:paraId="25131F2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1.714</w:t>
            </w:r>
          </w:p>
        </w:tc>
      </w:tr>
      <w:tr w14:paraId="109231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0CA1F7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20</w:t>
            </w:r>
          </w:p>
        </w:tc>
        <w:tc>
          <w:tcPr>
            <w:tcW w:w="1300" w:type="dxa"/>
            <w:tcBorders>
              <w:tl2br w:val="nil"/>
              <w:tr2bl w:val="nil"/>
            </w:tcBorders>
            <w:shd w:val="clear" w:color="auto" w:fill="auto"/>
            <w:noWrap w:val="0"/>
            <w:vAlign w:val="center"/>
          </w:tcPr>
          <w:p w14:paraId="5F87612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0.234</w:t>
            </w:r>
          </w:p>
        </w:tc>
        <w:tc>
          <w:tcPr>
            <w:tcW w:w="1266" w:type="dxa"/>
            <w:tcBorders>
              <w:tl2br w:val="nil"/>
              <w:tr2bl w:val="nil"/>
            </w:tcBorders>
            <w:shd w:val="clear" w:color="auto" w:fill="auto"/>
            <w:noWrap w:val="0"/>
            <w:vAlign w:val="center"/>
          </w:tcPr>
          <w:p w14:paraId="611773E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0.988</w:t>
            </w:r>
          </w:p>
        </w:tc>
        <w:tc>
          <w:tcPr>
            <w:tcW w:w="1300" w:type="dxa"/>
            <w:tcBorders>
              <w:tl2br w:val="nil"/>
              <w:tr2bl w:val="nil"/>
            </w:tcBorders>
            <w:shd w:val="clear" w:color="auto" w:fill="auto"/>
            <w:noWrap w:val="0"/>
            <w:vAlign w:val="center"/>
          </w:tcPr>
          <w:p w14:paraId="323AF04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0.024</w:t>
            </w:r>
          </w:p>
        </w:tc>
        <w:tc>
          <w:tcPr>
            <w:tcW w:w="1267" w:type="dxa"/>
            <w:tcBorders>
              <w:tl2br w:val="nil"/>
              <w:tr2bl w:val="nil"/>
            </w:tcBorders>
            <w:shd w:val="clear" w:color="auto" w:fill="auto"/>
            <w:noWrap w:val="0"/>
            <w:vAlign w:val="center"/>
          </w:tcPr>
          <w:p w14:paraId="733D786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0.526</w:t>
            </w:r>
          </w:p>
        </w:tc>
        <w:tc>
          <w:tcPr>
            <w:tcW w:w="1458" w:type="dxa"/>
            <w:tcBorders>
              <w:tl2br w:val="nil"/>
              <w:tr2bl w:val="nil"/>
            </w:tcBorders>
            <w:shd w:val="clear" w:color="auto" w:fill="auto"/>
            <w:noWrap w:val="0"/>
            <w:vAlign w:val="center"/>
          </w:tcPr>
          <w:p w14:paraId="27CC336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0.072</w:t>
            </w:r>
          </w:p>
        </w:tc>
        <w:tc>
          <w:tcPr>
            <w:tcW w:w="1448" w:type="dxa"/>
            <w:tcBorders>
              <w:tl2br w:val="nil"/>
              <w:tr2bl w:val="nil"/>
            </w:tcBorders>
            <w:shd w:val="clear" w:color="auto" w:fill="auto"/>
            <w:noWrap w:val="0"/>
            <w:vAlign w:val="center"/>
          </w:tcPr>
          <w:p w14:paraId="7444B03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1.594</w:t>
            </w:r>
          </w:p>
        </w:tc>
      </w:tr>
      <w:tr w14:paraId="3FF9B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B93A3F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21</w:t>
            </w:r>
          </w:p>
        </w:tc>
        <w:tc>
          <w:tcPr>
            <w:tcW w:w="1300" w:type="dxa"/>
            <w:tcBorders>
              <w:tl2br w:val="nil"/>
              <w:tr2bl w:val="nil"/>
            </w:tcBorders>
            <w:shd w:val="clear" w:color="auto" w:fill="auto"/>
            <w:noWrap w:val="0"/>
            <w:vAlign w:val="center"/>
          </w:tcPr>
          <w:p w14:paraId="1690126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0.208</w:t>
            </w:r>
          </w:p>
        </w:tc>
        <w:tc>
          <w:tcPr>
            <w:tcW w:w="1266" w:type="dxa"/>
            <w:tcBorders>
              <w:tl2br w:val="nil"/>
              <w:tr2bl w:val="nil"/>
            </w:tcBorders>
            <w:shd w:val="clear" w:color="auto" w:fill="auto"/>
            <w:noWrap w:val="0"/>
            <w:vAlign w:val="center"/>
          </w:tcPr>
          <w:p w14:paraId="04B0F1E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0.910</w:t>
            </w:r>
          </w:p>
        </w:tc>
        <w:tc>
          <w:tcPr>
            <w:tcW w:w="1300" w:type="dxa"/>
            <w:tcBorders>
              <w:tl2br w:val="nil"/>
              <w:tr2bl w:val="nil"/>
            </w:tcBorders>
            <w:shd w:val="clear" w:color="auto" w:fill="auto"/>
            <w:noWrap w:val="0"/>
            <w:vAlign w:val="center"/>
          </w:tcPr>
          <w:p w14:paraId="1207575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0.026</w:t>
            </w:r>
          </w:p>
        </w:tc>
        <w:tc>
          <w:tcPr>
            <w:tcW w:w="1267" w:type="dxa"/>
            <w:tcBorders>
              <w:tl2br w:val="nil"/>
              <w:tr2bl w:val="nil"/>
            </w:tcBorders>
            <w:shd w:val="clear" w:color="auto" w:fill="auto"/>
            <w:noWrap w:val="0"/>
            <w:vAlign w:val="center"/>
          </w:tcPr>
          <w:p w14:paraId="1B8EC02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0.494</w:t>
            </w:r>
          </w:p>
        </w:tc>
        <w:tc>
          <w:tcPr>
            <w:tcW w:w="1458" w:type="dxa"/>
            <w:tcBorders>
              <w:tl2br w:val="nil"/>
              <w:tr2bl w:val="nil"/>
            </w:tcBorders>
            <w:shd w:val="clear" w:color="auto" w:fill="auto"/>
            <w:noWrap w:val="0"/>
            <w:vAlign w:val="center"/>
          </w:tcPr>
          <w:p w14:paraId="3F92B05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0.055</w:t>
            </w:r>
          </w:p>
        </w:tc>
        <w:tc>
          <w:tcPr>
            <w:tcW w:w="1448" w:type="dxa"/>
            <w:tcBorders>
              <w:tl2br w:val="nil"/>
              <w:tr2bl w:val="nil"/>
            </w:tcBorders>
            <w:shd w:val="clear" w:color="auto" w:fill="auto"/>
            <w:noWrap w:val="0"/>
            <w:vAlign w:val="center"/>
          </w:tcPr>
          <w:p w14:paraId="7414695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1.485</w:t>
            </w:r>
          </w:p>
        </w:tc>
      </w:tr>
      <w:tr w14:paraId="2DEDF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F3B040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22</w:t>
            </w:r>
          </w:p>
        </w:tc>
        <w:tc>
          <w:tcPr>
            <w:tcW w:w="1300" w:type="dxa"/>
            <w:tcBorders>
              <w:tl2br w:val="nil"/>
              <w:tr2bl w:val="nil"/>
            </w:tcBorders>
            <w:shd w:val="clear" w:color="auto" w:fill="auto"/>
            <w:noWrap w:val="0"/>
            <w:vAlign w:val="center"/>
          </w:tcPr>
          <w:p w14:paraId="73ACB6F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0.186</w:t>
            </w:r>
          </w:p>
        </w:tc>
        <w:tc>
          <w:tcPr>
            <w:tcW w:w="1266" w:type="dxa"/>
            <w:tcBorders>
              <w:tl2br w:val="nil"/>
              <w:tr2bl w:val="nil"/>
            </w:tcBorders>
            <w:shd w:val="clear" w:color="auto" w:fill="auto"/>
            <w:noWrap w:val="0"/>
            <w:vAlign w:val="center"/>
          </w:tcPr>
          <w:p w14:paraId="0D1D6B0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0.841</w:t>
            </w:r>
          </w:p>
        </w:tc>
        <w:tc>
          <w:tcPr>
            <w:tcW w:w="1300" w:type="dxa"/>
            <w:tcBorders>
              <w:tl2br w:val="nil"/>
              <w:tr2bl w:val="nil"/>
            </w:tcBorders>
            <w:shd w:val="clear" w:color="auto" w:fill="auto"/>
            <w:noWrap w:val="0"/>
            <w:vAlign w:val="center"/>
          </w:tcPr>
          <w:p w14:paraId="0E4DE17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0.027</w:t>
            </w:r>
          </w:p>
        </w:tc>
        <w:tc>
          <w:tcPr>
            <w:tcW w:w="1267" w:type="dxa"/>
            <w:tcBorders>
              <w:tl2br w:val="nil"/>
              <w:tr2bl w:val="nil"/>
            </w:tcBorders>
            <w:shd w:val="clear" w:color="auto" w:fill="auto"/>
            <w:noWrap w:val="0"/>
            <w:vAlign w:val="center"/>
          </w:tcPr>
          <w:p w14:paraId="7751E17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0.465</w:t>
            </w:r>
          </w:p>
        </w:tc>
        <w:tc>
          <w:tcPr>
            <w:tcW w:w="1458" w:type="dxa"/>
            <w:tcBorders>
              <w:tl2br w:val="nil"/>
              <w:tr2bl w:val="nil"/>
            </w:tcBorders>
            <w:shd w:val="clear" w:color="auto" w:fill="auto"/>
            <w:noWrap w:val="0"/>
            <w:vAlign w:val="center"/>
          </w:tcPr>
          <w:p w14:paraId="7CD4A40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0.045</w:t>
            </w:r>
          </w:p>
        </w:tc>
        <w:tc>
          <w:tcPr>
            <w:tcW w:w="1448" w:type="dxa"/>
            <w:tcBorders>
              <w:tl2br w:val="nil"/>
              <w:tr2bl w:val="nil"/>
            </w:tcBorders>
            <w:shd w:val="clear" w:color="auto" w:fill="auto"/>
            <w:noWrap w:val="0"/>
            <w:vAlign w:val="center"/>
          </w:tcPr>
          <w:p w14:paraId="61A72A2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1.384</w:t>
            </w:r>
          </w:p>
        </w:tc>
      </w:tr>
      <w:tr w14:paraId="50B35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AA1F96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23</w:t>
            </w:r>
          </w:p>
        </w:tc>
        <w:tc>
          <w:tcPr>
            <w:tcW w:w="1300" w:type="dxa"/>
            <w:tcBorders>
              <w:tl2br w:val="nil"/>
              <w:tr2bl w:val="nil"/>
            </w:tcBorders>
            <w:shd w:val="clear" w:color="auto" w:fill="auto"/>
            <w:noWrap w:val="0"/>
            <w:vAlign w:val="center"/>
          </w:tcPr>
          <w:p w14:paraId="5424162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0.167</w:t>
            </w:r>
          </w:p>
        </w:tc>
        <w:tc>
          <w:tcPr>
            <w:tcW w:w="1266" w:type="dxa"/>
            <w:tcBorders>
              <w:tl2br w:val="nil"/>
              <w:tr2bl w:val="nil"/>
            </w:tcBorders>
            <w:shd w:val="clear" w:color="auto" w:fill="auto"/>
            <w:noWrap w:val="0"/>
            <w:vAlign w:val="center"/>
          </w:tcPr>
          <w:p w14:paraId="3D9987C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0.779</w:t>
            </w:r>
          </w:p>
        </w:tc>
        <w:tc>
          <w:tcPr>
            <w:tcW w:w="1300" w:type="dxa"/>
            <w:tcBorders>
              <w:tl2br w:val="nil"/>
              <w:tr2bl w:val="nil"/>
            </w:tcBorders>
            <w:shd w:val="clear" w:color="auto" w:fill="auto"/>
            <w:noWrap w:val="0"/>
            <w:vAlign w:val="center"/>
          </w:tcPr>
          <w:p w14:paraId="06B4CF4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2578AF1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0.438</w:t>
            </w:r>
          </w:p>
        </w:tc>
        <w:tc>
          <w:tcPr>
            <w:tcW w:w="1458" w:type="dxa"/>
            <w:tcBorders>
              <w:tl2br w:val="nil"/>
              <w:tr2bl w:val="nil"/>
            </w:tcBorders>
            <w:shd w:val="clear" w:color="auto" w:fill="auto"/>
            <w:noWrap w:val="0"/>
            <w:vAlign w:val="center"/>
          </w:tcPr>
          <w:p w14:paraId="15958AF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0.042</w:t>
            </w:r>
          </w:p>
        </w:tc>
        <w:tc>
          <w:tcPr>
            <w:tcW w:w="1448" w:type="dxa"/>
            <w:tcBorders>
              <w:tl2br w:val="nil"/>
              <w:tr2bl w:val="nil"/>
            </w:tcBorders>
            <w:shd w:val="clear" w:color="auto" w:fill="auto"/>
            <w:noWrap w:val="0"/>
            <w:vAlign w:val="center"/>
          </w:tcPr>
          <w:p w14:paraId="5B07179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1.292</w:t>
            </w:r>
          </w:p>
        </w:tc>
      </w:tr>
      <w:tr w14:paraId="189D0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D74FF5F">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24</w:t>
            </w:r>
          </w:p>
        </w:tc>
        <w:tc>
          <w:tcPr>
            <w:tcW w:w="1300" w:type="dxa"/>
            <w:tcBorders>
              <w:tl2br w:val="nil"/>
              <w:tr2bl w:val="nil"/>
            </w:tcBorders>
            <w:shd w:val="clear" w:color="auto" w:fill="auto"/>
            <w:noWrap w:val="0"/>
            <w:vAlign w:val="center"/>
          </w:tcPr>
          <w:p w14:paraId="497620A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0.150</w:t>
            </w:r>
          </w:p>
        </w:tc>
        <w:tc>
          <w:tcPr>
            <w:tcW w:w="1266" w:type="dxa"/>
            <w:tcBorders>
              <w:tl2br w:val="nil"/>
              <w:tr2bl w:val="nil"/>
            </w:tcBorders>
            <w:shd w:val="clear" w:color="auto" w:fill="auto"/>
            <w:noWrap w:val="0"/>
            <w:vAlign w:val="center"/>
          </w:tcPr>
          <w:p w14:paraId="3370B26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0.724</w:t>
            </w:r>
          </w:p>
        </w:tc>
        <w:tc>
          <w:tcPr>
            <w:tcW w:w="1300" w:type="dxa"/>
            <w:tcBorders>
              <w:tl2br w:val="nil"/>
              <w:tr2bl w:val="nil"/>
            </w:tcBorders>
            <w:shd w:val="clear" w:color="auto" w:fill="auto"/>
            <w:noWrap w:val="0"/>
            <w:vAlign w:val="center"/>
          </w:tcPr>
          <w:p w14:paraId="24E8918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123A486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0.414</w:t>
            </w:r>
          </w:p>
        </w:tc>
        <w:tc>
          <w:tcPr>
            <w:tcW w:w="1458" w:type="dxa"/>
            <w:tcBorders>
              <w:tl2br w:val="nil"/>
              <w:tr2bl w:val="nil"/>
            </w:tcBorders>
            <w:shd w:val="clear" w:color="auto" w:fill="auto"/>
            <w:noWrap w:val="0"/>
            <w:vAlign w:val="center"/>
          </w:tcPr>
          <w:p w14:paraId="484D1CE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0.044</w:t>
            </w:r>
          </w:p>
        </w:tc>
        <w:tc>
          <w:tcPr>
            <w:tcW w:w="1448" w:type="dxa"/>
            <w:tcBorders>
              <w:tl2br w:val="nil"/>
              <w:tr2bl w:val="nil"/>
            </w:tcBorders>
            <w:shd w:val="clear" w:color="auto" w:fill="auto"/>
            <w:noWrap w:val="0"/>
            <w:vAlign w:val="center"/>
          </w:tcPr>
          <w:p w14:paraId="1EC88BA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1.208</w:t>
            </w:r>
          </w:p>
        </w:tc>
      </w:tr>
      <w:tr w14:paraId="631C8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02DECF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25</w:t>
            </w:r>
          </w:p>
        </w:tc>
        <w:tc>
          <w:tcPr>
            <w:tcW w:w="1300" w:type="dxa"/>
            <w:tcBorders>
              <w:tl2br w:val="nil"/>
              <w:tr2bl w:val="nil"/>
            </w:tcBorders>
            <w:shd w:val="clear" w:color="auto" w:fill="auto"/>
            <w:noWrap w:val="0"/>
            <w:vAlign w:val="center"/>
          </w:tcPr>
          <w:p w14:paraId="4BDAEDE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0.135</w:t>
            </w:r>
          </w:p>
        </w:tc>
        <w:tc>
          <w:tcPr>
            <w:tcW w:w="1266" w:type="dxa"/>
            <w:tcBorders>
              <w:tl2br w:val="nil"/>
              <w:tr2bl w:val="nil"/>
            </w:tcBorders>
            <w:shd w:val="clear" w:color="auto" w:fill="auto"/>
            <w:noWrap w:val="0"/>
            <w:vAlign w:val="center"/>
          </w:tcPr>
          <w:p w14:paraId="08E7A4A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0.673</w:t>
            </w:r>
          </w:p>
        </w:tc>
        <w:tc>
          <w:tcPr>
            <w:tcW w:w="1300" w:type="dxa"/>
            <w:tcBorders>
              <w:tl2br w:val="nil"/>
              <w:tr2bl w:val="nil"/>
            </w:tcBorders>
            <w:shd w:val="clear" w:color="auto" w:fill="auto"/>
            <w:noWrap w:val="0"/>
            <w:vAlign w:val="center"/>
          </w:tcPr>
          <w:p w14:paraId="4A722F3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56231C8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0.391</w:t>
            </w:r>
          </w:p>
        </w:tc>
        <w:tc>
          <w:tcPr>
            <w:tcW w:w="1458" w:type="dxa"/>
            <w:tcBorders>
              <w:tl2br w:val="nil"/>
              <w:tr2bl w:val="nil"/>
            </w:tcBorders>
            <w:shd w:val="clear" w:color="auto" w:fill="auto"/>
            <w:noWrap w:val="0"/>
            <w:vAlign w:val="center"/>
          </w:tcPr>
          <w:p w14:paraId="54F2ABA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0.047</w:t>
            </w:r>
          </w:p>
        </w:tc>
        <w:tc>
          <w:tcPr>
            <w:tcW w:w="1448" w:type="dxa"/>
            <w:tcBorders>
              <w:tl2br w:val="nil"/>
              <w:tr2bl w:val="nil"/>
            </w:tcBorders>
            <w:shd w:val="clear" w:color="auto" w:fill="auto"/>
            <w:noWrap w:val="0"/>
            <w:vAlign w:val="center"/>
          </w:tcPr>
          <w:p w14:paraId="7671D83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1.131</w:t>
            </w:r>
          </w:p>
        </w:tc>
      </w:tr>
      <w:tr w14:paraId="700B5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86FE2C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26</w:t>
            </w:r>
          </w:p>
        </w:tc>
        <w:tc>
          <w:tcPr>
            <w:tcW w:w="1300" w:type="dxa"/>
            <w:tcBorders>
              <w:tl2br w:val="nil"/>
              <w:tr2bl w:val="nil"/>
            </w:tcBorders>
            <w:shd w:val="clear" w:color="auto" w:fill="auto"/>
            <w:noWrap w:val="0"/>
            <w:vAlign w:val="center"/>
          </w:tcPr>
          <w:p w14:paraId="01D3FD5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0.122</w:t>
            </w:r>
          </w:p>
        </w:tc>
        <w:tc>
          <w:tcPr>
            <w:tcW w:w="1266" w:type="dxa"/>
            <w:tcBorders>
              <w:tl2br w:val="nil"/>
              <w:tr2bl w:val="nil"/>
            </w:tcBorders>
            <w:shd w:val="clear" w:color="auto" w:fill="auto"/>
            <w:noWrap w:val="0"/>
            <w:vAlign w:val="center"/>
          </w:tcPr>
          <w:p w14:paraId="299DA82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0.628</w:t>
            </w:r>
          </w:p>
        </w:tc>
        <w:tc>
          <w:tcPr>
            <w:tcW w:w="1300" w:type="dxa"/>
            <w:tcBorders>
              <w:tl2br w:val="nil"/>
              <w:tr2bl w:val="nil"/>
            </w:tcBorders>
            <w:shd w:val="clear" w:color="auto" w:fill="auto"/>
            <w:noWrap w:val="0"/>
            <w:vAlign w:val="center"/>
          </w:tcPr>
          <w:p w14:paraId="63FA360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0.029</w:t>
            </w:r>
          </w:p>
        </w:tc>
        <w:tc>
          <w:tcPr>
            <w:tcW w:w="1267" w:type="dxa"/>
            <w:tcBorders>
              <w:tl2br w:val="nil"/>
              <w:tr2bl w:val="nil"/>
            </w:tcBorders>
            <w:shd w:val="clear" w:color="auto" w:fill="auto"/>
            <w:noWrap w:val="0"/>
            <w:vAlign w:val="center"/>
          </w:tcPr>
          <w:p w14:paraId="08253CE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0.370</w:t>
            </w:r>
          </w:p>
        </w:tc>
        <w:tc>
          <w:tcPr>
            <w:tcW w:w="1458" w:type="dxa"/>
            <w:tcBorders>
              <w:tl2br w:val="nil"/>
              <w:tr2bl w:val="nil"/>
            </w:tcBorders>
            <w:shd w:val="clear" w:color="auto" w:fill="auto"/>
            <w:noWrap w:val="0"/>
            <w:vAlign w:val="center"/>
          </w:tcPr>
          <w:p w14:paraId="50E1420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0.051</w:t>
            </w:r>
          </w:p>
        </w:tc>
        <w:tc>
          <w:tcPr>
            <w:tcW w:w="1448" w:type="dxa"/>
            <w:tcBorders>
              <w:tl2br w:val="nil"/>
              <w:tr2bl w:val="nil"/>
            </w:tcBorders>
            <w:shd w:val="clear" w:color="auto" w:fill="auto"/>
            <w:noWrap w:val="0"/>
            <w:vAlign w:val="center"/>
          </w:tcPr>
          <w:p w14:paraId="74E7D79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1.061</w:t>
            </w:r>
          </w:p>
        </w:tc>
      </w:tr>
      <w:tr w14:paraId="029FC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470B85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27</w:t>
            </w:r>
          </w:p>
        </w:tc>
        <w:tc>
          <w:tcPr>
            <w:tcW w:w="1300" w:type="dxa"/>
            <w:tcBorders>
              <w:tl2br w:val="nil"/>
              <w:tr2bl w:val="nil"/>
            </w:tcBorders>
            <w:shd w:val="clear" w:color="auto" w:fill="auto"/>
            <w:noWrap w:val="0"/>
            <w:vAlign w:val="center"/>
          </w:tcPr>
          <w:p w14:paraId="3E2E713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0.111</w:t>
            </w:r>
          </w:p>
        </w:tc>
        <w:tc>
          <w:tcPr>
            <w:tcW w:w="1266" w:type="dxa"/>
            <w:tcBorders>
              <w:tl2br w:val="nil"/>
              <w:tr2bl w:val="nil"/>
            </w:tcBorders>
            <w:shd w:val="clear" w:color="auto" w:fill="auto"/>
            <w:noWrap w:val="0"/>
            <w:vAlign w:val="center"/>
          </w:tcPr>
          <w:p w14:paraId="2B5F1B5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0.587</w:t>
            </w:r>
          </w:p>
        </w:tc>
        <w:tc>
          <w:tcPr>
            <w:tcW w:w="1300" w:type="dxa"/>
            <w:tcBorders>
              <w:tl2br w:val="nil"/>
              <w:tr2bl w:val="nil"/>
            </w:tcBorders>
            <w:shd w:val="clear" w:color="auto" w:fill="auto"/>
            <w:noWrap w:val="0"/>
            <w:vAlign w:val="center"/>
          </w:tcPr>
          <w:p w14:paraId="49DC327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1600A30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0.351</w:t>
            </w:r>
          </w:p>
        </w:tc>
        <w:tc>
          <w:tcPr>
            <w:tcW w:w="1458" w:type="dxa"/>
            <w:tcBorders>
              <w:tl2br w:val="nil"/>
              <w:tr2bl w:val="nil"/>
            </w:tcBorders>
            <w:shd w:val="clear" w:color="auto" w:fill="auto"/>
            <w:noWrap w:val="0"/>
            <w:vAlign w:val="center"/>
          </w:tcPr>
          <w:p w14:paraId="037B3BD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0.054</w:t>
            </w:r>
          </w:p>
        </w:tc>
        <w:tc>
          <w:tcPr>
            <w:tcW w:w="1448" w:type="dxa"/>
            <w:tcBorders>
              <w:tl2br w:val="nil"/>
              <w:tr2bl w:val="nil"/>
            </w:tcBorders>
            <w:shd w:val="clear" w:color="auto" w:fill="auto"/>
            <w:noWrap w:val="0"/>
            <w:vAlign w:val="center"/>
          </w:tcPr>
          <w:p w14:paraId="771F99D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0.996</w:t>
            </w:r>
          </w:p>
        </w:tc>
      </w:tr>
      <w:tr w14:paraId="6F70B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0E2701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28</w:t>
            </w:r>
          </w:p>
        </w:tc>
        <w:tc>
          <w:tcPr>
            <w:tcW w:w="1300" w:type="dxa"/>
            <w:tcBorders>
              <w:tl2br w:val="nil"/>
              <w:tr2bl w:val="nil"/>
            </w:tcBorders>
            <w:shd w:val="clear" w:color="auto" w:fill="auto"/>
            <w:noWrap w:val="0"/>
            <w:vAlign w:val="center"/>
          </w:tcPr>
          <w:p w14:paraId="6673490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0.101</w:t>
            </w:r>
          </w:p>
        </w:tc>
        <w:tc>
          <w:tcPr>
            <w:tcW w:w="1266" w:type="dxa"/>
            <w:tcBorders>
              <w:tl2br w:val="nil"/>
              <w:tr2bl w:val="nil"/>
            </w:tcBorders>
            <w:shd w:val="clear" w:color="auto" w:fill="auto"/>
            <w:noWrap w:val="0"/>
            <w:vAlign w:val="center"/>
          </w:tcPr>
          <w:p w14:paraId="623F418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0.550</w:t>
            </w:r>
          </w:p>
        </w:tc>
        <w:tc>
          <w:tcPr>
            <w:tcW w:w="1300" w:type="dxa"/>
            <w:tcBorders>
              <w:tl2br w:val="nil"/>
              <w:tr2bl w:val="nil"/>
            </w:tcBorders>
            <w:shd w:val="clear" w:color="auto" w:fill="auto"/>
            <w:noWrap w:val="0"/>
            <w:vAlign w:val="center"/>
          </w:tcPr>
          <w:p w14:paraId="250ACFE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437B8DD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0.333</w:t>
            </w:r>
          </w:p>
        </w:tc>
        <w:tc>
          <w:tcPr>
            <w:tcW w:w="1458" w:type="dxa"/>
            <w:tcBorders>
              <w:tl2br w:val="nil"/>
              <w:tr2bl w:val="nil"/>
            </w:tcBorders>
            <w:shd w:val="clear" w:color="auto" w:fill="auto"/>
            <w:noWrap w:val="0"/>
            <w:vAlign w:val="center"/>
          </w:tcPr>
          <w:p w14:paraId="1E1CB65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0.057</w:t>
            </w:r>
          </w:p>
        </w:tc>
        <w:tc>
          <w:tcPr>
            <w:tcW w:w="1448" w:type="dxa"/>
            <w:tcBorders>
              <w:tl2br w:val="nil"/>
              <w:tr2bl w:val="nil"/>
            </w:tcBorders>
            <w:shd w:val="clear" w:color="auto" w:fill="auto"/>
            <w:noWrap w:val="0"/>
            <w:vAlign w:val="center"/>
          </w:tcPr>
          <w:p w14:paraId="3D439DB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0.937</w:t>
            </w:r>
          </w:p>
        </w:tc>
      </w:tr>
      <w:tr w14:paraId="66787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2BE173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29</w:t>
            </w:r>
          </w:p>
        </w:tc>
        <w:tc>
          <w:tcPr>
            <w:tcW w:w="1300" w:type="dxa"/>
            <w:tcBorders>
              <w:tl2br w:val="nil"/>
              <w:tr2bl w:val="nil"/>
            </w:tcBorders>
            <w:shd w:val="clear" w:color="auto" w:fill="auto"/>
            <w:noWrap w:val="0"/>
            <w:vAlign w:val="center"/>
          </w:tcPr>
          <w:p w14:paraId="03CDDDC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0.092</w:t>
            </w:r>
          </w:p>
        </w:tc>
        <w:tc>
          <w:tcPr>
            <w:tcW w:w="1266" w:type="dxa"/>
            <w:tcBorders>
              <w:tl2br w:val="nil"/>
              <w:tr2bl w:val="nil"/>
            </w:tcBorders>
            <w:shd w:val="clear" w:color="auto" w:fill="auto"/>
            <w:noWrap w:val="0"/>
            <w:vAlign w:val="center"/>
          </w:tcPr>
          <w:p w14:paraId="37EB625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0.516</w:t>
            </w:r>
          </w:p>
        </w:tc>
        <w:tc>
          <w:tcPr>
            <w:tcW w:w="1300" w:type="dxa"/>
            <w:tcBorders>
              <w:tl2br w:val="nil"/>
              <w:tr2bl w:val="nil"/>
            </w:tcBorders>
            <w:shd w:val="clear" w:color="auto" w:fill="auto"/>
            <w:noWrap w:val="0"/>
            <w:vAlign w:val="center"/>
          </w:tcPr>
          <w:p w14:paraId="26CF844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76E5D7A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0.316</w:t>
            </w:r>
          </w:p>
        </w:tc>
        <w:tc>
          <w:tcPr>
            <w:tcW w:w="1458" w:type="dxa"/>
            <w:tcBorders>
              <w:tl2br w:val="nil"/>
              <w:tr2bl w:val="nil"/>
            </w:tcBorders>
            <w:shd w:val="clear" w:color="auto" w:fill="auto"/>
            <w:noWrap w:val="0"/>
            <w:vAlign w:val="center"/>
          </w:tcPr>
          <w:p w14:paraId="5679730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0.059</w:t>
            </w:r>
          </w:p>
        </w:tc>
        <w:tc>
          <w:tcPr>
            <w:tcW w:w="1448" w:type="dxa"/>
            <w:tcBorders>
              <w:tl2br w:val="nil"/>
              <w:tr2bl w:val="nil"/>
            </w:tcBorders>
            <w:shd w:val="clear" w:color="auto" w:fill="auto"/>
            <w:noWrap w:val="0"/>
            <w:vAlign w:val="center"/>
          </w:tcPr>
          <w:p w14:paraId="2A1A8E5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0.882</w:t>
            </w:r>
          </w:p>
        </w:tc>
      </w:tr>
      <w:tr w14:paraId="09245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B50D2F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30</w:t>
            </w:r>
          </w:p>
        </w:tc>
        <w:tc>
          <w:tcPr>
            <w:tcW w:w="1300" w:type="dxa"/>
            <w:tcBorders>
              <w:tl2br w:val="nil"/>
              <w:tr2bl w:val="nil"/>
            </w:tcBorders>
            <w:shd w:val="clear" w:color="auto" w:fill="auto"/>
            <w:noWrap w:val="0"/>
            <w:vAlign w:val="center"/>
          </w:tcPr>
          <w:p w14:paraId="66F3510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0.084</w:t>
            </w:r>
          </w:p>
        </w:tc>
        <w:tc>
          <w:tcPr>
            <w:tcW w:w="1266" w:type="dxa"/>
            <w:tcBorders>
              <w:tl2br w:val="nil"/>
              <w:tr2bl w:val="nil"/>
            </w:tcBorders>
            <w:shd w:val="clear" w:color="auto" w:fill="auto"/>
            <w:noWrap w:val="0"/>
            <w:vAlign w:val="center"/>
          </w:tcPr>
          <w:p w14:paraId="2DECD8F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0.485</w:t>
            </w:r>
          </w:p>
        </w:tc>
        <w:tc>
          <w:tcPr>
            <w:tcW w:w="1300" w:type="dxa"/>
            <w:tcBorders>
              <w:tl2br w:val="nil"/>
              <w:tr2bl w:val="nil"/>
            </w:tcBorders>
            <w:shd w:val="clear" w:color="auto" w:fill="auto"/>
            <w:noWrap w:val="0"/>
            <w:vAlign w:val="center"/>
          </w:tcPr>
          <w:p w14:paraId="6D91CDD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0.028</w:t>
            </w:r>
          </w:p>
        </w:tc>
        <w:tc>
          <w:tcPr>
            <w:tcW w:w="1267" w:type="dxa"/>
            <w:tcBorders>
              <w:tl2br w:val="nil"/>
              <w:tr2bl w:val="nil"/>
            </w:tcBorders>
            <w:shd w:val="clear" w:color="auto" w:fill="auto"/>
            <w:noWrap w:val="0"/>
            <w:vAlign w:val="center"/>
          </w:tcPr>
          <w:p w14:paraId="60581FE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0.300</w:t>
            </w:r>
          </w:p>
        </w:tc>
        <w:tc>
          <w:tcPr>
            <w:tcW w:w="1458" w:type="dxa"/>
            <w:tcBorders>
              <w:tl2br w:val="nil"/>
              <w:tr2bl w:val="nil"/>
            </w:tcBorders>
            <w:shd w:val="clear" w:color="auto" w:fill="auto"/>
            <w:noWrap w:val="0"/>
            <w:vAlign w:val="center"/>
          </w:tcPr>
          <w:p w14:paraId="1C33153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0.060</w:t>
            </w:r>
          </w:p>
        </w:tc>
        <w:tc>
          <w:tcPr>
            <w:tcW w:w="1448" w:type="dxa"/>
            <w:tcBorders>
              <w:tl2br w:val="nil"/>
              <w:tr2bl w:val="nil"/>
            </w:tcBorders>
            <w:shd w:val="clear" w:color="auto" w:fill="auto"/>
            <w:noWrap w:val="0"/>
            <w:vAlign w:val="center"/>
          </w:tcPr>
          <w:p w14:paraId="27DE702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0.832</w:t>
            </w:r>
          </w:p>
        </w:tc>
      </w:tr>
      <w:tr w14:paraId="33FD3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B4E1FA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31</w:t>
            </w:r>
          </w:p>
        </w:tc>
        <w:tc>
          <w:tcPr>
            <w:tcW w:w="1300" w:type="dxa"/>
            <w:tcBorders>
              <w:tl2br w:val="nil"/>
              <w:tr2bl w:val="nil"/>
            </w:tcBorders>
            <w:shd w:val="clear" w:color="auto" w:fill="auto"/>
            <w:noWrap w:val="0"/>
            <w:vAlign w:val="center"/>
          </w:tcPr>
          <w:p w14:paraId="533AC39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0.077</w:t>
            </w:r>
          </w:p>
        </w:tc>
        <w:tc>
          <w:tcPr>
            <w:tcW w:w="1266" w:type="dxa"/>
            <w:tcBorders>
              <w:tl2br w:val="nil"/>
              <w:tr2bl w:val="nil"/>
            </w:tcBorders>
            <w:shd w:val="clear" w:color="auto" w:fill="auto"/>
            <w:noWrap w:val="0"/>
            <w:vAlign w:val="center"/>
          </w:tcPr>
          <w:p w14:paraId="0BD12FD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0.457</w:t>
            </w:r>
          </w:p>
        </w:tc>
        <w:tc>
          <w:tcPr>
            <w:tcW w:w="1300" w:type="dxa"/>
            <w:tcBorders>
              <w:tl2br w:val="nil"/>
              <w:tr2bl w:val="nil"/>
            </w:tcBorders>
            <w:shd w:val="clear" w:color="auto" w:fill="auto"/>
            <w:noWrap w:val="0"/>
            <w:vAlign w:val="center"/>
          </w:tcPr>
          <w:p w14:paraId="0AD9C90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0.027</w:t>
            </w:r>
          </w:p>
        </w:tc>
        <w:tc>
          <w:tcPr>
            <w:tcW w:w="1267" w:type="dxa"/>
            <w:tcBorders>
              <w:tl2br w:val="nil"/>
              <w:tr2bl w:val="nil"/>
            </w:tcBorders>
            <w:shd w:val="clear" w:color="auto" w:fill="auto"/>
            <w:noWrap w:val="0"/>
            <w:vAlign w:val="center"/>
          </w:tcPr>
          <w:p w14:paraId="22498A1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0.286</w:t>
            </w:r>
          </w:p>
        </w:tc>
        <w:tc>
          <w:tcPr>
            <w:tcW w:w="1458" w:type="dxa"/>
            <w:tcBorders>
              <w:tl2br w:val="nil"/>
              <w:tr2bl w:val="nil"/>
            </w:tcBorders>
            <w:shd w:val="clear" w:color="auto" w:fill="auto"/>
            <w:noWrap w:val="0"/>
            <w:vAlign w:val="center"/>
          </w:tcPr>
          <w:p w14:paraId="220BDB6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0.061</w:t>
            </w:r>
          </w:p>
        </w:tc>
        <w:tc>
          <w:tcPr>
            <w:tcW w:w="1448" w:type="dxa"/>
            <w:tcBorders>
              <w:tl2br w:val="nil"/>
              <w:tr2bl w:val="nil"/>
            </w:tcBorders>
            <w:shd w:val="clear" w:color="auto" w:fill="auto"/>
            <w:noWrap w:val="0"/>
            <w:vAlign w:val="center"/>
          </w:tcPr>
          <w:p w14:paraId="6E2B48A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0.785</w:t>
            </w:r>
          </w:p>
        </w:tc>
      </w:tr>
      <w:tr w14:paraId="6980F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CEF4DE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32</w:t>
            </w:r>
          </w:p>
        </w:tc>
        <w:tc>
          <w:tcPr>
            <w:tcW w:w="1300" w:type="dxa"/>
            <w:tcBorders>
              <w:tl2br w:val="nil"/>
              <w:tr2bl w:val="nil"/>
            </w:tcBorders>
            <w:shd w:val="clear" w:color="auto" w:fill="auto"/>
            <w:noWrap w:val="0"/>
            <w:vAlign w:val="center"/>
          </w:tcPr>
          <w:p w14:paraId="64876EB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0.070</w:t>
            </w:r>
          </w:p>
        </w:tc>
        <w:tc>
          <w:tcPr>
            <w:tcW w:w="1266" w:type="dxa"/>
            <w:tcBorders>
              <w:tl2br w:val="nil"/>
              <w:tr2bl w:val="nil"/>
            </w:tcBorders>
            <w:shd w:val="clear" w:color="auto" w:fill="auto"/>
            <w:noWrap w:val="0"/>
            <w:vAlign w:val="center"/>
          </w:tcPr>
          <w:p w14:paraId="54F2BA2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0.431</w:t>
            </w:r>
          </w:p>
        </w:tc>
        <w:tc>
          <w:tcPr>
            <w:tcW w:w="1300" w:type="dxa"/>
            <w:tcBorders>
              <w:tl2br w:val="nil"/>
              <w:tr2bl w:val="nil"/>
            </w:tcBorders>
            <w:shd w:val="clear" w:color="auto" w:fill="auto"/>
            <w:noWrap w:val="0"/>
            <w:vAlign w:val="center"/>
          </w:tcPr>
          <w:p w14:paraId="11CA2AF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0.027</w:t>
            </w:r>
          </w:p>
        </w:tc>
        <w:tc>
          <w:tcPr>
            <w:tcW w:w="1267" w:type="dxa"/>
            <w:tcBorders>
              <w:tl2br w:val="nil"/>
              <w:tr2bl w:val="nil"/>
            </w:tcBorders>
            <w:shd w:val="clear" w:color="auto" w:fill="auto"/>
            <w:noWrap w:val="0"/>
            <w:vAlign w:val="center"/>
          </w:tcPr>
          <w:p w14:paraId="4801E9C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0.272</w:t>
            </w:r>
          </w:p>
        </w:tc>
        <w:tc>
          <w:tcPr>
            <w:tcW w:w="1458" w:type="dxa"/>
            <w:tcBorders>
              <w:tl2br w:val="nil"/>
              <w:tr2bl w:val="nil"/>
            </w:tcBorders>
            <w:shd w:val="clear" w:color="auto" w:fill="auto"/>
            <w:noWrap w:val="0"/>
            <w:vAlign w:val="center"/>
          </w:tcPr>
          <w:p w14:paraId="6AC945E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012D318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0.742</w:t>
            </w:r>
          </w:p>
        </w:tc>
      </w:tr>
      <w:tr w14:paraId="44537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4209A78">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33</w:t>
            </w:r>
          </w:p>
        </w:tc>
        <w:tc>
          <w:tcPr>
            <w:tcW w:w="1300" w:type="dxa"/>
            <w:tcBorders>
              <w:tl2br w:val="nil"/>
              <w:tr2bl w:val="nil"/>
            </w:tcBorders>
            <w:shd w:val="clear" w:color="auto" w:fill="auto"/>
            <w:noWrap w:val="0"/>
            <w:vAlign w:val="center"/>
          </w:tcPr>
          <w:p w14:paraId="6CBF199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0.065</w:t>
            </w:r>
          </w:p>
        </w:tc>
        <w:tc>
          <w:tcPr>
            <w:tcW w:w="1266" w:type="dxa"/>
            <w:tcBorders>
              <w:tl2br w:val="nil"/>
              <w:tr2bl w:val="nil"/>
            </w:tcBorders>
            <w:shd w:val="clear" w:color="auto" w:fill="auto"/>
            <w:noWrap w:val="0"/>
            <w:vAlign w:val="center"/>
          </w:tcPr>
          <w:p w14:paraId="50559FA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0.407</w:t>
            </w:r>
          </w:p>
        </w:tc>
        <w:tc>
          <w:tcPr>
            <w:tcW w:w="1300" w:type="dxa"/>
            <w:tcBorders>
              <w:tl2br w:val="nil"/>
              <w:tr2bl w:val="nil"/>
            </w:tcBorders>
            <w:shd w:val="clear" w:color="auto" w:fill="auto"/>
            <w:noWrap w:val="0"/>
            <w:vAlign w:val="center"/>
          </w:tcPr>
          <w:p w14:paraId="1C9AF57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0.027</w:t>
            </w:r>
          </w:p>
        </w:tc>
        <w:tc>
          <w:tcPr>
            <w:tcW w:w="1267" w:type="dxa"/>
            <w:tcBorders>
              <w:tl2br w:val="nil"/>
              <w:tr2bl w:val="nil"/>
            </w:tcBorders>
            <w:shd w:val="clear" w:color="auto" w:fill="auto"/>
            <w:noWrap w:val="0"/>
            <w:vAlign w:val="center"/>
          </w:tcPr>
          <w:p w14:paraId="156DED1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0.260</w:t>
            </w:r>
          </w:p>
        </w:tc>
        <w:tc>
          <w:tcPr>
            <w:tcW w:w="1458" w:type="dxa"/>
            <w:tcBorders>
              <w:tl2br w:val="nil"/>
              <w:tr2bl w:val="nil"/>
            </w:tcBorders>
            <w:shd w:val="clear" w:color="auto" w:fill="auto"/>
            <w:noWrap w:val="0"/>
            <w:vAlign w:val="center"/>
          </w:tcPr>
          <w:p w14:paraId="14D2552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3689F23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0.703</w:t>
            </w:r>
          </w:p>
        </w:tc>
      </w:tr>
      <w:tr w14:paraId="7FA84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9C7647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34</w:t>
            </w:r>
          </w:p>
        </w:tc>
        <w:tc>
          <w:tcPr>
            <w:tcW w:w="1300" w:type="dxa"/>
            <w:tcBorders>
              <w:tl2br w:val="nil"/>
              <w:tr2bl w:val="nil"/>
            </w:tcBorders>
            <w:shd w:val="clear" w:color="auto" w:fill="auto"/>
            <w:noWrap w:val="0"/>
            <w:vAlign w:val="center"/>
          </w:tcPr>
          <w:p w14:paraId="2DD27F7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0.060</w:t>
            </w:r>
          </w:p>
        </w:tc>
        <w:tc>
          <w:tcPr>
            <w:tcW w:w="1266" w:type="dxa"/>
            <w:tcBorders>
              <w:tl2br w:val="nil"/>
              <w:tr2bl w:val="nil"/>
            </w:tcBorders>
            <w:shd w:val="clear" w:color="auto" w:fill="auto"/>
            <w:noWrap w:val="0"/>
            <w:vAlign w:val="center"/>
          </w:tcPr>
          <w:p w14:paraId="6A88940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0.385</w:t>
            </w:r>
          </w:p>
        </w:tc>
        <w:tc>
          <w:tcPr>
            <w:tcW w:w="1300" w:type="dxa"/>
            <w:tcBorders>
              <w:tl2br w:val="nil"/>
              <w:tr2bl w:val="nil"/>
            </w:tcBorders>
            <w:shd w:val="clear" w:color="auto" w:fill="auto"/>
            <w:noWrap w:val="0"/>
            <w:vAlign w:val="center"/>
          </w:tcPr>
          <w:p w14:paraId="5E8FB8C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0.026</w:t>
            </w:r>
          </w:p>
        </w:tc>
        <w:tc>
          <w:tcPr>
            <w:tcW w:w="1267" w:type="dxa"/>
            <w:tcBorders>
              <w:tl2br w:val="nil"/>
              <w:tr2bl w:val="nil"/>
            </w:tcBorders>
            <w:shd w:val="clear" w:color="auto" w:fill="auto"/>
            <w:noWrap w:val="0"/>
            <w:vAlign w:val="center"/>
          </w:tcPr>
          <w:p w14:paraId="2580E0F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0.248</w:t>
            </w:r>
          </w:p>
        </w:tc>
        <w:tc>
          <w:tcPr>
            <w:tcW w:w="1458" w:type="dxa"/>
            <w:tcBorders>
              <w:tl2br w:val="nil"/>
              <w:tr2bl w:val="nil"/>
            </w:tcBorders>
            <w:shd w:val="clear" w:color="auto" w:fill="auto"/>
            <w:noWrap w:val="0"/>
            <w:vAlign w:val="center"/>
          </w:tcPr>
          <w:p w14:paraId="2B66224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0.062</w:t>
            </w:r>
          </w:p>
        </w:tc>
        <w:tc>
          <w:tcPr>
            <w:tcW w:w="1448" w:type="dxa"/>
            <w:tcBorders>
              <w:tl2br w:val="nil"/>
              <w:tr2bl w:val="nil"/>
            </w:tcBorders>
            <w:shd w:val="clear" w:color="auto" w:fill="auto"/>
            <w:noWrap w:val="0"/>
            <w:vAlign w:val="center"/>
          </w:tcPr>
          <w:p w14:paraId="64DD872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0.666</w:t>
            </w:r>
          </w:p>
        </w:tc>
      </w:tr>
      <w:tr w14:paraId="3F982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51AFCE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35</w:t>
            </w:r>
          </w:p>
        </w:tc>
        <w:tc>
          <w:tcPr>
            <w:tcW w:w="1300" w:type="dxa"/>
            <w:tcBorders>
              <w:tl2br w:val="nil"/>
              <w:tr2bl w:val="nil"/>
            </w:tcBorders>
            <w:shd w:val="clear" w:color="auto" w:fill="auto"/>
            <w:noWrap w:val="0"/>
            <w:vAlign w:val="center"/>
          </w:tcPr>
          <w:p w14:paraId="6E6D5EB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0.055</w:t>
            </w:r>
          </w:p>
        </w:tc>
        <w:tc>
          <w:tcPr>
            <w:tcW w:w="1266" w:type="dxa"/>
            <w:tcBorders>
              <w:tl2br w:val="nil"/>
              <w:tr2bl w:val="nil"/>
            </w:tcBorders>
            <w:shd w:val="clear" w:color="auto" w:fill="auto"/>
            <w:noWrap w:val="0"/>
            <w:vAlign w:val="center"/>
          </w:tcPr>
          <w:p w14:paraId="47AFE13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0.365</w:t>
            </w:r>
          </w:p>
        </w:tc>
        <w:tc>
          <w:tcPr>
            <w:tcW w:w="1300" w:type="dxa"/>
            <w:tcBorders>
              <w:tl2br w:val="nil"/>
              <w:tr2bl w:val="nil"/>
            </w:tcBorders>
            <w:shd w:val="clear" w:color="auto" w:fill="auto"/>
            <w:noWrap w:val="0"/>
            <w:vAlign w:val="center"/>
          </w:tcPr>
          <w:p w14:paraId="00C72FC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0.026</w:t>
            </w:r>
          </w:p>
        </w:tc>
        <w:tc>
          <w:tcPr>
            <w:tcW w:w="1267" w:type="dxa"/>
            <w:tcBorders>
              <w:tl2br w:val="nil"/>
              <w:tr2bl w:val="nil"/>
            </w:tcBorders>
            <w:shd w:val="clear" w:color="auto" w:fill="auto"/>
            <w:noWrap w:val="0"/>
            <w:vAlign w:val="center"/>
          </w:tcPr>
          <w:p w14:paraId="0DA263B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0.237</w:t>
            </w:r>
          </w:p>
        </w:tc>
        <w:tc>
          <w:tcPr>
            <w:tcW w:w="1458" w:type="dxa"/>
            <w:tcBorders>
              <w:tl2br w:val="nil"/>
              <w:tr2bl w:val="nil"/>
            </w:tcBorders>
            <w:shd w:val="clear" w:color="auto" w:fill="auto"/>
            <w:noWrap w:val="0"/>
            <w:vAlign w:val="center"/>
          </w:tcPr>
          <w:p w14:paraId="7906DC7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0.061</w:t>
            </w:r>
          </w:p>
        </w:tc>
        <w:tc>
          <w:tcPr>
            <w:tcW w:w="1448" w:type="dxa"/>
            <w:tcBorders>
              <w:tl2br w:val="nil"/>
              <w:tr2bl w:val="nil"/>
            </w:tcBorders>
            <w:shd w:val="clear" w:color="auto" w:fill="auto"/>
            <w:noWrap w:val="0"/>
            <w:vAlign w:val="center"/>
          </w:tcPr>
          <w:p w14:paraId="58CF5FE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0.632</w:t>
            </w:r>
          </w:p>
        </w:tc>
      </w:tr>
      <w:tr w14:paraId="4936D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7DB95B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36</w:t>
            </w:r>
          </w:p>
        </w:tc>
        <w:tc>
          <w:tcPr>
            <w:tcW w:w="1300" w:type="dxa"/>
            <w:tcBorders>
              <w:tl2br w:val="nil"/>
              <w:tr2bl w:val="nil"/>
            </w:tcBorders>
            <w:shd w:val="clear" w:color="auto" w:fill="auto"/>
            <w:noWrap w:val="0"/>
            <w:vAlign w:val="center"/>
          </w:tcPr>
          <w:p w14:paraId="31DAB2A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0.051</w:t>
            </w:r>
          </w:p>
        </w:tc>
        <w:tc>
          <w:tcPr>
            <w:tcW w:w="1266" w:type="dxa"/>
            <w:tcBorders>
              <w:tl2br w:val="nil"/>
              <w:tr2bl w:val="nil"/>
            </w:tcBorders>
            <w:shd w:val="clear" w:color="auto" w:fill="auto"/>
            <w:noWrap w:val="0"/>
            <w:vAlign w:val="center"/>
          </w:tcPr>
          <w:p w14:paraId="2230E7A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0.346</w:t>
            </w:r>
          </w:p>
        </w:tc>
        <w:tc>
          <w:tcPr>
            <w:tcW w:w="1300" w:type="dxa"/>
            <w:tcBorders>
              <w:tl2br w:val="nil"/>
              <w:tr2bl w:val="nil"/>
            </w:tcBorders>
            <w:shd w:val="clear" w:color="auto" w:fill="auto"/>
            <w:noWrap w:val="0"/>
            <w:vAlign w:val="center"/>
          </w:tcPr>
          <w:p w14:paraId="18B513E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0.025</w:t>
            </w:r>
          </w:p>
        </w:tc>
        <w:tc>
          <w:tcPr>
            <w:tcW w:w="1267" w:type="dxa"/>
            <w:tcBorders>
              <w:tl2br w:val="nil"/>
              <w:tr2bl w:val="nil"/>
            </w:tcBorders>
            <w:shd w:val="clear" w:color="auto" w:fill="auto"/>
            <w:noWrap w:val="0"/>
            <w:vAlign w:val="center"/>
          </w:tcPr>
          <w:p w14:paraId="4FEA72B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0.227</w:t>
            </w:r>
          </w:p>
        </w:tc>
        <w:tc>
          <w:tcPr>
            <w:tcW w:w="1458" w:type="dxa"/>
            <w:tcBorders>
              <w:tl2br w:val="nil"/>
              <w:tr2bl w:val="nil"/>
            </w:tcBorders>
            <w:shd w:val="clear" w:color="auto" w:fill="auto"/>
            <w:noWrap w:val="0"/>
            <w:vAlign w:val="center"/>
          </w:tcPr>
          <w:p w14:paraId="6CBE1AC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0.060</w:t>
            </w:r>
          </w:p>
        </w:tc>
        <w:tc>
          <w:tcPr>
            <w:tcW w:w="1448" w:type="dxa"/>
            <w:tcBorders>
              <w:tl2br w:val="nil"/>
              <w:tr2bl w:val="nil"/>
            </w:tcBorders>
            <w:shd w:val="clear" w:color="auto" w:fill="auto"/>
            <w:noWrap w:val="0"/>
            <w:vAlign w:val="center"/>
          </w:tcPr>
          <w:p w14:paraId="692148D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0.601</w:t>
            </w:r>
          </w:p>
        </w:tc>
      </w:tr>
      <w:tr w14:paraId="24A8F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CFC99E4">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37</w:t>
            </w:r>
          </w:p>
        </w:tc>
        <w:tc>
          <w:tcPr>
            <w:tcW w:w="1300" w:type="dxa"/>
            <w:tcBorders>
              <w:tl2br w:val="nil"/>
              <w:tr2bl w:val="nil"/>
            </w:tcBorders>
            <w:shd w:val="clear" w:color="auto" w:fill="auto"/>
            <w:noWrap w:val="0"/>
            <w:vAlign w:val="center"/>
          </w:tcPr>
          <w:p w14:paraId="018C75D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0.047</w:t>
            </w:r>
          </w:p>
        </w:tc>
        <w:tc>
          <w:tcPr>
            <w:tcW w:w="1266" w:type="dxa"/>
            <w:tcBorders>
              <w:tl2br w:val="nil"/>
              <w:tr2bl w:val="nil"/>
            </w:tcBorders>
            <w:shd w:val="clear" w:color="auto" w:fill="auto"/>
            <w:noWrap w:val="0"/>
            <w:vAlign w:val="center"/>
          </w:tcPr>
          <w:p w14:paraId="7701EAD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0.328</w:t>
            </w:r>
          </w:p>
        </w:tc>
        <w:tc>
          <w:tcPr>
            <w:tcW w:w="1300" w:type="dxa"/>
            <w:tcBorders>
              <w:tl2br w:val="nil"/>
              <w:tr2bl w:val="nil"/>
            </w:tcBorders>
            <w:shd w:val="clear" w:color="auto" w:fill="auto"/>
            <w:noWrap w:val="0"/>
            <w:vAlign w:val="center"/>
          </w:tcPr>
          <w:p w14:paraId="243FE83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0.024</w:t>
            </w:r>
          </w:p>
        </w:tc>
        <w:tc>
          <w:tcPr>
            <w:tcW w:w="1267" w:type="dxa"/>
            <w:tcBorders>
              <w:tl2br w:val="nil"/>
              <w:tr2bl w:val="nil"/>
            </w:tcBorders>
            <w:shd w:val="clear" w:color="auto" w:fill="auto"/>
            <w:noWrap w:val="0"/>
            <w:vAlign w:val="center"/>
          </w:tcPr>
          <w:p w14:paraId="5F11B69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0.217</w:t>
            </w:r>
          </w:p>
        </w:tc>
        <w:tc>
          <w:tcPr>
            <w:tcW w:w="1458" w:type="dxa"/>
            <w:tcBorders>
              <w:tl2br w:val="nil"/>
              <w:tr2bl w:val="nil"/>
            </w:tcBorders>
            <w:shd w:val="clear" w:color="auto" w:fill="auto"/>
            <w:noWrap w:val="0"/>
            <w:vAlign w:val="center"/>
          </w:tcPr>
          <w:p w14:paraId="2F01B5B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0.059</w:t>
            </w:r>
          </w:p>
        </w:tc>
        <w:tc>
          <w:tcPr>
            <w:tcW w:w="1448" w:type="dxa"/>
            <w:tcBorders>
              <w:tl2br w:val="nil"/>
              <w:tr2bl w:val="nil"/>
            </w:tcBorders>
            <w:shd w:val="clear" w:color="auto" w:fill="auto"/>
            <w:noWrap w:val="0"/>
            <w:vAlign w:val="center"/>
          </w:tcPr>
          <w:p w14:paraId="5FB8027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0.571</w:t>
            </w:r>
          </w:p>
        </w:tc>
      </w:tr>
      <w:tr w14:paraId="3D39E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E56BB0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38</w:t>
            </w:r>
          </w:p>
        </w:tc>
        <w:tc>
          <w:tcPr>
            <w:tcW w:w="1300" w:type="dxa"/>
            <w:tcBorders>
              <w:tl2br w:val="nil"/>
              <w:tr2bl w:val="nil"/>
            </w:tcBorders>
            <w:shd w:val="clear" w:color="auto" w:fill="auto"/>
            <w:noWrap w:val="0"/>
            <w:vAlign w:val="center"/>
          </w:tcPr>
          <w:p w14:paraId="2B5C692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0.044</w:t>
            </w:r>
          </w:p>
        </w:tc>
        <w:tc>
          <w:tcPr>
            <w:tcW w:w="1266" w:type="dxa"/>
            <w:tcBorders>
              <w:tl2br w:val="nil"/>
              <w:tr2bl w:val="nil"/>
            </w:tcBorders>
            <w:shd w:val="clear" w:color="auto" w:fill="auto"/>
            <w:noWrap w:val="0"/>
            <w:vAlign w:val="center"/>
          </w:tcPr>
          <w:p w14:paraId="7202490A">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0.312</w:t>
            </w:r>
          </w:p>
        </w:tc>
        <w:tc>
          <w:tcPr>
            <w:tcW w:w="1300" w:type="dxa"/>
            <w:tcBorders>
              <w:tl2br w:val="nil"/>
              <w:tr2bl w:val="nil"/>
            </w:tcBorders>
            <w:shd w:val="clear" w:color="auto" w:fill="auto"/>
            <w:noWrap w:val="0"/>
            <w:vAlign w:val="center"/>
          </w:tcPr>
          <w:p w14:paraId="60C483E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0.024</w:t>
            </w:r>
          </w:p>
        </w:tc>
        <w:tc>
          <w:tcPr>
            <w:tcW w:w="1267" w:type="dxa"/>
            <w:tcBorders>
              <w:tl2br w:val="nil"/>
              <w:tr2bl w:val="nil"/>
            </w:tcBorders>
            <w:shd w:val="clear" w:color="auto" w:fill="auto"/>
            <w:noWrap w:val="0"/>
            <w:vAlign w:val="center"/>
          </w:tcPr>
          <w:p w14:paraId="57E81BC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0.208</w:t>
            </w:r>
          </w:p>
        </w:tc>
        <w:tc>
          <w:tcPr>
            <w:tcW w:w="1458" w:type="dxa"/>
            <w:tcBorders>
              <w:tl2br w:val="nil"/>
              <w:tr2bl w:val="nil"/>
            </w:tcBorders>
            <w:shd w:val="clear" w:color="auto" w:fill="auto"/>
            <w:noWrap w:val="0"/>
            <w:vAlign w:val="center"/>
          </w:tcPr>
          <w:p w14:paraId="12F9808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0.058</w:t>
            </w:r>
          </w:p>
        </w:tc>
        <w:tc>
          <w:tcPr>
            <w:tcW w:w="1448" w:type="dxa"/>
            <w:tcBorders>
              <w:tl2br w:val="nil"/>
              <w:tr2bl w:val="nil"/>
            </w:tcBorders>
            <w:shd w:val="clear" w:color="auto" w:fill="auto"/>
            <w:noWrap w:val="0"/>
            <w:vAlign w:val="center"/>
          </w:tcPr>
          <w:p w14:paraId="352C14F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0.544</w:t>
            </w:r>
          </w:p>
        </w:tc>
      </w:tr>
      <w:tr w14:paraId="76BD3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06229B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39</w:t>
            </w:r>
          </w:p>
        </w:tc>
        <w:tc>
          <w:tcPr>
            <w:tcW w:w="1300" w:type="dxa"/>
            <w:tcBorders>
              <w:tl2br w:val="nil"/>
              <w:tr2bl w:val="nil"/>
            </w:tcBorders>
            <w:shd w:val="clear" w:color="auto" w:fill="auto"/>
            <w:noWrap w:val="0"/>
            <w:vAlign w:val="center"/>
          </w:tcPr>
          <w:p w14:paraId="598EDD31">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0.041</w:t>
            </w:r>
          </w:p>
        </w:tc>
        <w:tc>
          <w:tcPr>
            <w:tcW w:w="1266" w:type="dxa"/>
            <w:tcBorders>
              <w:tl2br w:val="nil"/>
              <w:tr2bl w:val="nil"/>
            </w:tcBorders>
            <w:shd w:val="clear" w:color="auto" w:fill="auto"/>
            <w:noWrap w:val="0"/>
            <w:vAlign w:val="center"/>
          </w:tcPr>
          <w:p w14:paraId="28BA4BF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0.297</w:t>
            </w:r>
          </w:p>
        </w:tc>
        <w:tc>
          <w:tcPr>
            <w:tcW w:w="1300" w:type="dxa"/>
            <w:tcBorders>
              <w:tl2br w:val="nil"/>
              <w:tr2bl w:val="nil"/>
            </w:tcBorders>
            <w:shd w:val="clear" w:color="auto" w:fill="auto"/>
            <w:noWrap w:val="0"/>
            <w:vAlign w:val="center"/>
          </w:tcPr>
          <w:p w14:paraId="7EB1B8B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0.023</w:t>
            </w:r>
          </w:p>
        </w:tc>
        <w:tc>
          <w:tcPr>
            <w:tcW w:w="1267" w:type="dxa"/>
            <w:tcBorders>
              <w:tl2br w:val="nil"/>
              <w:tr2bl w:val="nil"/>
            </w:tcBorders>
            <w:shd w:val="clear" w:color="auto" w:fill="auto"/>
            <w:noWrap w:val="0"/>
            <w:vAlign w:val="center"/>
          </w:tcPr>
          <w:p w14:paraId="453A7B7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0.199</w:t>
            </w:r>
          </w:p>
        </w:tc>
        <w:tc>
          <w:tcPr>
            <w:tcW w:w="1458" w:type="dxa"/>
            <w:tcBorders>
              <w:tl2br w:val="nil"/>
              <w:tr2bl w:val="nil"/>
            </w:tcBorders>
            <w:shd w:val="clear" w:color="auto" w:fill="auto"/>
            <w:noWrap w:val="0"/>
            <w:vAlign w:val="center"/>
          </w:tcPr>
          <w:p w14:paraId="1B24064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0.057</w:t>
            </w:r>
          </w:p>
        </w:tc>
        <w:tc>
          <w:tcPr>
            <w:tcW w:w="1448" w:type="dxa"/>
            <w:tcBorders>
              <w:tl2br w:val="nil"/>
              <w:tr2bl w:val="nil"/>
            </w:tcBorders>
            <w:shd w:val="clear" w:color="auto" w:fill="auto"/>
            <w:noWrap w:val="0"/>
            <w:vAlign w:val="center"/>
          </w:tcPr>
          <w:p w14:paraId="40BA6012">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0.518</w:t>
            </w:r>
          </w:p>
        </w:tc>
      </w:tr>
      <w:tr w14:paraId="032484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E6CC897">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40</w:t>
            </w:r>
          </w:p>
        </w:tc>
        <w:tc>
          <w:tcPr>
            <w:tcW w:w="1300" w:type="dxa"/>
            <w:tcBorders>
              <w:tl2br w:val="nil"/>
              <w:tr2bl w:val="nil"/>
            </w:tcBorders>
            <w:shd w:val="clear" w:color="auto" w:fill="auto"/>
            <w:noWrap w:val="0"/>
            <w:vAlign w:val="center"/>
          </w:tcPr>
          <w:p w14:paraId="50BC1A75">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0.038</w:t>
            </w:r>
          </w:p>
        </w:tc>
        <w:tc>
          <w:tcPr>
            <w:tcW w:w="1266" w:type="dxa"/>
            <w:tcBorders>
              <w:tl2br w:val="nil"/>
              <w:tr2bl w:val="nil"/>
            </w:tcBorders>
            <w:shd w:val="clear" w:color="auto" w:fill="auto"/>
            <w:noWrap w:val="0"/>
            <w:vAlign w:val="center"/>
          </w:tcPr>
          <w:p w14:paraId="181A70C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0.283</w:t>
            </w:r>
          </w:p>
        </w:tc>
        <w:tc>
          <w:tcPr>
            <w:tcW w:w="1300" w:type="dxa"/>
            <w:tcBorders>
              <w:tl2br w:val="nil"/>
              <w:tr2bl w:val="nil"/>
            </w:tcBorders>
            <w:shd w:val="clear" w:color="auto" w:fill="auto"/>
            <w:noWrap w:val="0"/>
            <w:vAlign w:val="center"/>
          </w:tcPr>
          <w:p w14:paraId="621D8FD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0.023</w:t>
            </w:r>
          </w:p>
        </w:tc>
        <w:tc>
          <w:tcPr>
            <w:tcW w:w="1267" w:type="dxa"/>
            <w:tcBorders>
              <w:tl2br w:val="nil"/>
              <w:tr2bl w:val="nil"/>
            </w:tcBorders>
            <w:shd w:val="clear" w:color="auto" w:fill="auto"/>
            <w:noWrap w:val="0"/>
            <w:vAlign w:val="center"/>
          </w:tcPr>
          <w:p w14:paraId="081B99A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0.191</w:t>
            </w:r>
          </w:p>
        </w:tc>
        <w:tc>
          <w:tcPr>
            <w:tcW w:w="1458" w:type="dxa"/>
            <w:tcBorders>
              <w:tl2br w:val="nil"/>
              <w:tr2bl w:val="nil"/>
            </w:tcBorders>
            <w:shd w:val="clear" w:color="auto" w:fill="auto"/>
            <w:noWrap w:val="0"/>
            <w:vAlign w:val="center"/>
          </w:tcPr>
          <w:p w14:paraId="3177A13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0.056</w:t>
            </w:r>
          </w:p>
        </w:tc>
        <w:tc>
          <w:tcPr>
            <w:tcW w:w="1448" w:type="dxa"/>
            <w:tcBorders>
              <w:tl2br w:val="nil"/>
              <w:tr2bl w:val="nil"/>
            </w:tcBorders>
            <w:shd w:val="clear" w:color="auto" w:fill="auto"/>
            <w:noWrap w:val="0"/>
            <w:vAlign w:val="center"/>
          </w:tcPr>
          <w:p w14:paraId="53EE2C5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0.495</w:t>
            </w:r>
          </w:p>
        </w:tc>
      </w:tr>
      <w:tr w14:paraId="6A70B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056BB711">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41</w:t>
            </w:r>
          </w:p>
        </w:tc>
        <w:tc>
          <w:tcPr>
            <w:tcW w:w="1300" w:type="dxa"/>
            <w:tcBorders>
              <w:tl2br w:val="nil"/>
              <w:tr2bl w:val="nil"/>
            </w:tcBorders>
            <w:shd w:val="clear" w:color="auto" w:fill="auto"/>
            <w:noWrap w:val="0"/>
            <w:vAlign w:val="center"/>
          </w:tcPr>
          <w:p w14:paraId="337A11B9">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0.036</w:t>
            </w:r>
          </w:p>
        </w:tc>
        <w:tc>
          <w:tcPr>
            <w:tcW w:w="1266" w:type="dxa"/>
            <w:tcBorders>
              <w:tl2br w:val="nil"/>
              <w:tr2bl w:val="nil"/>
            </w:tcBorders>
            <w:shd w:val="clear" w:color="auto" w:fill="auto"/>
            <w:noWrap w:val="0"/>
            <w:vAlign w:val="center"/>
          </w:tcPr>
          <w:p w14:paraId="7BB394B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0.270</w:t>
            </w:r>
          </w:p>
        </w:tc>
        <w:tc>
          <w:tcPr>
            <w:tcW w:w="1300" w:type="dxa"/>
            <w:tcBorders>
              <w:tl2br w:val="nil"/>
              <w:tr2bl w:val="nil"/>
            </w:tcBorders>
            <w:shd w:val="clear" w:color="auto" w:fill="auto"/>
            <w:noWrap w:val="0"/>
            <w:vAlign w:val="center"/>
          </w:tcPr>
          <w:p w14:paraId="4678BF2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0.022</w:t>
            </w:r>
          </w:p>
        </w:tc>
        <w:tc>
          <w:tcPr>
            <w:tcW w:w="1267" w:type="dxa"/>
            <w:tcBorders>
              <w:tl2br w:val="nil"/>
              <w:tr2bl w:val="nil"/>
            </w:tcBorders>
            <w:shd w:val="clear" w:color="auto" w:fill="auto"/>
            <w:noWrap w:val="0"/>
            <w:vAlign w:val="center"/>
          </w:tcPr>
          <w:p w14:paraId="6FF18F0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0.184</w:t>
            </w:r>
          </w:p>
        </w:tc>
        <w:tc>
          <w:tcPr>
            <w:tcW w:w="1458" w:type="dxa"/>
            <w:tcBorders>
              <w:tl2br w:val="nil"/>
              <w:tr2bl w:val="nil"/>
            </w:tcBorders>
            <w:shd w:val="clear" w:color="auto" w:fill="auto"/>
            <w:noWrap w:val="0"/>
            <w:vAlign w:val="center"/>
          </w:tcPr>
          <w:p w14:paraId="4905861C">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0.055</w:t>
            </w:r>
          </w:p>
        </w:tc>
        <w:tc>
          <w:tcPr>
            <w:tcW w:w="1448" w:type="dxa"/>
            <w:tcBorders>
              <w:tl2br w:val="nil"/>
              <w:tr2bl w:val="nil"/>
            </w:tcBorders>
            <w:shd w:val="clear" w:color="auto" w:fill="auto"/>
            <w:noWrap w:val="0"/>
            <w:vAlign w:val="center"/>
          </w:tcPr>
          <w:p w14:paraId="0C99157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0.472</w:t>
            </w:r>
          </w:p>
        </w:tc>
      </w:tr>
      <w:tr w14:paraId="42A3B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66B13BC1">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42</w:t>
            </w:r>
          </w:p>
        </w:tc>
        <w:tc>
          <w:tcPr>
            <w:tcW w:w="1300" w:type="dxa"/>
            <w:tcBorders>
              <w:tl2br w:val="nil"/>
              <w:tr2bl w:val="nil"/>
            </w:tcBorders>
            <w:shd w:val="clear" w:color="auto" w:fill="auto"/>
            <w:noWrap w:val="0"/>
            <w:vAlign w:val="center"/>
          </w:tcPr>
          <w:p w14:paraId="41DDD726">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0.034</w:t>
            </w:r>
          </w:p>
        </w:tc>
        <w:tc>
          <w:tcPr>
            <w:tcW w:w="1266" w:type="dxa"/>
            <w:tcBorders>
              <w:tl2br w:val="nil"/>
              <w:tr2bl w:val="nil"/>
            </w:tcBorders>
            <w:shd w:val="clear" w:color="auto" w:fill="auto"/>
            <w:noWrap w:val="0"/>
            <w:vAlign w:val="center"/>
          </w:tcPr>
          <w:p w14:paraId="67BD551C">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0.258</w:t>
            </w:r>
          </w:p>
        </w:tc>
        <w:tc>
          <w:tcPr>
            <w:tcW w:w="1300" w:type="dxa"/>
            <w:tcBorders>
              <w:tl2br w:val="nil"/>
              <w:tr2bl w:val="nil"/>
            </w:tcBorders>
            <w:shd w:val="clear" w:color="auto" w:fill="auto"/>
            <w:noWrap w:val="0"/>
            <w:vAlign w:val="center"/>
          </w:tcPr>
          <w:p w14:paraId="1033952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0.022</w:t>
            </w:r>
          </w:p>
        </w:tc>
        <w:tc>
          <w:tcPr>
            <w:tcW w:w="1267" w:type="dxa"/>
            <w:tcBorders>
              <w:tl2br w:val="nil"/>
              <w:tr2bl w:val="nil"/>
            </w:tcBorders>
            <w:shd w:val="clear" w:color="auto" w:fill="auto"/>
            <w:noWrap w:val="0"/>
            <w:vAlign w:val="center"/>
          </w:tcPr>
          <w:p w14:paraId="3648C0D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0.177</w:t>
            </w:r>
          </w:p>
        </w:tc>
        <w:tc>
          <w:tcPr>
            <w:tcW w:w="1458" w:type="dxa"/>
            <w:tcBorders>
              <w:tl2br w:val="nil"/>
              <w:tr2bl w:val="nil"/>
            </w:tcBorders>
            <w:shd w:val="clear" w:color="auto" w:fill="auto"/>
            <w:noWrap w:val="0"/>
            <w:vAlign w:val="center"/>
          </w:tcPr>
          <w:p w14:paraId="40EC58E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0.054</w:t>
            </w:r>
          </w:p>
        </w:tc>
        <w:tc>
          <w:tcPr>
            <w:tcW w:w="1448" w:type="dxa"/>
            <w:tcBorders>
              <w:tl2br w:val="nil"/>
              <w:tr2bl w:val="nil"/>
            </w:tcBorders>
            <w:shd w:val="clear" w:color="auto" w:fill="auto"/>
            <w:noWrap w:val="0"/>
            <w:vAlign w:val="center"/>
          </w:tcPr>
          <w:p w14:paraId="20F72DC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0.452</w:t>
            </w:r>
          </w:p>
        </w:tc>
      </w:tr>
      <w:tr w14:paraId="3416F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7042CC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43</w:t>
            </w:r>
          </w:p>
        </w:tc>
        <w:tc>
          <w:tcPr>
            <w:tcW w:w="1300" w:type="dxa"/>
            <w:tcBorders>
              <w:tl2br w:val="nil"/>
              <w:tr2bl w:val="nil"/>
            </w:tcBorders>
            <w:shd w:val="clear" w:color="auto" w:fill="auto"/>
            <w:noWrap w:val="0"/>
            <w:vAlign w:val="center"/>
          </w:tcPr>
          <w:p w14:paraId="394D700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0.031</w:t>
            </w:r>
          </w:p>
        </w:tc>
        <w:tc>
          <w:tcPr>
            <w:tcW w:w="1266" w:type="dxa"/>
            <w:tcBorders>
              <w:tl2br w:val="nil"/>
              <w:tr2bl w:val="nil"/>
            </w:tcBorders>
            <w:shd w:val="clear" w:color="auto" w:fill="auto"/>
            <w:noWrap w:val="0"/>
            <w:vAlign w:val="center"/>
          </w:tcPr>
          <w:p w14:paraId="682306C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0.247</w:t>
            </w:r>
          </w:p>
        </w:tc>
        <w:tc>
          <w:tcPr>
            <w:tcW w:w="1300" w:type="dxa"/>
            <w:tcBorders>
              <w:tl2br w:val="nil"/>
              <w:tr2bl w:val="nil"/>
            </w:tcBorders>
            <w:shd w:val="clear" w:color="auto" w:fill="auto"/>
            <w:noWrap w:val="0"/>
            <w:vAlign w:val="center"/>
          </w:tcPr>
          <w:p w14:paraId="5EA3486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0.021</w:t>
            </w:r>
          </w:p>
        </w:tc>
        <w:tc>
          <w:tcPr>
            <w:tcW w:w="1267" w:type="dxa"/>
            <w:tcBorders>
              <w:tl2br w:val="nil"/>
              <w:tr2bl w:val="nil"/>
            </w:tcBorders>
            <w:shd w:val="clear" w:color="auto" w:fill="auto"/>
            <w:noWrap w:val="0"/>
            <w:vAlign w:val="center"/>
          </w:tcPr>
          <w:p w14:paraId="17F46B9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0.170</w:t>
            </w:r>
          </w:p>
        </w:tc>
        <w:tc>
          <w:tcPr>
            <w:tcW w:w="1458" w:type="dxa"/>
            <w:tcBorders>
              <w:tl2br w:val="nil"/>
              <w:tr2bl w:val="nil"/>
            </w:tcBorders>
            <w:shd w:val="clear" w:color="auto" w:fill="auto"/>
            <w:noWrap w:val="0"/>
            <w:vAlign w:val="center"/>
          </w:tcPr>
          <w:p w14:paraId="27C8876E">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0.052</w:t>
            </w:r>
          </w:p>
        </w:tc>
        <w:tc>
          <w:tcPr>
            <w:tcW w:w="1448" w:type="dxa"/>
            <w:tcBorders>
              <w:tl2br w:val="nil"/>
              <w:tr2bl w:val="nil"/>
            </w:tcBorders>
            <w:shd w:val="clear" w:color="auto" w:fill="auto"/>
            <w:noWrap w:val="0"/>
            <w:vAlign w:val="center"/>
          </w:tcPr>
          <w:p w14:paraId="15E18F1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0.432</w:t>
            </w:r>
          </w:p>
        </w:tc>
      </w:tr>
      <w:tr w14:paraId="1B4DD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59C70090">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44</w:t>
            </w:r>
          </w:p>
        </w:tc>
        <w:tc>
          <w:tcPr>
            <w:tcW w:w="1300" w:type="dxa"/>
            <w:tcBorders>
              <w:tl2br w:val="nil"/>
              <w:tr2bl w:val="nil"/>
            </w:tcBorders>
            <w:shd w:val="clear" w:color="auto" w:fill="auto"/>
            <w:noWrap w:val="0"/>
            <w:vAlign w:val="center"/>
          </w:tcPr>
          <w:p w14:paraId="3A756712">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0.030</w:t>
            </w:r>
          </w:p>
        </w:tc>
        <w:tc>
          <w:tcPr>
            <w:tcW w:w="1266" w:type="dxa"/>
            <w:tcBorders>
              <w:tl2br w:val="nil"/>
              <w:tr2bl w:val="nil"/>
            </w:tcBorders>
            <w:shd w:val="clear" w:color="auto" w:fill="auto"/>
            <w:noWrap w:val="0"/>
            <w:vAlign w:val="center"/>
          </w:tcPr>
          <w:p w14:paraId="63E051D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0.236</w:t>
            </w:r>
          </w:p>
        </w:tc>
        <w:tc>
          <w:tcPr>
            <w:tcW w:w="1300" w:type="dxa"/>
            <w:tcBorders>
              <w:tl2br w:val="nil"/>
              <w:tr2bl w:val="nil"/>
            </w:tcBorders>
            <w:shd w:val="clear" w:color="auto" w:fill="auto"/>
            <w:noWrap w:val="0"/>
            <w:vAlign w:val="center"/>
          </w:tcPr>
          <w:p w14:paraId="4F5A893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0.021</w:t>
            </w:r>
          </w:p>
        </w:tc>
        <w:tc>
          <w:tcPr>
            <w:tcW w:w="1267" w:type="dxa"/>
            <w:tcBorders>
              <w:tl2br w:val="nil"/>
              <w:tr2bl w:val="nil"/>
            </w:tcBorders>
            <w:shd w:val="clear" w:color="auto" w:fill="auto"/>
            <w:noWrap w:val="0"/>
            <w:vAlign w:val="center"/>
          </w:tcPr>
          <w:p w14:paraId="315CD0D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0.164</w:t>
            </w:r>
          </w:p>
        </w:tc>
        <w:tc>
          <w:tcPr>
            <w:tcW w:w="1458" w:type="dxa"/>
            <w:tcBorders>
              <w:tl2br w:val="nil"/>
              <w:tr2bl w:val="nil"/>
            </w:tcBorders>
            <w:shd w:val="clear" w:color="auto" w:fill="auto"/>
            <w:noWrap w:val="0"/>
            <w:vAlign w:val="center"/>
          </w:tcPr>
          <w:p w14:paraId="6F06D1A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0.051</w:t>
            </w:r>
          </w:p>
        </w:tc>
        <w:tc>
          <w:tcPr>
            <w:tcW w:w="1448" w:type="dxa"/>
            <w:tcBorders>
              <w:tl2br w:val="nil"/>
              <w:tr2bl w:val="nil"/>
            </w:tcBorders>
            <w:shd w:val="clear" w:color="auto" w:fill="auto"/>
            <w:noWrap w:val="0"/>
            <w:vAlign w:val="center"/>
          </w:tcPr>
          <w:p w14:paraId="495BD92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0.414</w:t>
            </w:r>
          </w:p>
        </w:tc>
      </w:tr>
      <w:tr w14:paraId="7C959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E2C20DF">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45</w:t>
            </w:r>
          </w:p>
        </w:tc>
        <w:tc>
          <w:tcPr>
            <w:tcW w:w="1300" w:type="dxa"/>
            <w:tcBorders>
              <w:tl2br w:val="nil"/>
              <w:tr2bl w:val="nil"/>
            </w:tcBorders>
            <w:shd w:val="clear" w:color="auto" w:fill="auto"/>
            <w:noWrap w:val="0"/>
            <w:vAlign w:val="center"/>
          </w:tcPr>
          <w:p w14:paraId="100C1564">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0.028</w:t>
            </w:r>
          </w:p>
        </w:tc>
        <w:tc>
          <w:tcPr>
            <w:tcW w:w="1266" w:type="dxa"/>
            <w:tcBorders>
              <w:tl2br w:val="nil"/>
              <w:tr2bl w:val="nil"/>
            </w:tcBorders>
            <w:shd w:val="clear" w:color="auto" w:fill="auto"/>
            <w:noWrap w:val="0"/>
            <w:vAlign w:val="center"/>
          </w:tcPr>
          <w:p w14:paraId="4746D277">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0.226</w:t>
            </w:r>
          </w:p>
        </w:tc>
        <w:tc>
          <w:tcPr>
            <w:tcW w:w="1300" w:type="dxa"/>
            <w:tcBorders>
              <w:tl2br w:val="nil"/>
              <w:tr2bl w:val="nil"/>
            </w:tcBorders>
            <w:shd w:val="clear" w:color="auto" w:fill="auto"/>
            <w:noWrap w:val="0"/>
            <w:vAlign w:val="center"/>
          </w:tcPr>
          <w:p w14:paraId="58824C96">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0.020</w:t>
            </w:r>
          </w:p>
        </w:tc>
        <w:tc>
          <w:tcPr>
            <w:tcW w:w="1267" w:type="dxa"/>
            <w:tcBorders>
              <w:tl2br w:val="nil"/>
              <w:tr2bl w:val="nil"/>
            </w:tcBorders>
            <w:shd w:val="clear" w:color="auto" w:fill="auto"/>
            <w:noWrap w:val="0"/>
            <w:vAlign w:val="center"/>
          </w:tcPr>
          <w:p w14:paraId="1C10796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0.158</w:t>
            </w:r>
          </w:p>
        </w:tc>
        <w:tc>
          <w:tcPr>
            <w:tcW w:w="1458" w:type="dxa"/>
            <w:tcBorders>
              <w:tl2br w:val="nil"/>
              <w:tr2bl w:val="nil"/>
            </w:tcBorders>
            <w:shd w:val="clear" w:color="auto" w:fill="auto"/>
            <w:noWrap w:val="0"/>
            <w:vAlign w:val="center"/>
          </w:tcPr>
          <w:p w14:paraId="7AB16371">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0.050</w:t>
            </w:r>
          </w:p>
        </w:tc>
        <w:tc>
          <w:tcPr>
            <w:tcW w:w="1448" w:type="dxa"/>
            <w:tcBorders>
              <w:tl2br w:val="nil"/>
              <w:tr2bl w:val="nil"/>
            </w:tcBorders>
            <w:shd w:val="clear" w:color="auto" w:fill="auto"/>
            <w:noWrap w:val="0"/>
            <w:vAlign w:val="center"/>
          </w:tcPr>
          <w:p w14:paraId="68E446F9">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0.397</w:t>
            </w:r>
          </w:p>
        </w:tc>
      </w:tr>
      <w:tr w14:paraId="1AD58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A861A2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46</w:t>
            </w:r>
          </w:p>
        </w:tc>
        <w:tc>
          <w:tcPr>
            <w:tcW w:w="1300" w:type="dxa"/>
            <w:tcBorders>
              <w:tl2br w:val="nil"/>
              <w:tr2bl w:val="nil"/>
            </w:tcBorders>
            <w:shd w:val="clear" w:color="auto" w:fill="auto"/>
            <w:noWrap w:val="0"/>
            <w:vAlign w:val="center"/>
          </w:tcPr>
          <w:p w14:paraId="3233B7CE">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0.026</w:t>
            </w:r>
          </w:p>
        </w:tc>
        <w:tc>
          <w:tcPr>
            <w:tcW w:w="1266" w:type="dxa"/>
            <w:tcBorders>
              <w:tl2br w:val="nil"/>
              <w:tr2bl w:val="nil"/>
            </w:tcBorders>
            <w:shd w:val="clear" w:color="auto" w:fill="auto"/>
            <w:noWrap w:val="0"/>
            <w:vAlign w:val="center"/>
          </w:tcPr>
          <w:p w14:paraId="6E4C4610">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0.217</w:t>
            </w:r>
          </w:p>
        </w:tc>
        <w:tc>
          <w:tcPr>
            <w:tcW w:w="1300" w:type="dxa"/>
            <w:tcBorders>
              <w:tl2br w:val="nil"/>
              <w:tr2bl w:val="nil"/>
            </w:tcBorders>
            <w:shd w:val="clear" w:color="auto" w:fill="auto"/>
            <w:noWrap w:val="0"/>
            <w:vAlign w:val="center"/>
          </w:tcPr>
          <w:p w14:paraId="71E1F36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0.020</w:t>
            </w:r>
          </w:p>
        </w:tc>
        <w:tc>
          <w:tcPr>
            <w:tcW w:w="1267" w:type="dxa"/>
            <w:tcBorders>
              <w:tl2br w:val="nil"/>
              <w:tr2bl w:val="nil"/>
            </w:tcBorders>
            <w:shd w:val="clear" w:color="auto" w:fill="auto"/>
            <w:noWrap w:val="0"/>
            <w:vAlign w:val="center"/>
          </w:tcPr>
          <w:p w14:paraId="14DB97C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0.152</w:t>
            </w:r>
          </w:p>
        </w:tc>
        <w:tc>
          <w:tcPr>
            <w:tcW w:w="1458" w:type="dxa"/>
            <w:tcBorders>
              <w:tl2br w:val="nil"/>
              <w:tr2bl w:val="nil"/>
            </w:tcBorders>
            <w:shd w:val="clear" w:color="auto" w:fill="auto"/>
            <w:noWrap w:val="0"/>
            <w:vAlign w:val="center"/>
          </w:tcPr>
          <w:p w14:paraId="300A157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0.049</w:t>
            </w:r>
          </w:p>
        </w:tc>
        <w:tc>
          <w:tcPr>
            <w:tcW w:w="1448" w:type="dxa"/>
            <w:tcBorders>
              <w:tl2br w:val="nil"/>
              <w:tr2bl w:val="nil"/>
            </w:tcBorders>
            <w:shd w:val="clear" w:color="auto" w:fill="auto"/>
            <w:noWrap w:val="0"/>
            <w:vAlign w:val="center"/>
          </w:tcPr>
          <w:p w14:paraId="12EB817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0.380</w:t>
            </w:r>
          </w:p>
        </w:tc>
      </w:tr>
      <w:tr w14:paraId="4177B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7E1BD049">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47</w:t>
            </w:r>
          </w:p>
        </w:tc>
        <w:tc>
          <w:tcPr>
            <w:tcW w:w="1300" w:type="dxa"/>
            <w:tcBorders>
              <w:tl2br w:val="nil"/>
              <w:tr2bl w:val="nil"/>
            </w:tcBorders>
            <w:shd w:val="clear" w:color="auto" w:fill="auto"/>
            <w:noWrap w:val="0"/>
            <w:vAlign w:val="center"/>
          </w:tcPr>
          <w:p w14:paraId="65ED3BCD">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0.025</w:t>
            </w:r>
          </w:p>
        </w:tc>
        <w:tc>
          <w:tcPr>
            <w:tcW w:w="1266" w:type="dxa"/>
            <w:tcBorders>
              <w:tl2br w:val="nil"/>
              <w:tr2bl w:val="nil"/>
            </w:tcBorders>
            <w:shd w:val="clear" w:color="auto" w:fill="auto"/>
            <w:noWrap w:val="0"/>
            <w:vAlign w:val="center"/>
          </w:tcPr>
          <w:p w14:paraId="1FCCF33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0.208</w:t>
            </w:r>
          </w:p>
        </w:tc>
        <w:tc>
          <w:tcPr>
            <w:tcW w:w="1300" w:type="dxa"/>
            <w:tcBorders>
              <w:tl2br w:val="nil"/>
              <w:tr2bl w:val="nil"/>
            </w:tcBorders>
            <w:shd w:val="clear" w:color="auto" w:fill="auto"/>
            <w:noWrap w:val="0"/>
            <w:vAlign w:val="center"/>
          </w:tcPr>
          <w:p w14:paraId="27EB875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0.019</w:t>
            </w:r>
          </w:p>
        </w:tc>
        <w:tc>
          <w:tcPr>
            <w:tcW w:w="1267" w:type="dxa"/>
            <w:tcBorders>
              <w:tl2br w:val="nil"/>
              <w:tr2bl w:val="nil"/>
            </w:tcBorders>
            <w:shd w:val="clear" w:color="auto" w:fill="auto"/>
            <w:noWrap w:val="0"/>
            <w:vAlign w:val="center"/>
          </w:tcPr>
          <w:p w14:paraId="799099B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0.146</w:t>
            </w:r>
          </w:p>
        </w:tc>
        <w:tc>
          <w:tcPr>
            <w:tcW w:w="1458" w:type="dxa"/>
            <w:tcBorders>
              <w:tl2br w:val="nil"/>
              <w:tr2bl w:val="nil"/>
            </w:tcBorders>
            <w:shd w:val="clear" w:color="auto" w:fill="auto"/>
            <w:noWrap w:val="0"/>
            <w:vAlign w:val="center"/>
          </w:tcPr>
          <w:p w14:paraId="0EF05F57">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0.047</w:t>
            </w:r>
          </w:p>
        </w:tc>
        <w:tc>
          <w:tcPr>
            <w:tcW w:w="1448" w:type="dxa"/>
            <w:tcBorders>
              <w:tl2br w:val="nil"/>
              <w:tr2bl w:val="nil"/>
            </w:tcBorders>
            <w:shd w:val="clear" w:color="auto" w:fill="auto"/>
            <w:noWrap w:val="0"/>
            <w:vAlign w:val="center"/>
          </w:tcPr>
          <w:p w14:paraId="633001F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0.365</w:t>
            </w:r>
          </w:p>
        </w:tc>
      </w:tr>
      <w:tr w14:paraId="3FF3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2AC32CE2">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48</w:t>
            </w:r>
          </w:p>
        </w:tc>
        <w:tc>
          <w:tcPr>
            <w:tcW w:w="1300" w:type="dxa"/>
            <w:tcBorders>
              <w:tl2br w:val="nil"/>
              <w:tr2bl w:val="nil"/>
            </w:tcBorders>
            <w:shd w:val="clear" w:color="auto" w:fill="auto"/>
            <w:noWrap w:val="0"/>
            <w:vAlign w:val="center"/>
          </w:tcPr>
          <w:p w14:paraId="48E10C58">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0.023</w:t>
            </w:r>
          </w:p>
        </w:tc>
        <w:tc>
          <w:tcPr>
            <w:tcW w:w="1266" w:type="dxa"/>
            <w:tcBorders>
              <w:tl2br w:val="nil"/>
              <w:tr2bl w:val="nil"/>
            </w:tcBorders>
            <w:shd w:val="clear" w:color="auto" w:fill="auto"/>
            <w:noWrap w:val="0"/>
            <w:vAlign w:val="center"/>
          </w:tcPr>
          <w:p w14:paraId="0F2A3493">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color w:val="auto"/>
                <w:highlight w:val="none"/>
                <w:vertAlign w:val="baseline"/>
                <w:lang w:eastAsia="zh-CN"/>
              </w:rPr>
              <w:t>0.200</w:t>
            </w:r>
          </w:p>
        </w:tc>
        <w:tc>
          <w:tcPr>
            <w:tcW w:w="1300" w:type="dxa"/>
            <w:tcBorders>
              <w:tl2br w:val="nil"/>
              <w:tr2bl w:val="nil"/>
            </w:tcBorders>
            <w:shd w:val="clear" w:color="auto" w:fill="auto"/>
            <w:noWrap w:val="0"/>
            <w:vAlign w:val="center"/>
          </w:tcPr>
          <w:p w14:paraId="407AEAA4">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0.019</w:t>
            </w:r>
          </w:p>
        </w:tc>
        <w:tc>
          <w:tcPr>
            <w:tcW w:w="1267" w:type="dxa"/>
            <w:tcBorders>
              <w:tl2br w:val="nil"/>
              <w:tr2bl w:val="nil"/>
            </w:tcBorders>
            <w:shd w:val="clear" w:color="auto" w:fill="auto"/>
            <w:noWrap w:val="0"/>
            <w:vAlign w:val="center"/>
          </w:tcPr>
          <w:p w14:paraId="6F470953">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0.141</w:t>
            </w:r>
          </w:p>
        </w:tc>
        <w:tc>
          <w:tcPr>
            <w:tcW w:w="1458" w:type="dxa"/>
            <w:tcBorders>
              <w:tl2br w:val="nil"/>
              <w:tr2bl w:val="nil"/>
            </w:tcBorders>
            <w:shd w:val="clear" w:color="auto" w:fill="auto"/>
            <w:noWrap w:val="0"/>
            <w:vAlign w:val="center"/>
          </w:tcPr>
          <w:p w14:paraId="418C4C5D">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0.046</w:t>
            </w:r>
          </w:p>
        </w:tc>
        <w:tc>
          <w:tcPr>
            <w:tcW w:w="1448" w:type="dxa"/>
            <w:tcBorders>
              <w:tl2br w:val="nil"/>
              <w:tr2bl w:val="nil"/>
            </w:tcBorders>
            <w:shd w:val="clear" w:color="auto" w:fill="auto"/>
            <w:noWrap w:val="0"/>
            <w:vAlign w:val="center"/>
          </w:tcPr>
          <w:p w14:paraId="15C3169F">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0.351</w:t>
            </w:r>
          </w:p>
        </w:tc>
      </w:tr>
      <w:tr w14:paraId="7E6B0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39B98BFE">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49</w:t>
            </w:r>
          </w:p>
        </w:tc>
        <w:tc>
          <w:tcPr>
            <w:tcW w:w="1300" w:type="dxa"/>
            <w:tcBorders>
              <w:tl2br w:val="nil"/>
              <w:tr2bl w:val="nil"/>
            </w:tcBorders>
            <w:shd w:val="clear" w:color="auto" w:fill="auto"/>
            <w:noWrap w:val="0"/>
            <w:vAlign w:val="center"/>
          </w:tcPr>
          <w:p w14:paraId="177AE3EB">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0.022</w:t>
            </w:r>
          </w:p>
        </w:tc>
        <w:tc>
          <w:tcPr>
            <w:tcW w:w="1266" w:type="dxa"/>
            <w:tcBorders>
              <w:tl2br w:val="nil"/>
              <w:tr2bl w:val="nil"/>
            </w:tcBorders>
            <w:shd w:val="clear" w:color="auto" w:fill="auto"/>
            <w:noWrap w:val="0"/>
            <w:vAlign w:val="center"/>
          </w:tcPr>
          <w:p w14:paraId="17448B8F">
            <w:pPr>
              <w:pStyle w:val="5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0.191</w:t>
            </w:r>
          </w:p>
        </w:tc>
        <w:tc>
          <w:tcPr>
            <w:tcW w:w="1300" w:type="dxa"/>
            <w:tcBorders>
              <w:tl2br w:val="nil"/>
              <w:tr2bl w:val="nil"/>
            </w:tcBorders>
            <w:shd w:val="clear" w:color="auto" w:fill="auto"/>
            <w:noWrap w:val="0"/>
            <w:vAlign w:val="center"/>
          </w:tcPr>
          <w:p w14:paraId="401C35E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0.018</w:t>
            </w:r>
          </w:p>
        </w:tc>
        <w:tc>
          <w:tcPr>
            <w:tcW w:w="1267" w:type="dxa"/>
            <w:tcBorders>
              <w:tl2br w:val="nil"/>
              <w:tr2bl w:val="nil"/>
            </w:tcBorders>
            <w:shd w:val="clear" w:color="auto" w:fill="auto"/>
            <w:noWrap w:val="0"/>
            <w:vAlign w:val="center"/>
          </w:tcPr>
          <w:p w14:paraId="0BCB780A">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0.136</w:t>
            </w:r>
          </w:p>
        </w:tc>
        <w:tc>
          <w:tcPr>
            <w:tcW w:w="1458" w:type="dxa"/>
            <w:tcBorders>
              <w:tl2br w:val="nil"/>
              <w:tr2bl w:val="nil"/>
            </w:tcBorders>
            <w:shd w:val="clear" w:color="auto" w:fill="auto"/>
            <w:noWrap w:val="0"/>
            <w:vAlign w:val="center"/>
          </w:tcPr>
          <w:p w14:paraId="17E478F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w:t>
            </w:r>
            <w:r>
              <w:rPr>
                <w:rFonts w:hint="eastAsia"/>
                <w:b w:val="0"/>
                <w:color w:val="auto"/>
                <w:highlight w:val="none"/>
                <w:vertAlign w:val="baseline"/>
                <w:lang w:val="en-US" w:eastAsia="zh-CN"/>
              </w:rPr>
              <w:t>5</w:t>
            </w:r>
          </w:p>
        </w:tc>
        <w:tc>
          <w:tcPr>
            <w:tcW w:w="1448" w:type="dxa"/>
            <w:tcBorders>
              <w:tl2br w:val="nil"/>
              <w:tr2bl w:val="nil"/>
            </w:tcBorders>
            <w:shd w:val="clear" w:color="auto" w:fill="auto"/>
            <w:noWrap w:val="0"/>
            <w:vAlign w:val="center"/>
          </w:tcPr>
          <w:p w14:paraId="5281B445">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0.337</w:t>
            </w:r>
          </w:p>
        </w:tc>
      </w:tr>
      <w:tr w14:paraId="50ED3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4FDF708A">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50</w:t>
            </w:r>
          </w:p>
        </w:tc>
        <w:tc>
          <w:tcPr>
            <w:tcW w:w="1300" w:type="dxa"/>
            <w:tcBorders>
              <w:tl2br w:val="nil"/>
              <w:tr2bl w:val="nil"/>
            </w:tcBorders>
            <w:noWrap w:val="0"/>
            <w:vAlign w:val="center"/>
          </w:tcPr>
          <w:p w14:paraId="2F6DC416">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eastAsia"/>
                <w:b w:val="0"/>
                <w:color w:val="auto"/>
                <w:highlight w:val="none"/>
                <w:vertAlign w:val="baseline"/>
                <w:lang w:eastAsia="zh-CN"/>
              </w:rPr>
              <w:t>0.021</w:t>
            </w:r>
          </w:p>
        </w:tc>
        <w:tc>
          <w:tcPr>
            <w:tcW w:w="1266" w:type="dxa"/>
            <w:tcBorders>
              <w:tl2br w:val="nil"/>
              <w:tr2bl w:val="nil"/>
            </w:tcBorders>
            <w:noWrap w:val="0"/>
            <w:vAlign w:val="center"/>
          </w:tcPr>
          <w:p w14:paraId="23E199C3">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val="0"/>
                <w:bCs w:val="0"/>
                <w:color w:val="auto"/>
                <w:sz w:val="21"/>
                <w:szCs w:val="21"/>
                <w:highlight w:val="none"/>
              </w:rPr>
            </w:pPr>
            <w:r>
              <w:rPr>
                <w:rFonts w:hint="eastAsia"/>
                <w:b w:val="0"/>
                <w:color w:val="auto"/>
                <w:highlight w:val="none"/>
                <w:vertAlign w:val="baseline"/>
                <w:lang w:eastAsia="zh-CN"/>
              </w:rPr>
              <w:t>0.185</w:t>
            </w:r>
          </w:p>
        </w:tc>
        <w:tc>
          <w:tcPr>
            <w:tcW w:w="1300" w:type="dxa"/>
            <w:tcBorders>
              <w:tl2br w:val="nil"/>
              <w:tr2bl w:val="nil"/>
            </w:tcBorders>
            <w:shd w:val="clear" w:color="auto" w:fill="auto"/>
            <w:noWrap w:val="0"/>
            <w:vAlign w:val="center"/>
          </w:tcPr>
          <w:p w14:paraId="379AF0C8">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0.018</w:t>
            </w:r>
          </w:p>
        </w:tc>
        <w:tc>
          <w:tcPr>
            <w:tcW w:w="1267" w:type="dxa"/>
            <w:tcBorders>
              <w:tl2br w:val="nil"/>
              <w:tr2bl w:val="nil"/>
            </w:tcBorders>
            <w:shd w:val="clear" w:color="auto" w:fill="auto"/>
            <w:noWrap w:val="0"/>
            <w:vAlign w:val="center"/>
          </w:tcPr>
          <w:p w14:paraId="22D9370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0.132</w:t>
            </w:r>
          </w:p>
        </w:tc>
        <w:tc>
          <w:tcPr>
            <w:tcW w:w="1458" w:type="dxa"/>
            <w:tcBorders>
              <w:tl2br w:val="nil"/>
              <w:tr2bl w:val="nil"/>
            </w:tcBorders>
            <w:shd w:val="clear" w:color="auto" w:fill="auto"/>
            <w:noWrap w:val="0"/>
            <w:vAlign w:val="center"/>
          </w:tcPr>
          <w:p w14:paraId="30A29CC0">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0.044</w:t>
            </w:r>
          </w:p>
        </w:tc>
        <w:tc>
          <w:tcPr>
            <w:tcW w:w="1448" w:type="dxa"/>
            <w:tcBorders>
              <w:tl2br w:val="nil"/>
              <w:tr2bl w:val="nil"/>
            </w:tcBorders>
            <w:shd w:val="clear" w:color="auto" w:fill="auto"/>
            <w:noWrap w:val="0"/>
            <w:vAlign w:val="center"/>
          </w:tcPr>
          <w:p w14:paraId="29E2DC6B">
            <w:pPr>
              <w:pStyle w:val="50"/>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color w:val="auto"/>
                <w:highlight w:val="none"/>
                <w:vertAlign w:val="baseline"/>
                <w:lang w:eastAsia="zh-CN"/>
              </w:rPr>
              <w:t>0.325</w:t>
            </w:r>
          </w:p>
        </w:tc>
      </w:tr>
      <w:tr w14:paraId="6DC2A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7" w:type="dxa"/>
            <w:tcBorders>
              <w:tl2br w:val="nil"/>
              <w:tr2bl w:val="nil"/>
            </w:tcBorders>
            <w:noWrap w:val="0"/>
            <w:vAlign w:val="center"/>
          </w:tcPr>
          <w:p w14:paraId="14C1BCBB">
            <w:pPr>
              <w:pStyle w:val="50"/>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最大值</w:t>
            </w:r>
          </w:p>
        </w:tc>
        <w:tc>
          <w:tcPr>
            <w:tcW w:w="1300" w:type="dxa"/>
            <w:tcBorders>
              <w:tl2br w:val="nil"/>
              <w:tr2bl w:val="nil"/>
            </w:tcBorders>
            <w:noWrap w:val="0"/>
            <w:vAlign w:val="center"/>
          </w:tcPr>
          <w:p w14:paraId="654EE1E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1.060</w:t>
            </w:r>
          </w:p>
        </w:tc>
        <w:tc>
          <w:tcPr>
            <w:tcW w:w="1266" w:type="dxa"/>
            <w:tcBorders>
              <w:tl2br w:val="nil"/>
              <w:tr2bl w:val="nil"/>
            </w:tcBorders>
            <w:noWrap w:val="0"/>
            <w:vAlign w:val="center"/>
          </w:tcPr>
          <w:p w14:paraId="77AD3BB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cs="Times New Roman"/>
                <w:b/>
                <w:bCs/>
                <w:color w:val="auto"/>
                <w:sz w:val="21"/>
                <w:szCs w:val="21"/>
                <w:highlight w:val="none"/>
                <w:lang w:val="en-US"/>
              </w:rPr>
            </w:pPr>
            <w:r>
              <w:rPr>
                <w:rFonts w:hint="eastAsia"/>
                <w:b/>
                <w:bCs/>
                <w:color w:val="auto"/>
                <w:highlight w:val="none"/>
                <w:vertAlign w:val="baseline"/>
                <w:lang w:eastAsia="zh-CN"/>
              </w:rPr>
              <w:t>4.796</w:t>
            </w:r>
          </w:p>
        </w:tc>
        <w:tc>
          <w:tcPr>
            <w:tcW w:w="1300" w:type="dxa"/>
            <w:tcBorders>
              <w:tl2br w:val="nil"/>
              <w:tr2bl w:val="nil"/>
            </w:tcBorders>
            <w:shd w:val="clear" w:color="auto" w:fill="auto"/>
            <w:noWrap w:val="0"/>
            <w:vAlign w:val="center"/>
          </w:tcPr>
          <w:p w14:paraId="14A17021">
            <w:pPr>
              <w:widowControl/>
              <w:jc w:val="center"/>
              <w:textAlignment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vertAlign w:val="baseline"/>
                <w:lang w:eastAsia="zh-CN"/>
              </w:rPr>
              <w:t>1.048</w:t>
            </w:r>
          </w:p>
        </w:tc>
        <w:tc>
          <w:tcPr>
            <w:tcW w:w="1267" w:type="dxa"/>
            <w:tcBorders>
              <w:tl2br w:val="nil"/>
              <w:tr2bl w:val="nil"/>
            </w:tcBorders>
            <w:shd w:val="clear" w:color="auto" w:fill="auto"/>
            <w:noWrap w:val="0"/>
            <w:vAlign w:val="center"/>
          </w:tcPr>
          <w:p w14:paraId="2CAE86B4">
            <w:pPr>
              <w:widowControl/>
              <w:jc w:val="center"/>
              <w:textAlignment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vertAlign w:val="baseline"/>
                <w:lang w:eastAsia="zh-CN"/>
              </w:rPr>
              <w:t>2.968</w:t>
            </w:r>
          </w:p>
        </w:tc>
        <w:tc>
          <w:tcPr>
            <w:tcW w:w="1458" w:type="dxa"/>
            <w:tcBorders>
              <w:tl2br w:val="nil"/>
              <w:tr2bl w:val="nil"/>
            </w:tcBorders>
            <w:shd w:val="clear" w:color="auto" w:fill="auto"/>
            <w:noWrap w:val="0"/>
            <w:vAlign w:val="center"/>
          </w:tcPr>
          <w:p w14:paraId="3E0D2072">
            <w:pPr>
              <w:widowControl/>
              <w:jc w:val="center"/>
              <w:textAlignment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vertAlign w:val="baseline"/>
                <w:lang w:eastAsia="zh-CN"/>
              </w:rPr>
              <w:t>1.382</w:t>
            </w:r>
          </w:p>
        </w:tc>
        <w:tc>
          <w:tcPr>
            <w:tcW w:w="1448" w:type="dxa"/>
            <w:tcBorders>
              <w:tl2br w:val="nil"/>
              <w:tr2bl w:val="nil"/>
            </w:tcBorders>
            <w:shd w:val="clear" w:color="auto" w:fill="auto"/>
            <w:noWrap w:val="0"/>
            <w:vAlign w:val="center"/>
          </w:tcPr>
          <w:p w14:paraId="673B16AD">
            <w:pPr>
              <w:widowControl/>
              <w:jc w:val="center"/>
              <w:textAlignment w:val="center"/>
              <w:rPr>
                <w:rFonts w:hint="default" w:ascii="Times New Roman" w:hAnsi="Times New Roman" w:eastAsia="宋体" w:cs="Times New Roman"/>
                <w:b/>
                <w:bCs/>
                <w:color w:val="auto"/>
                <w:kern w:val="2"/>
                <w:sz w:val="21"/>
                <w:szCs w:val="24"/>
                <w:highlight w:val="none"/>
                <w:lang w:val="en-US" w:eastAsia="zh-CN" w:bidi="ar-SA"/>
              </w:rPr>
            </w:pPr>
            <w:r>
              <w:rPr>
                <w:rFonts w:hint="eastAsia"/>
                <w:b/>
                <w:bCs/>
                <w:color w:val="auto"/>
                <w:highlight w:val="none"/>
                <w:vertAlign w:val="baseline"/>
                <w:lang w:eastAsia="zh-CN"/>
              </w:rPr>
              <w:t>3.613</w:t>
            </w:r>
          </w:p>
        </w:tc>
      </w:tr>
    </w:tbl>
    <w:p w14:paraId="32D816A0">
      <w:pPr>
        <w:pStyle w:val="8"/>
        <w:keepNext w:val="0"/>
        <w:keepLines w:val="0"/>
        <w:pageBreakBefore w:val="0"/>
        <w:kinsoku/>
        <w:wordWrap/>
        <w:overflowPunct/>
        <w:topLinePunct w:val="0"/>
        <w:autoSpaceDE/>
        <w:autoSpaceDN/>
        <w:bidi w:val="0"/>
        <w:adjustRightInd/>
        <w:spacing w:after="0" w:line="240" w:lineRule="auto"/>
        <w:ind w:left="0" w:leftChars="0" w:firstLine="0"/>
        <w:textAlignment w:val="auto"/>
        <w:rPr>
          <w:color w:val="auto"/>
          <w:highlight w:val="none"/>
        </w:rPr>
      </w:pPr>
    </w:p>
    <w:p w14:paraId="3D6695EC">
      <w:pPr>
        <w:pStyle w:val="11"/>
        <w:keepNext w:val="0"/>
        <w:keepLines w:val="0"/>
        <w:pageBreakBefore w:val="0"/>
        <w:widowControl/>
        <w:kinsoku/>
        <w:wordWrap/>
        <w:overflowPunct/>
        <w:topLinePunct w:val="0"/>
        <w:autoSpaceDE/>
        <w:autoSpaceDN/>
        <w:bidi w:val="0"/>
        <w:adjustRightInd/>
        <w:snapToGrid w:val="0"/>
        <w:spacing w:before="0" w:after="0" w:line="240" w:lineRule="auto"/>
        <w:ind w:right="113" w:firstLine="0" w:firstLineChars="0"/>
        <w:textAlignment w:val="auto"/>
        <w:rPr>
          <w:rFonts w:ascii="Times New Roman" w:hAnsi="Times New Roman"/>
          <w:color w:val="auto"/>
          <w:highlight w:val="none"/>
        </w:rPr>
      </w:pPr>
      <w:r>
        <w:rPr>
          <w:color w:val="auto"/>
          <w:highlight w:val="none"/>
        </w:rPr>
        <w:drawing>
          <wp:inline distT="0" distB="0" distL="114300" distR="114300">
            <wp:extent cx="5354320" cy="3231515"/>
            <wp:effectExtent l="4445" t="4445" r="13335" b="21590"/>
            <wp:docPr id="133"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925B1F">
      <w:pPr>
        <w:spacing w:line="360" w:lineRule="auto"/>
        <w:jc w:val="center"/>
        <w:rPr>
          <w:rFonts w:eastAsia="黑体"/>
          <w:b/>
          <w:bCs/>
          <w:color w:val="auto"/>
          <w:sz w:val="24"/>
          <w:highlight w:val="none"/>
        </w:rPr>
      </w:pPr>
      <w:r>
        <w:rPr>
          <w:rFonts w:eastAsia="黑体"/>
          <w:b/>
          <w:bCs/>
          <w:color w:val="auto"/>
          <w:sz w:val="24"/>
          <w:highlight w:val="none"/>
        </w:rPr>
        <w:t>专题图</w:t>
      </w:r>
      <w:r>
        <w:rPr>
          <w:rFonts w:hint="eastAsia" w:eastAsia="黑体"/>
          <w:b/>
          <w:bCs/>
          <w:color w:val="auto"/>
          <w:sz w:val="24"/>
          <w:highlight w:val="none"/>
          <w:lang w:val="en-US" w:eastAsia="zh-CN"/>
        </w:rPr>
        <w:t>4</w:t>
      </w:r>
      <w:r>
        <w:rPr>
          <w:rFonts w:hint="eastAsia" w:eastAsia="黑体"/>
          <w:b/>
          <w:bCs/>
          <w:color w:val="auto"/>
          <w:sz w:val="24"/>
          <w:highlight w:val="none"/>
        </w:rPr>
        <w:t xml:space="preserve"> </w:t>
      </w:r>
      <w:r>
        <w:rPr>
          <w:rFonts w:eastAsia="黑体"/>
          <w:b/>
          <w:bCs/>
          <w:color w:val="auto"/>
          <w:sz w:val="24"/>
          <w:highlight w:val="none"/>
        </w:rPr>
        <w:t xml:space="preserve"> 110千伏线路产生的工频电场强度分布曲线图</w:t>
      </w:r>
    </w:p>
    <w:p w14:paraId="580222E2">
      <w:pPr>
        <w:pStyle w:val="8"/>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eastAsia="黑体"/>
          <w:b/>
          <w:bCs/>
          <w:color w:val="auto"/>
          <w:sz w:val="24"/>
          <w:highlight w:val="none"/>
        </w:rPr>
      </w:pPr>
      <w:r>
        <w:rPr>
          <w:color w:val="auto"/>
          <w:highlight w:val="none"/>
        </w:rPr>
        <w:drawing>
          <wp:inline distT="0" distB="0" distL="114300" distR="114300">
            <wp:extent cx="5367655" cy="3117850"/>
            <wp:effectExtent l="4445" t="4445" r="19050" b="20955"/>
            <wp:docPr id="13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F6E7BE">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eastAsia="黑体"/>
          <w:b/>
          <w:bCs/>
          <w:color w:val="auto"/>
          <w:sz w:val="24"/>
          <w:highlight w:val="none"/>
        </w:rPr>
      </w:pPr>
      <w:r>
        <w:rPr>
          <w:rFonts w:eastAsia="黑体"/>
          <w:b/>
          <w:bCs/>
          <w:color w:val="auto"/>
          <w:sz w:val="24"/>
          <w:highlight w:val="none"/>
        </w:rPr>
        <w:t>专题图</w:t>
      </w:r>
      <w:r>
        <w:rPr>
          <w:rFonts w:hint="eastAsia" w:eastAsia="黑体"/>
          <w:b/>
          <w:bCs/>
          <w:color w:val="auto"/>
          <w:sz w:val="24"/>
          <w:highlight w:val="none"/>
          <w:lang w:val="en-US" w:eastAsia="zh-CN"/>
        </w:rPr>
        <w:t>5</w:t>
      </w:r>
      <w:r>
        <w:rPr>
          <w:rFonts w:eastAsia="黑体"/>
          <w:b/>
          <w:bCs/>
          <w:color w:val="auto"/>
          <w:sz w:val="24"/>
          <w:highlight w:val="none"/>
        </w:rPr>
        <w:t xml:space="preserve">  110千伏线路产生的工频磁感应强度分布曲线图</w:t>
      </w:r>
    </w:p>
    <w:p w14:paraId="49E49901">
      <w:pPr>
        <w:pStyle w:val="8"/>
        <w:spacing w:after="0" w:line="360" w:lineRule="auto"/>
        <w:ind w:left="0" w:leftChars="0" w:firstLine="480" w:firstLineChars="200"/>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pacing w:val="0"/>
          <w:w w:val="100"/>
          <w:position w:val="0"/>
          <w:sz w:val="24"/>
          <w:highlight w:val="none"/>
          <w:lang w:val="en-US" w:eastAsia="zh-CN"/>
        </w:rPr>
        <w:t>本项目</w:t>
      </w:r>
      <w:r>
        <w:rPr>
          <w:rFonts w:hint="default" w:ascii="Times New Roman" w:hAnsi="Times New Roman" w:eastAsia="宋体" w:cs="Times New Roman"/>
          <w:bCs/>
          <w:color w:val="auto"/>
          <w:spacing w:val="0"/>
          <w:w w:val="100"/>
          <w:position w:val="0"/>
          <w:sz w:val="24"/>
          <w:highlight w:val="none"/>
          <w:lang w:val="en-US" w:eastAsia="zh-CN"/>
        </w:rPr>
        <w:t>110千伏</w:t>
      </w:r>
      <w:r>
        <w:rPr>
          <w:rFonts w:hint="eastAsia" w:ascii="Times New Roman" w:hAnsi="Times New Roman" w:cs="Times New Roman"/>
          <w:bCs/>
          <w:color w:val="auto"/>
          <w:spacing w:val="0"/>
          <w:w w:val="100"/>
          <w:position w:val="0"/>
          <w:sz w:val="24"/>
          <w:highlight w:val="none"/>
          <w:lang w:val="en-US" w:eastAsia="zh-CN"/>
        </w:rPr>
        <w:t>线路</w:t>
      </w:r>
      <w:r>
        <w:rPr>
          <w:rFonts w:hint="eastAsia" w:ascii="Times New Roman" w:hAnsi="Times New Roman" w:eastAsia="宋体" w:cs="Times New Roman"/>
          <w:bCs/>
          <w:color w:val="auto"/>
          <w:spacing w:val="0"/>
          <w:w w:val="100"/>
          <w:position w:val="0"/>
          <w:sz w:val="24"/>
          <w:highlight w:val="none"/>
          <w:lang w:val="en-US" w:eastAsia="zh-CN"/>
        </w:rPr>
        <w:t>单回路塔架设段在</w:t>
      </w:r>
      <w:r>
        <w:rPr>
          <w:rFonts w:hint="default" w:ascii="Times New Roman" w:hAnsi="Times New Roman" w:cs="Times New Roman"/>
          <w:bCs/>
          <w:color w:val="auto"/>
          <w:sz w:val="24"/>
          <w:highlight w:val="none"/>
        </w:rPr>
        <w:t>导线</w:t>
      </w:r>
      <w:r>
        <w:rPr>
          <w:rFonts w:hint="eastAsia" w:ascii="Times New Roman" w:hAnsi="Times New Roman" w:cs="Times New Roman"/>
          <w:bCs/>
          <w:color w:val="auto"/>
          <w:sz w:val="24"/>
          <w:highlight w:val="none"/>
          <w:lang w:val="en-US" w:eastAsia="zh-CN"/>
        </w:rPr>
        <w:t>对地高度1</w:t>
      </w:r>
      <w:r>
        <w:rPr>
          <w:rFonts w:hint="eastAsia" w:cs="Times New Roman"/>
          <w:bCs/>
          <w:color w:val="auto"/>
          <w:sz w:val="24"/>
          <w:highlight w:val="none"/>
          <w:lang w:val="en-US" w:eastAsia="zh-CN"/>
        </w:rPr>
        <w:t>0</w:t>
      </w:r>
      <w:r>
        <w:rPr>
          <w:rFonts w:hint="default" w:ascii="Times New Roman" w:hAnsi="Times New Roman" w:cs="Times New Roman"/>
          <w:bCs/>
          <w:color w:val="auto"/>
          <w:sz w:val="24"/>
          <w:highlight w:val="none"/>
        </w:rPr>
        <w:t>m，地面高度1.5m高度，其工频电场强度最大值为</w:t>
      </w:r>
      <w:r>
        <w:rPr>
          <w:rFonts w:hint="eastAsia" w:cs="Times New Roman"/>
          <w:bCs/>
          <w:color w:val="auto"/>
          <w:sz w:val="24"/>
          <w:highlight w:val="none"/>
          <w:lang w:val="en-US" w:eastAsia="zh-CN"/>
        </w:rPr>
        <w:t>1.060</w:t>
      </w:r>
      <w:r>
        <w:rPr>
          <w:rFonts w:hint="default" w:ascii="Times New Roman" w:hAnsi="Times New Roman" w:cs="Times New Roman"/>
          <w:bCs/>
          <w:color w:val="auto"/>
          <w:sz w:val="24"/>
          <w:highlight w:val="none"/>
        </w:rPr>
        <w:t>kV/m，出现在距离线路走廊中心地面投影</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m处，其工频磁感应强度最大值为</w:t>
      </w:r>
      <w:r>
        <w:rPr>
          <w:rFonts w:hint="default" w:ascii="Times New Roman" w:hAnsi="Times New Roman" w:cs="Times New Roman"/>
          <w:bCs/>
          <w:color w:val="auto"/>
          <w:sz w:val="24"/>
          <w:highlight w:val="none"/>
          <w:lang w:eastAsia="zh-CN"/>
        </w:rPr>
        <w:t>4.796</w:t>
      </w:r>
      <w:r>
        <w:rPr>
          <w:rFonts w:hint="default" w:ascii="Times New Roman" w:hAnsi="Times New Roman" w:cs="Times New Roman"/>
          <w:bCs/>
          <w:color w:val="auto"/>
          <w:sz w:val="24"/>
          <w:highlight w:val="none"/>
        </w:rPr>
        <w:t>μT，出现在距离线路走廊中心地面投影</w:t>
      </w:r>
      <w:r>
        <w:rPr>
          <w:rFonts w:hint="eastAsia"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rPr>
        <w:t>m处</w:t>
      </w:r>
      <w:r>
        <w:rPr>
          <w:rFonts w:hint="eastAsia" w:ascii="Times New Roman" w:hAnsi="Times New Roman" w:cs="Times New Roman"/>
          <w:bCs/>
          <w:color w:val="auto"/>
          <w:sz w:val="24"/>
          <w:highlight w:val="none"/>
          <w:lang w:val="en-US" w:eastAsia="zh-CN"/>
        </w:rPr>
        <w:t>。</w:t>
      </w:r>
    </w:p>
    <w:p w14:paraId="5796A300">
      <w:pPr>
        <w:pStyle w:val="8"/>
        <w:spacing w:after="0" w:line="360" w:lineRule="auto"/>
        <w:ind w:left="0" w:leftChars="0" w:firstLine="480" w:firstLineChars="200"/>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val="en-US" w:eastAsia="zh-CN"/>
        </w:rPr>
        <w:t>本项目</w:t>
      </w:r>
      <w:r>
        <w:rPr>
          <w:rFonts w:hint="default" w:ascii="Times New Roman" w:hAnsi="Times New Roman" w:eastAsia="宋体" w:cs="Times New Roman"/>
          <w:bCs/>
          <w:color w:val="auto"/>
          <w:spacing w:val="0"/>
          <w:w w:val="100"/>
          <w:position w:val="0"/>
          <w:sz w:val="24"/>
          <w:highlight w:val="none"/>
          <w:lang w:val="en-US" w:eastAsia="zh-CN"/>
        </w:rPr>
        <w:t>110千伏</w:t>
      </w:r>
      <w:r>
        <w:rPr>
          <w:rFonts w:hint="eastAsia" w:ascii="Times New Roman" w:hAnsi="Times New Roman" w:cs="Times New Roman"/>
          <w:bCs/>
          <w:color w:val="auto"/>
          <w:sz w:val="24"/>
          <w:highlight w:val="none"/>
          <w:lang w:val="en-US" w:eastAsia="zh-CN"/>
        </w:rPr>
        <w:t>线路</w:t>
      </w:r>
      <w:r>
        <w:rPr>
          <w:rFonts w:hint="eastAsia" w:ascii="Times New Roman" w:hAnsi="Times New Roman" w:eastAsia="宋体" w:cs="Times New Roman"/>
          <w:bCs/>
          <w:color w:val="auto"/>
          <w:spacing w:val="0"/>
          <w:w w:val="100"/>
          <w:position w:val="0"/>
          <w:sz w:val="24"/>
          <w:highlight w:val="none"/>
          <w:lang w:val="en-US" w:eastAsia="zh-CN"/>
        </w:rPr>
        <w:t>双回路塔单侧挂线段（按单回投运预测）</w:t>
      </w:r>
      <w:r>
        <w:rPr>
          <w:rFonts w:hint="default" w:ascii="Times New Roman" w:hAnsi="Times New Roman" w:cs="Times New Roman"/>
          <w:bCs/>
          <w:color w:val="auto"/>
          <w:sz w:val="24"/>
          <w:highlight w:val="none"/>
        </w:rPr>
        <w:t>在导线</w:t>
      </w:r>
      <w:r>
        <w:rPr>
          <w:rFonts w:hint="eastAsia" w:ascii="Times New Roman" w:hAnsi="Times New Roman" w:cs="Times New Roman"/>
          <w:bCs/>
          <w:color w:val="auto"/>
          <w:sz w:val="24"/>
          <w:highlight w:val="none"/>
          <w:lang w:val="en-US" w:eastAsia="zh-CN"/>
        </w:rPr>
        <w:t>对地高度为1</w:t>
      </w:r>
      <w:r>
        <w:rPr>
          <w:rFonts w:hint="eastAsia" w:cs="Times New Roman"/>
          <w:bCs/>
          <w:color w:val="auto"/>
          <w:sz w:val="24"/>
          <w:highlight w:val="none"/>
          <w:lang w:val="en-US" w:eastAsia="zh-CN"/>
        </w:rPr>
        <w:t>0</w:t>
      </w:r>
      <w:r>
        <w:rPr>
          <w:rFonts w:hint="default" w:ascii="Times New Roman" w:hAnsi="Times New Roman" w:cs="Times New Roman"/>
          <w:bCs/>
          <w:color w:val="auto"/>
          <w:sz w:val="24"/>
          <w:highlight w:val="none"/>
        </w:rPr>
        <w:t>m，地面高度1.5m高度，其工频电场强度最大值为</w:t>
      </w:r>
      <w:r>
        <w:rPr>
          <w:rFonts w:hint="eastAsia" w:cs="Times New Roman"/>
          <w:bCs/>
          <w:color w:val="auto"/>
          <w:sz w:val="24"/>
          <w:highlight w:val="none"/>
          <w:lang w:val="en-US" w:eastAsia="zh-CN"/>
        </w:rPr>
        <w:t>1.048</w:t>
      </w:r>
      <w:r>
        <w:rPr>
          <w:rFonts w:hint="default" w:ascii="Times New Roman" w:hAnsi="Times New Roman" w:cs="Times New Roman"/>
          <w:bCs/>
          <w:color w:val="auto"/>
          <w:sz w:val="24"/>
          <w:highlight w:val="none"/>
        </w:rPr>
        <w:t>kV/m，出现在距离线路走廊中心地面投影</w:t>
      </w:r>
      <w:r>
        <w:rPr>
          <w:rFonts w:hint="eastAsia"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m处，其工频磁感应强度最大值为</w:t>
      </w:r>
      <w:r>
        <w:rPr>
          <w:rFonts w:hint="default" w:ascii="Times New Roman" w:hAnsi="Times New Roman" w:cs="Times New Roman"/>
          <w:bCs/>
          <w:color w:val="auto"/>
          <w:sz w:val="24"/>
          <w:highlight w:val="none"/>
          <w:lang w:eastAsia="zh-CN"/>
        </w:rPr>
        <w:t>2.968</w:t>
      </w:r>
      <w:r>
        <w:rPr>
          <w:rFonts w:hint="default" w:ascii="Times New Roman" w:hAnsi="Times New Roman" w:cs="Times New Roman"/>
          <w:bCs/>
          <w:color w:val="auto"/>
          <w:sz w:val="24"/>
          <w:highlight w:val="none"/>
        </w:rPr>
        <w:t>μT，出现在距离线路走廊中心地面投影</w:t>
      </w:r>
      <w:r>
        <w:rPr>
          <w:rFonts w:hint="eastAsia"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m处</w:t>
      </w:r>
      <w:r>
        <w:rPr>
          <w:rFonts w:hint="eastAsia" w:ascii="Times New Roman" w:hAnsi="Times New Roman" w:cs="Times New Roman"/>
          <w:bCs/>
          <w:color w:val="auto"/>
          <w:sz w:val="24"/>
          <w:highlight w:val="none"/>
          <w:lang w:eastAsia="zh-CN"/>
        </w:rPr>
        <w:t>。</w:t>
      </w:r>
    </w:p>
    <w:p w14:paraId="73A9C146">
      <w:pPr>
        <w:pStyle w:val="8"/>
        <w:spacing w:after="0" w:line="360" w:lineRule="auto"/>
        <w:ind w:left="0" w:leftChars="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本项目</w:t>
      </w:r>
      <w:r>
        <w:rPr>
          <w:rFonts w:hint="default" w:ascii="Times New Roman" w:hAnsi="Times New Roman" w:eastAsia="宋体" w:cs="Times New Roman"/>
          <w:bCs/>
          <w:color w:val="auto"/>
          <w:spacing w:val="0"/>
          <w:w w:val="100"/>
          <w:position w:val="0"/>
          <w:sz w:val="24"/>
          <w:highlight w:val="none"/>
          <w:lang w:val="en-US" w:eastAsia="zh-CN"/>
        </w:rPr>
        <w:t>110千伏</w:t>
      </w:r>
      <w:r>
        <w:rPr>
          <w:rFonts w:hint="eastAsia" w:ascii="Times New Roman" w:hAnsi="Times New Roman" w:cs="Times New Roman"/>
          <w:bCs/>
          <w:color w:val="auto"/>
          <w:sz w:val="24"/>
          <w:highlight w:val="none"/>
          <w:lang w:val="en-US" w:eastAsia="zh-CN"/>
        </w:rPr>
        <w:t>线路</w:t>
      </w:r>
      <w:r>
        <w:rPr>
          <w:rFonts w:hint="eastAsia" w:ascii="Times New Roman" w:hAnsi="Times New Roman" w:eastAsia="宋体" w:cs="Times New Roman"/>
          <w:bCs/>
          <w:color w:val="auto"/>
          <w:spacing w:val="0"/>
          <w:w w:val="100"/>
          <w:position w:val="0"/>
          <w:sz w:val="24"/>
          <w:highlight w:val="none"/>
          <w:lang w:val="en-US" w:eastAsia="zh-CN"/>
        </w:rPr>
        <w:t>双回路塔单侧挂线段（</w:t>
      </w:r>
      <w:r>
        <w:rPr>
          <w:rFonts w:hint="eastAsia" w:cs="Times New Roman"/>
          <w:bCs/>
          <w:color w:val="auto"/>
          <w:spacing w:val="0"/>
          <w:w w:val="100"/>
          <w:position w:val="0"/>
          <w:sz w:val="24"/>
          <w:highlight w:val="none"/>
          <w:lang w:val="en-US" w:eastAsia="zh-CN"/>
        </w:rPr>
        <w:t>按终期规模双回投运预测</w:t>
      </w:r>
      <w:r>
        <w:rPr>
          <w:rFonts w:hint="eastAsia" w:ascii="Times New Roman" w:hAnsi="Times New Roman" w:eastAsia="宋体" w:cs="Times New Roman"/>
          <w:bCs/>
          <w:color w:val="auto"/>
          <w:spacing w:val="0"/>
          <w:w w:val="100"/>
          <w:position w:val="0"/>
          <w:sz w:val="24"/>
          <w:highlight w:val="none"/>
          <w:lang w:val="en-US" w:eastAsia="zh-CN"/>
        </w:rPr>
        <w:t>）</w:t>
      </w:r>
      <w:r>
        <w:rPr>
          <w:rFonts w:hint="default" w:ascii="Times New Roman" w:hAnsi="Times New Roman" w:cs="Times New Roman"/>
          <w:bCs/>
          <w:color w:val="auto"/>
          <w:sz w:val="24"/>
          <w:highlight w:val="none"/>
        </w:rPr>
        <w:t>在导线</w:t>
      </w:r>
      <w:r>
        <w:rPr>
          <w:rFonts w:hint="eastAsia" w:ascii="Times New Roman" w:hAnsi="Times New Roman" w:cs="Times New Roman"/>
          <w:bCs/>
          <w:color w:val="auto"/>
          <w:sz w:val="24"/>
          <w:highlight w:val="none"/>
          <w:lang w:val="en-US" w:eastAsia="zh-CN"/>
        </w:rPr>
        <w:t>对地高度为1</w:t>
      </w:r>
      <w:r>
        <w:rPr>
          <w:rFonts w:hint="eastAsia" w:cs="Times New Roman"/>
          <w:bCs/>
          <w:color w:val="auto"/>
          <w:sz w:val="24"/>
          <w:highlight w:val="none"/>
          <w:lang w:val="en-US" w:eastAsia="zh-CN"/>
        </w:rPr>
        <w:t>0</w:t>
      </w:r>
      <w:r>
        <w:rPr>
          <w:rFonts w:hint="default" w:ascii="Times New Roman" w:hAnsi="Times New Roman" w:cs="Times New Roman"/>
          <w:bCs/>
          <w:color w:val="auto"/>
          <w:sz w:val="24"/>
          <w:highlight w:val="none"/>
        </w:rPr>
        <w:t>m，地面高度1.5m高度，其工频电场强度最大值为</w:t>
      </w:r>
      <w:r>
        <w:rPr>
          <w:rFonts w:hint="default" w:ascii="Times New Roman" w:hAnsi="Times New Roman" w:cs="Times New Roman"/>
          <w:bCs/>
          <w:color w:val="auto"/>
          <w:sz w:val="24"/>
          <w:highlight w:val="none"/>
          <w:lang w:eastAsia="zh-CN"/>
        </w:rPr>
        <w:t>1.382</w:t>
      </w:r>
      <w:r>
        <w:rPr>
          <w:rFonts w:hint="default" w:ascii="Times New Roman" w:hAnsi="Times New Roman" w:cs="Times New Roman"/>
          <w:bCs/>
          <w:color w:val="auto"/>
          <w:sz w:val="24"/>
          <w:highlight w:val="none"/>
        </w:rPr>
        <w:t>kV/m，出现在距离线路走廊中心地面投影</w:t>
      </w:r>
      <w:r>
        <w:rPr>
          <w:rFonts w:hint="eastAsia" w:cs="Times New Roman"/>
          <w:bCs/>
          <w:color w:val="auto"/>
          <w:sz w:val="24"/>
          <w:highlight w:val="none"/>
          <w:lang w:val="en-US" w:eastAsia="zh-CN"/>
        </w:rPr>
        <w:t>2</w:t>
      </w:r>
      <w:r>
        <w:rPr>
          <w:rFonts w:hint="default" w:ascii="Times New Roman" w:hAnsi="Times New Roman" w:cs="Times New Roman"/>
          <w:bCs/>
          <w:color w:val="auto"/>
          <w:sz w:val="24"/>
          <w:highlight w:val="none"/>
        </w:rPr>
        <w:t>m处，其工频磁感应强度最大值为</w:t>
      </w:r>
      <w:r>
        <w:rPr>
          <w:rFonts w:hint="default" w:ascii="Times New Roman" w:hAnsi="Times New Roman" w:cs="Times New Roman"/>
          <w:bCs/>
          <w:color w:val="auto"/>
          <w:sz w:val="24"/>
          <w:highlight w:val="none"/>
          <w:lang w:eastAsia="zh-CN"/>
        </w:rPr>
        <w:t>3.613</w:t>
      </w:r>
      <w:r>
        <w:rPr>
          <w:rFonts w:hint="default" w:ascii="Times New Roman" w:hAnsi="Times New Roman" w:cs="Times New Roman"/>
          <w:bCs/>
          <w:color w:val="auto"/>
          <w:sz w:val="24"/>
          <w:highlight w:val="none"/>
        </w:rPr>
        <w:t>μT，出现在距离线路走廊中心地面投影</w:t>
      </w:r>
      <w:r>
        <w:rPr>
          <w:rFonts w:hint="eastAsia" w:cs="Times New Roman"/>
          <w:bCs/>
          <w:color w:val="auto"/>
          <w:sz w:val="24"/>
          <w:highlight w:val="none"/>
          <w:lang w:val="en-US" w:eastAsia="zh-CN"/>
        </w:rPr>
        <w:t>6</w:t>
      </w:r>
      <w:r>
        <w:rPr>
          <w:rFonts w:hint="default" w:ascii="Times New Roman" w:hAnsi="Times New Roman" w:cs="Times New Roman"/>
          <w:bCs/>
          <w:color w:val="auto"/>
          <w:sz w:val="24"/>
          <w:highlight w:val="none"/>
        </w:rPr>
        <w:t>m处</w:t>
      </w:r>
      <w:r>
        <w:rPr>
          <w:rFonts w:hint="eastAsia" w:ascii="Times New Roman" w:hAnsi="Times New Roman" w:cs="Times New Roman"/>
          <w:bCs/>
          <w:color w:val="auto"/>
          <w:sz w:val="24"/>
          <w:highlight w:val="none"/>
          <w:lang w:eastAsia="zh-CN"/>
        </w:rPr>
        <w:t>。</w:t>
      </w:r>
    </w:p>
    <w:p w14:paraId="7EEE69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
          <w:bCs/>
          <w:color w:val="auto"/>
          <w:sz w:val="24"/>
          <w:highlight w:val="none"/>
        </w:rPr>
      </w:pPr>
      <w:r>
        <w:rPr>
          <w:rFonts w:hint="eastAsia" w:ascii="Times New Roman" w:hAnsi="Times New Roman" w:cs="Times New Roman"/>
          <w:bCs/>
          <w:color w:val="auto"/>
          <w:sz w:val="24"/>
          <w:highlight w:val="none"/>
          <w:lang w:val="en-US" w:eastAsia="zh-CN"/>
        </w:rPr>
        <w:t>以上预测结果</w:t>
      </w:r>
      <w:r>
        <w:rPr>
          <w:rFonts w:hint="default" w:ascii="Times New Roman" w:hAnsi="Times New Roman" w:cs="Times New Roman"/>
          <w:bCs/>
          <w:color w:val="auto"/>
          <w:sz w:val="24"/>
          <w:highlight w:val="none"/>
        </w:rPr>
        <w:t>均</w:t>
      </w:r>
      <w:r>
        <w:rPr>
          <w:rFonts w:hint="default" w:ascii="Times New Roman" w:hAnsi="Times New Roman" w:cs="Times New Roman"/>
          <w:color w:val="auto"/>
          <w:sz w:val="24"/>
          <w:highlight w:val="none"/>
        </w:rPr>
        <w:t>小于《电磁环境控制限值》（GB8702-2014）规定的工频电场强度10kV/m（线路经过耕地、园地、牧草地、畜禽饲养地、养殖水面、道路等场所）</w:t>
      </w:r>
      <w:r>
        <w:rPr>
          <w:rFonts w:hint="default" w:ascii="Times New Roman" w:hAnsi="Times New Roman" w:cs="Times New Roman"/>
          <w:bCs/>
          <w:color w:val="auto"/>
          <w:sz w:val="24"/>
          <w:highlight w:val="none"/>
        </w:rPr>
        <w:t>和工频磁感应强度100μT公众曝露控制限值。</w:t>
      </w:r>
    </w:p>
    <w:p w14:paraId="2FC169A5">
      <w:pPr>
        <w:spacing w:line="360" w:lineRule="auto"/>
        <w:ind w:firstLine="482" w:firstLineChars="200"/>
        <w:rPr>
          <w:b/>
          <w:color w:val="auto"/>
          <w:kern w:val="0"/>
          <w:sz w:val="24"/>
          <w:highlight w:val="none"/>
        </w:rPr>
      </w:pPr>
      <w:r>
        <w:rPr>
          <w:rFonts w:hint="eastAsia"/>
          <w:b/>
          <w:color w:val="auto"/>
          <w:kern w:val="0"/>
          <w:sz w:val="24"/>
          <w:highlight w:val="none"/>
          <w:lang w:val="en-US" w:eastAsia="zh-CN"/>
        </w:rPr>
        <w:t>八</w:t>
      </w:r>
      <w:r>
        <w:rPr>
          <w:b/>
          <w:color w:val="auto"/>
          <w:kern w:val="0"/>
          <w:sz w:val="24"/>
          <w:highlight w:val="none"/>
        </w:rPr>
        <w:t>、电磁环境敏感目标影响分析</w:t>
      </w:r>
    </w:p>
    <w:p w14:paraId="00CB9628">
      <w:pPr>
        <w:pStyle w:val="8"/>
        <w:spacing w:after="0" w:line="360" w:lineRule="auto"/>
        <w:ind w:left="0" w:leftChars="0" w:firstLine="480" w:firstLineChars="200"/>
        <w:rPr>
          <w:rFonts w:hint="default" w:ascii="Times New Roman" w:hAnsi="Times New Roman" w:eastAsia="宋体" w:cs="Times New Roman"/>
          <w:color w:val="auto"/>
          <w:spacing w:val="0"/>
          <w:w w:val="100"/>
          <w:position w:val="0"/>
          <w:sz w:val="24"/>
          <w:highlight w:val="none"/>
          <w:lang w:val="en-US" w:eastAsia="zh-CN"/>
        </w:rPr>
      </w:pPr>
      <w:r>
        <w:rPr>
          <w:rFonts w:hint="default" w:ascii="Times New Roman" w:hAnsi="Times New Roman" w:eastAsia="宋体" w:cs="Times New Roman"/>
          <w:color w:val="auto"/>
          <w:spacing w:val="0"/>
          <w:w w:val="100"/>
          <w:position w:val="0"/>
          <w:sz w:val="24"/>
          <w:highlight w:val="none"/>
          <w:lang w:val="en-US" w:eastAsia="zh-CN"/>
        </w:rPr>
        <w:t>本项目</w:t>
      </w:r>
      <w:r>
        <w:rPr>
          <w:rFonts w:hint="eastAsia" w:cs="Times New Roman"/>
          <w:color w:val="auto"/>
          <w:spacing w:val="0"/>
          <w:w w:val="100"/>
          <w:position w:val="0"/>
          <w:sz w:val="24"/>
          <w:highlight w:val="none"/>
          <w:lang w:val="en-US" w:eastAsia="zh-CN"/>
        </w:rPr>
        <w:t>线路</w:t>
      </w:r>
      <w:r>
        <w:rPr>
          <w:rFonts w:hint="default" w:ascii="Times New Roman" w:hAnsi="Times New Roman" w:eastAsia="宋体" w:cs="Times New Roman"/>
          <w:color w:val="auto"/>
          <w:spacing w:val="0"/>
          <w:w w:val="100"/>
          <w:position w:val="0"/>
          <w:sz w:val="24"/>
          <w:highlight w:val="none"/>
          <w:lang w:val="en-US" w:eastAsia="zh-CN"/>
        </w:rPr>
        <w:t>电磁环境敏感目标位于</w:t>
      </w:r>
      <w:r>
        <w:rPr>
          <w:rFonts w:hint="default" w:ascii="Times New Roman" w:hAnsi="Times New Roman" w:eastAsia="宋体" w:cs="Times New Roman"/>
          <w:bCs/>
          <w:color w:val="auto"/>
          <w:spacing w:val="0"/>
          <w:w w:val="100"/>
          <w:position w:val="0"/>
          <w:sz w:val="24"/>
          <w:highlight w:val="none"/>
          <w:lang w:val="en-US" w:eastAsia="zh-CN"/>
        </w:rPr>
        <w:t>110千伏</w:t>
      </w:r>
      <w:r>
        <w:rPr>
          <w:rFonts w:hint="eastAsia" w:ascii="Times New Roman" w:hAnsi="Times New Roman" w:cs="Times New Roman"/>
          <w:bCs/>
          <w:color w:val="auto"/>
          <w:spacing w:val="0"/>
          <w:w w:val="100"/>
          <w:position w:val="0"/>
          <w:sz w:val="24"/>
          <w:highlight w:val="none"/>
          <w:lang w:val="en-US" w:eastAsia="zh-CN"/>
        </w:rPr>
        <w:t>线路</w:t>
      </w:r>
      <w:r>
        <w:rPr>
          <w:rFonts w:hint="eastAsia" w:ascii="Times New Roman" w:hAnsi="Times New Roman" w:eastAsia="宋体" w:cs="Times New Roman"/>
          <w:bCs/>
          <w:color w:val="auto"/>
          <w:spacing w:val="0"/>
          <w:w w:val="100"/>
          <w:position w:val="0"/>
          <w:sz w:val="24"/>
          <w:highlight w:val="none"/>
          <w:lang w:val="en-US" w:eastAsia="zh-CN"/>
        </w:rPr>
        <w:t>单回路塔架设段</w:t>
      </w:r>
      <w:r>
        <w:rPr>
          <w:rFonts w:hint="default" w:ascii="Times New Roman" w:hAnsi="Times New Roman" w:eastAsia="宋体" w:cs="Times New Roman"/>
          <w:color w:val="auto"/>
          <w:spacing w:val="0"/>
          <w:w w:val="100"/>
          <w:position w:val="0"/>
          <w:sz w:val="24"/>
          <w:highlight w:val="none"/>
          <w:lang w:val="en-US" w:eastAsia="zh-CN"/>
        </w:rPr>
        <w:t>，选择在</w:t>
      </w:r>
      <w:r>
        <w:rPr>
          <w:rFonts w:hint="eastAsia"/>
          <w:color w:val="auto"/>
          <w:sz w:val="24"/>
          <w:highlight w:val="none"/>
          <w:lang w:val="en-US" w:eastAsia="zh-CN"/>
        </w:rPr>
        <w:t>导线最低对地高度10m</w:t>
      </w:r>
      <w:r>
        <w:rPr>
          <w:rFonts w:hint="default" w:ascii="Times New Roman" w:hAnsi="Times New Roman" w:eastAsia="宋体" w:cs="Times New Roman"/>
          <w:color w:val="auto"/>
          <w:spacing w:val="0"/>
          <w:w w:val="100"/>
          <w:position w:val="0"/>
          <w:sz w:val="24"/>
          <w:highlight w:val="none"/>
          <w:lang w:val="en-US" w:eastAsia="zh-CN"/>
        </w:rPr>
        <w:t>，</w:t>
      </w:r>
      <w:r>
        <w:rPr>
          <w:rFonts w:hint="eastAsia" w:ascii="Times New Roman" w:hAnsi="Times New Roman" w:eastAsia="宋体" w:cs="Times New Roman"/>
          <w:color w:val="auto"/>
          <w:spacing w:val="0"/>
          <w:w w:val="100"/>
          <w:position w:val="0"/>
          <w:sz w:val="24"/>
          <w:highlight w:val="none"/>
          <w:lang w:val="en-US" w:eastAsia="zh-CN"/>
        </w:rPr>
        <w:t>地面</w:t>
      </w:r>
      <w:r>
        <w:rPr>
          <w:rFonts w:hint="default" w:ascii="Times New Roman" w:hAnsi="Times New Roman" w:eastAsia="宋体" w:cs="Times New Roman"/>
          <w:color w:val="auto"/>
          <w:spacing w:val="0"/>
          <w:w w:val="100"/>
          <w:position w:val="0"/>
          <w:sz w:val="24"/>
          <w:highlight w:val="none"/>
          <w:lang w:val="en-US" w:eastAsia="zh-CN"/>
        </w:rPr>
        <w:t>高度1.5m</w:t>
      </w:r>
      <w:r>
        <w:rPr>
          <w:rFonts w:hint="eastAsia" w:ascii="Times New Roman" w:hAnsi="Times New Roman" w:eastAsia="宋体" w:cs="Times New Roman"/>
          <w:color w:val="auto"/>
          <w:spacing w:val="0"/>
          <w:w w:val="100"/>
          <w:position w:val="0"/>
          <w:sz w:val="24"/>
          <w:highlight w:val="none"/>
          <w:lang w:val="en-US" w:eastAsia="zh-CN"/>
        </w:rPr>
        <w:t>高度</w:t>
      </w:r>
      <w:r>
        <w:rPr>
          <w:rFonts w:hint="default" w:ascii="Times New Roman" w:hAnsi="Times New Roman" w:eastAsia="宋体" w:cs="Times New Roman"/>
          <w:color w:val="auto"/>
          <w:spacing w:val="0"/>
          <w:w w:val="100"/>
          <w:position w:val="0"/>
          <w:sz w:val="24"/>
          <w:highlight w:val="none"/>
          <w:lang w:val="en-US" w:eastAsia="zh-CN"/>
        </w:rPr>
        <w:t>进行预测。经</w:t>
      </w:r>
      <w:r>
        <w:rPr>
          <w:rFonts w:hint="default" w:ascii="Times New Roman" w:hAnsi="Times New Roman" w:eastAsia="宋体" w:cs="Times New Roman"/>
          <w:color w:val="auto"/>
          <w:spacing w:val="0"/>
          <w:w w:val="100"/>
          <w:position w:val="0"/>
          <w:sz w:val="24"/>
          <w:highlight w:val="none"/>
        </w:rPr>
        <w:t>模式预测，</w:t>
      </w:r>
      <w:r>
        <w:rPr>
          <w:rFonts w:hint="default" w:ascii="Times New Roman" w:hAnsi="Times New Roman" w:eastAsia="宋体" w:cs="Times New Roman"/>
          <w:color w:val="auto"/>
          <w:spacing w:val="0"/>
          <w:w w:val="100"/>
          <w:position w:val="0"/>
          <w:sz w:val="24"/>
          <w:highlight w:val="none"/>
          <w:lang w:val="en-US" w:eastAsia="zh-CN"/>
        </w:rPr>
        <w:t>本项目输电线路</w:t>
      </w:r>
      <w:r>
        <w:rPr>
          <w:rFonts w:hint="eastAsia" w:ascii="Times New Roman" w:hAnsi="Times New Roman" w:eastAsia="宋体" w:cs="Times New Roman"/>
          <w:color w:val="auto"/>
          <w:spacing w:val="0"/>
          <w:w w:val="100"/>
          <w:position w:val="0"/>
          <w:sz w:val="24"/>
          <w:highlight w:val="none"/>
          <w:lang w:val="en-US" w:eastAsia="zh-CN"/>
        </w:rPr>
        <w:t>电磁</w:t>
      </w:r>
      <w:r>
        <w:rPr>
          <w:rFonts w:hint="default" w:ascii="Times New Roman" w:hAnsi="Times New Roman" w:eastAsia="宋体" w:cs="Times New Roman"/>
          <w:color w:val="auto"/>
          <w:spacing w:val="0"/>
          <w:w w:val="100"/>
          <w:position w:val="0"/>
          <w:sz w:val="24"/>
          <w:highlight w:val="none"/>
          <w:lang w:val="en-US" w:eastAsia="zh-CN"/>
        </w:rPr>
        <w:t>环境敏感目标预测参数及预测结果见</w:t>
      </w:r>
      <w:r>
        <w:rPr>
          <w:rFonts w:hint="eastAsia" w:ascii="Times New Roman" w:hAnsi="Times New Roman" w:eastAsia="宋体" w:cs="Times New Roman"/>
          <w:color w:val="auto"/>
          <w:spacing w:val="0"/>
          <w:w w:val="100"/>
          <w:position w:val="0"/>
          <w:sz w:val="24"/>
          <w:highlight w:val="none"/>
          <w:lang w:val="en-US" w:eastAsia="zh-CN"/>
        </w:rPr>
        <w:t>专题表8</w:t>
      </w:r>
      <w:r>
        <w:rPr>
          <w:rFonts w:hint="default" w:ascii="Times New Roman" w:hAnsi="Times New Roman" w:eastAsia="宋体" w:cs="Times New Roman"/>
          <w:color w:val="auto"/>
          <w:spacing w:val="0"/>
          <w:w w:val="100"/>
          <w:position w:val="0"/>
          <w:sz w:val="24"/>
          <w:highlight w:val="none"/>
          <w:lang w:val="en-US" w:eastAsia="zh-CN"/>
        </w:rPr>
        <w:t>。</w:t>
      </w:r>
    </w:p>
    <w:p w14:paraId="31F154C9">
      <w:pPr>
        <w:pStyle w:val="8"/>
        <w:spacing w:after="0" w:line="360" w:lineRule="auto"/>
        <w:ind w:left="0" w:leftChars="0" w:firstLine="0"/>
        <w:jc w:val="center"/>
        <w:rPr>
          <w:rFonts w:hint="default" w:ascii="Times New Roman" w:hAnsi="Times New Roman" w:eastAsia="黑体" w:cs="Times New Roman"/>
          <w:b/>
          <w:bCs/>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专题表</w:t>
      </w:r>
      <w:r>
        <w:rPr>
          <w:rFonts w:hint="eastAsia" w:ascii="Times New Roman" w:hAnsi="Times New Roman" w:eastAsia="黑体" w:cs="Times New Roman"/>
          <w:b/>
          <w:bCs/>
          <w:color w:val="auto"/>
          <w:kern w:val="2"/>
          <w:sz w:val="24"/>
          <w:szCs w:val="24"/>
          <w:highlight w:val="none"/>
          <w:lang w:val="en-US" w:eastAsia="zh-CN" w:bidi="ar-SA"/>
        </w:rPr>
        <w:t xml:space="preserve">8  </w:t>
      </w:r>
      <w:r>
        <w:rPr>
          <w:rFonts w:hint="default" w:ascii="Times New Roman" w:hAnsi="Times New Roman" w:eastAsia="黑体" w:cs="Times New Roman"/>
          <w:b/>
          <w:bCs/>
          <w:color w:val="auto"/>
          <w:kern w:val="2"/>
          <w:sz w:val="24"/>
          <w:szCs w:val="24"/>
          <w:highlight w:val="none"/>
          <w:lang w:val="en-US" w:eastAsia="zh-CN" w:bidi="ar-SA"/>
        </w:rPr>
        <w:t>本项目输电线路运行时对电磁环境敏感目标的影响分析</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250"/>
        <w:gridCol w:w="1235"/>
        <w:gridCol w:w="1317"/>
        <w:gridCol w:w="1017"/>
        <w:gridCol w:w="916"/>
        <w:gridCol w:w="1084"/>
        <w:gridCol w:w="1081"/>
      </w:tblGrid>
      <w:tr w14:paraId="48BDB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dxa"/>
            <w:noWrap w:val="0"/>
            <w:vAlign w:val="center"/>
          </w:tcPr>
          <w:p w14:paraId="2A225F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lang w:val="en-US" w:eastAsia="zh-CN"/>
              </w:rPr>
            </w:pPr>
            <w:r>
              <w:rPr>
                <w:rFonts w:hint="default" w:ascii="Times New Roman" w:hAnsi="Times New Roman" w:eastAsia="宋体" w:cs="Times New Roman"/>
                <w:b/>
                <w:bCs w:val="0"/>
                <w:color w:val="auto"/>
                <w:spacing w:val="0"/>
                <w:w w:val="100"/>
                <w:position w:val="0"/>
                <w:szCs w:val="21"/>
                <w:highlight w:val="none"/>
                <w:lang w:val="en-US" w:eastAsia="zh-CN"/>
              </w:rPr>
              <w:t>序号</w:t>
            </w:r>
          </w:p>
        </w:tc>
        <w:tc>
          <w:tcPr>
            <w:tcW w:w="1250" w:type="dxa"/>
            <w:noWrap w:val="0"/>
            <w:vAlign w:val="center"/>
          </w:tcPr>
          <w:p w14:paraId="10327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lang w:eastAsia="zh-CN"/>
              </w:rPr>
            </w:pPr>
            <w:r>
              <w:rPr>
                <w:rFonts w:hint="default" w:ascii="Times New Roman" w:hAnsi="Times New Roman" w:eastAsia="宋体" w:cs="Times New Roman"/>
                <w:b/>
                <w:bCs w:val="0"/>
                <w:color w:val="auto"/>
                <w:spacing w:val="0"/>
                <w:w w:val="100"/>
                <w:position w:val="0"/>
                <w:szCs w:val="21"/>
                <w:highlight w:val="none"/>
                <w:lang w:eastAsia="zh-CN"/>
              </w:rPr>
              <w:t>敏感</w:t>
            </w:r>
            <w:r>
              <w:rPr>
                <w:rFonts w:hint="default" w:ascii="Times New Roman" w:hAnsi="Times New Roman" w:eastAsia="宋体" w:cs="Times New Roman"/>
                <w:b/>
                <w:bCs w:val="0"/>
                <w:color w:val="auto"/>
                <w:spacing w:val="0"/>
                <w:w w:val="100"/>
                <w:position w:val="0"/>
                <w:szCs w:val="21"/>
                <w:highlight w:val="none"/>
              </w:rPr>
              <w:t>目标名称</w:t>
            </w:r>
          </w:p>
        </w:tc>
        <w:tc>
          <w:tcPr>
            <w:tcW w:w="1235" w:type="dxa"/>
            <w:noWrap w:val="0"/>
            <w:vAlign w:val="center"/>
          </w:tcPr>
          <w:p w14:paraId="0524CB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lang w:eastAsia="zh-CN"/>
              </w:rPr>
            </w:pPr>
            <w:r>
              <w:rPr>
                <w:rFonts w:hint="eastAsia" w:ascii="Times New Roman" w:hAnsi="Times New Roman" w:eastAsia="宋体" w:cs="Times New Roman"/>
                <w:b/>
                <w:bCs w:val="0"/>
                <w:color w:val="auto"/>
                <w:spacing w:val="0"/>
                <w:w w:val="100"/>
                <w:position w:val="0"/>
                <w:sz w:val="21"/>
                <w:szCs w:val="21"/>
                <w:highlight w:val="none"/>
                <w:lang w:val="en-US" w:eastAsia="zh-CN"/>
              </w:rPr>
              <w:t>距离线路边导线最近距离</w:t>
            </w:r>
            <w:r>
              <w:rPr>
                <w:rFonts w:hint="default" w:ascii="Times New Roman" w:hAnsi="Times New Roman" w:eastAsia="宋体" w:cs="Times New Roman"/>
                <w:b/>
                <w:bCs w:val="0"/>
                <w:color w:val="auto"/>
                <w:spacing w:val="0"/>
                <w:w w:val="100"/>
                <w:position w:val="0"/>
                <w:sz w:val="21"/>
                <w:szCs w:val="21"/>
                <w:highlight w:val="none"/>
              </w:rPr>
              <w:t>（m）</w:t>
            </w:r>
          </w:p>
        </w:tc>
        <w:tc>
          <w:tcPr>
            <w:tcW w:w="1317" w:type="dxa"/>
            <w:noWrap w:val="0"/>
            <w:vAlign w:val="center"/>
          </w:tcPr>
          <w:p w14:paraId="2875E9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lang w:val="en-US" w:eastAsia="zh-CN"/>
              </w:rPr>
            </w:pPr>
            <w:r>
              <w:rPr>
                <w:rFonts w:hint="default" w:ascii="Times New Roman" w:hAnsi="Times New Roman" w:eastAsia="宋体" w:cs="Times New Roman"/>
                <w:b/>
                <w:bCs w:val="0"/>
                <w:color w:val="auto"/>
                <w:spacing w:val="0"/>
                <w:w w:val="100"/>
                <w:position w:val="0"/>
                <w:szCs w:val="21"/>
                <w:highlight w:val="none"/>
                <w:lang w:val="en-US" w:eastAsia="zh-CN"/>
              </w:rPr>
              <w:t>距离走廊中心线</w:t>
            </w:r>
            <w:r>
              <w:rPr>
                <w:rFonts w:hint="eastAsia" w:cs="Times New Roman"/>
                <w:b/>
                <w:bCs w:val="0"/>
                <w:color w:val="auto"/>
                <w:spacing w:val="0"/>
                <w:w w:val="100"/>
                <w:position w:val="0"/>
                <w:szCs w:val="21"/>
                <w:highlight w:val="none"/>
                <w:lang w:val="en-US" w:eastAsia="zh-CN"/>
              </w:rPr>
              <w:t>最短</w:t>
            </w:r>
            <w:r>
              <w:rPr>
                <w:rFonts w:hint="default" w:ascii="Times New Roman" w:hAnsi="Times New Roman" w:eastAsia="宋体" w:cs="Times New Roman"/>
                <w:b/>
                <w:bCs w:val="0"/>
                <w:color w:val="auto"/>
                <w:spacing w:val="0"/>
                <w:w w:val="100"/>
                <w:position w:val="0"/>
                <w:szCs w:val="21"/>
                <w:highlight w:val="none"/>
                <w:lang w:val="en-US" w:eastAsia="zh-CN"/>
              </w:rPr>
              <w:t>距离</w:t>
            </w:r>
            <w:r>
              <w:rPr>
                <w:rFonts w:hint="default" w:ascii="Times New Roman" w:hAnsi="Times New Roman" w:eastAsia="宋体" w:cs="Times New Roman"/>
                <w:b/>
                <w:bCs w:val="0"/>
                <w:color w:val="auto"/>
                <w:spacing w:val="0"/>
                <w:w w:val="100"/>
                <w:position w:val="0"/>
                <w:szCs w:val="21"/>
                <w:highlight w:val="none"/>
              </w:rPr>
              <w:t>（m）</w:t>
            </w:r>
          </w:p>
        </w:tc>
        <w:tc>
          <w:tcPr>
            <w:tcW w:w="1017" w:type="dxa"/>
            <w:noWrap w:val="0"/>
            <w:vAlign w:val="center"/>
          </w:tcPr>
          <w:p w14:paraId="26A67C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rPr>
            </w:pPr>
            <w:r>
              <w:rPr>
                <w:rFonts w:hint="default" w:ascii="Times New Roman" w:hAnsi="Times New Roman" w:eastAsia="宋体" w:cs="Times New Roman"/>
                <w:b/>
                <w:bCs w:val="0"/>
                <w:color w:val="auto"/>
                <w:spacing w:val="0"/>
                <w:w w:val="100"/>
                <w:position w:val="0"/>
                <w:szCs w:val="21"/>
                <w:highlight w:val="none"/>
              </w:rPr>
              <w:t>导线架设高度（m）</w:t>
            </w:r>
          </w:p>
        </w:tc>
        <w:tc>
          <w:tcPr>
            <w:tcW w:w="916" w:type="dxa"/>
            <w:noWrap w:val="0"/>
            <w:vAlign w:val="center"/>
          </w:tcPr>
          <w:p w14:paraId="6D8591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rPr>
            </w:pPr>
            <w:r>
              <w:rPr>
                <w:rFonts w:hint="default" w:ascii="Times New Roman" w:hAnsi="Times New Roman" w:eastAsia="宋体" w:cs="Times New Roman"/>
                <w:b/>
                <w:bCs w:val="0"/>
                <w:color w:val="auto"/>
                <w:spacing w:val="0"/>
                <w:w w:val="100"/>
                <w:position w:val="0"/>
                <w:szCs w:val="21"/>
                <w:highlight w:val="none"/>
              </w:rPr>
              <w:t>预测高度（m）</w:t>
            </w:r>
          </w:p>
        </w:tc>
        <w:tc>
          <w:tcPr>
            <w:tcW w:w="1084" w:type="dxa"/>
            <w:noWrap w:val="0"/>
            <w:vAlign w:val="center"/>
          </w:tcPr>
          <w:p w14:paraId="66036F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rPr>
            </w:pPr>
            <w:r>
              <w:rPr>
                <w:rFonts w:hint="default" w:ascii="Times New Roman" w:hAnsi="Times New Roman" w:eastAsia="宋体" w:cs="Times New Roman"/>
                <w:b/>
                <w:bCs w:val="0"/>
                <w:color w:val="auto"/>
                <w:spacing w:val="0"/>
                <w:w w:val="100"/>
                <w:position w:val="0"/>
                <w:szCs w:val="21"/>
                <w:highlight w:val="none"/>
              </w:rPr>
              <w:t>工频电场强度（kV/m）</w:t>
            </w:r>
          </w:p>
        </w:tc>
        <w:tc>
          <w:tcPr>
            <w:tcW w:w="1081" w:type="dxa"/>
            <w:noWrap w:val="0"/>
            <w:vAlign w:val="center"/>
          </w:tcPr>
          <w:p w14:paraId="6ED8BE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w w:val="100"/>
                <w:position w:val="0"/>
                <w:szCs w:val="21"/>
                <w:highlight w:val="none"/>
              </w:rPr>
            </w:pPr>
            <w:r>
              <w:rPr>
                <w:rFonts w:hint="default" w:ascii="Times New Roman" w:hAnsi="Times New Roman" w:eastAsia="宋体" w:cs="Times New Roman"/>
                <w:b/>
                <w:bCs w:val="0"/>
                <w:color w:val="auto"/>
                <w:spacing w:val="0"/>
                <w:w w:val="100"/>
                <w:position w:val="0"/>
                <w:szCs w:val="21"/>
                <w:highlight w:val="none"/>
              </w:rPr>
              <w:t>工频磁感应强度（μT）</w:t>
            </w:r>
          </w:p>
        </w:tc>
      </w:tr>
      <w:tr w14:paraId="349F3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dxa"/>
            <w:noWrap w:val="0"/>
            <w:vAlign w:val="center"/>
          </w:tcPr>
          <w:p w14:paraId="72C7855F">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eastAsia" w:ascii="Times New Roman" w:hAnsi="Times New Roman" w:eastAsia="宋体" w:cs="Times New Roman"/>
                <w:b w:val="0"/>
                <w:color w:val="auto"/>
                <w:highlight w:val="none"/>
                <w:vertAlign w:val="baseline"/>
                <w:lang w:val="en-US" w:eastAsia="zh-CN"/>
              </w:rPr>
              <w:t>1</w:t>
            </w:r>
          </w:p>
        </w:tc>
        <w:tc>
          <w:tcPr>
            <w:tcW w:w="1250" w:type="dxa"/>
            <w:noWrap w:val="0"/>
            <w:vAlign w:val="center"/>
          </w:tcPr>
          <w:p w14:paraId="3B2A8C4F">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default" w:ascii="Times New Roman" w:hAnsi="Times New Roman" w:eastAsia="宋体" w:cs="Times New Roman"/>
                <w:b w:val="0"/>
                <w:color w:val="auto"/>
                <w:highlight w:val="none"/>
                <w:vertAlign w:val="baseline"/>
                <w:lang w:val="en-US" w:eastAsia="zh-CN"/>
              </w:rPr>
              <w:t>******</w:t>
            </w:r>
          </w:p>
        </w:tc>
        <w:tc>
          <w:tcPr>
            <w:tcW w:w="1235" w:type="dxa"/>
            <w:noWrap w:val="0"/>
            <w:vAlign w:val="center"/>
          </w:tcPr>
          <w:p w14:paraId="05C952E7">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eastAsia" w:cs="Times New Roman"/>
                <w:b w:val="0"/>
                <w:color w:val="auto"/>
                <w:highlight w:val="none"/>
                <w:vertAlign w:val="baseline"/>
                <w:lang w:val="en-US" w:eastAsia="zh-CN"/>
              </w:rPr>
              <w:t>30</w:t>
            </w:r>
          </w:p>
        </w:tc>
        <w:tc>
          <w:tcPr>
            <w:tcW w:w="1317" w:type="dxa"/>
            <w:noWrap w:val="0"/>
            <w:vAlign w:val="center"/>
          </w:tcPr>
          <w:p w14:paraId="5015E628">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eastAsia" w:cs="Times New Roman"/>
                <w:b w:val="0"/>
                <w:color w:val="auto"/>
                <w:highlight w:val="none"/>
                <w:vertAlign w:val="baseline"/>
                <w:lang w:val="en-US" w:eastAsia="zh-CN"/>
              </w:rPr>
              <w:t>35</w:t>
            </w:r>
          </w:p>
        </w:tc>
        <w:tc>
          <w:tcPr>
            <w:tcW w:w="1017" w:type="dxa"/>
            <w:noWrap w:val="0"/>
            <w:vAlign w:val="center"/>
          </w:tcPr>
          <w:p w14:paraId="355FFDE8">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eastAsia" w:ascii="Times New Roman" w:hAnsi="Times New Roman" w:eastAsia="宋体" w:cs="Times New Roman"/>
                <w:b w:val="0"/>
                <w:color w:val="auto"/>
                <w:highlight w:val="none"/>
                <w:vertAlign w:val="baseline"/>
                <w:lang w:val="en-US" w:eastAsia="zh-CN"/>
              </w:rPr>
              <w:t>1</w:t>
            </w:r>
            <w:r>
              <w:rPr>
                <w:rFonts w:hint="eastAsia" w:cs="Times New Roman"/>
                <w:b w:val="0"/>
                <w:color w:val="auto"/>
                <w:highlight w:val="none"/>
                <w:vertAlign w:val="baseline"/>
                <w:lang w:val="en-US" w:eastAsia="zh-CN"/>
              </w:rPr>
              <w:t>0</w:t>
            </w:r>
          </w:p>
        </w:tc>
        <w:tc>
          <w:tcPr>
            <w:tcW w:w="916" w:type="dxa"/>
            <w:noWrap w:val="0"/>
            <w:vAlign w:val="center"/>
          </w:tcPr>
          <w:p w14:paraId="25BFC610">
            <w:pPr>
              <w:pStyle w:val="50"/>
              <w:ind w:firstLine="0" w:firstLineChars="0"/>
              <w:rPr>
                <w:rFonts w:hint="default" w:ascii="Times New Roman" w:hAnsi="Times New Roman" w:eastAsia="宋体" w:cs="Times New Roman"/>
                <w:b w:val="0"/>
                <w:color w:val="auto"/>
                <w:highlight w:val="none"/>
                <w:vertAlign w:val="baseline"/>
                <w:lang w:val="en-US" w:eastAsia="zh-CN"/>
              </w:rPr>
            </w:pPr>
            <w:r>
              <w:rPr>
                <w:rFonts w:hint="eastAsia" w:ascii="Times New Roman" w:hAnsi="Times New Roman" w:eastAsia="宋体" w:cs="Times New Roman"/>
                <w:b w:val="0"/>
                <w:color w:val="auto"/>
                <w:highlight w:val="none"/>
                <w:vertAlign w:val="baseline"/>
                <w:lang w:val="en-US" w:eastAsia="zh-CN"/>
              </w:rPr>
              <w:t>1.5</w:t>
            </w:r>
          </w:p>
        </w:tc>
        <w:tc>
          <w:tcPr>
            <w:tcW w:w="1084" w:type="dxa"/>
            <w:noWrap w:val="0"/>
            <w:vAlign w:val="center"/>
          </w:tcPr>
          <w:p w14:paraId="33BB2CDB">
            <w:pPr>
              <w:pStyle w:val="50"/>
              <w:rPr>
                <w:rFonts w:hint="default" w:ascii="Times New Roman" w:hAnsi="Times New Roman" w:eastAsia="宋体" w:cs="Times New Roman"/>
                <w:b w:val="0"/>
                <w:color w:val="auto"/>
                <w:highlight w:val="none"/>
                <w:vertAlign w:val="baseline"/>
                <w:lang w:val="en-US" w:eastAsia="zh-CN"/>
              </w:rPr>
            </w:pPr>
            <w:r>
              <w:rPr>
                <w:rFonts w:hint="eastAsia"/>
                <w:b w:val="0"/>
                <w:color w:val="auto"/>
                <w:highlight w:val="none"/>
                <w:vertAlign w:val="baseline"/>
                <w:lang w:eastAsia="zh-CN"/>
              </w:rPr>
              <w:t>0.067</w:t>
            </w:r>
          </w:p>
        </w:tc>
        <w:tc>
          <w:tcPr>
            <w:tcW w:w="1081" w:type="dxa"/>
            <w:noWrap w:val="0"/>
            <w:vAlign w:val="center"/>
          </w:tcPr>
          <w:p w14:paraId="12A2398E">
            <w:pPr>
              <w:pStyle w:val="50"/>
              <w:rPr>
                <w:rFonts w:hint="default" w:ascii="Times New Roman" w:hAnsi="Times New Roman" w:eastAsia="宋体" w:cs="Times New Roman"/>
                <w:b w:val="0"/>
                <w:color w:val="auto"/>
                <w:highlight w:val="none"/>
                <w:vertAlign w:val="baseline"/>
                <w:lang w:val="en-US" w:eastAsia="zh-CN"/>
              </w:rPr>
            </w:pPr>
            <w:r>
              <w:rPr>
                <w:rFonts w:hint="eastAsia"/>
                <w:b w:val="0"/>
                <w:color w:val="auto"/>
                <w:highlight w:val="none"/>
                <w:vertAlign w:val="baseline"/>
                <w:lang w:eastAsia="zh-CN"/>
              </w:rPr>
              <w:t>0.3</w:t>
            </w:r>
            <w:r>
              <w:rPr>
                <w:rFonts w:hint="eastAsia"/>
                <w:b w:val="0"/>
                <w:color w:val="auto"/>
                <w:highlight w:val="none"/>
                <w:vertAlign w:val="baseline"/>
                <w:lang w:val="en-US" w:eastAsia="zh-CN"/>
              </w:rPr>
              <w:t>9</w:t>
            </w:r>
          </w:p>
        </w:tc>
      </w:tr>
    </w:tbl>
    <w:p w14:paraId="28BC4818">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auto"/>
          <w:sz w:val="24"/>
          <w:highlight w:val="none"/>
        </w:rPr>
      </w:pPr>
      <w:r>
        <w:rPr>
          <w:rFonts w:hint="default"/>
          <w:bCs/>
          <w:color w:val="auto"/>
          <w:sz w:val="24"/>
          <w:highlight w:val="none"/>
        </w:rPr>
        <w:t>本</w:t>
      </w:r>
      <w:r>
        <w:rPr>
          <w:rFonts w:hint="default"/>
          <w:bCs/>
          <w:color w:val="auto"/>
          <w:sz w:val="24"/>
          <w:highlight w:val="none"/>
          <w:lang w:eastAsia="zh-CN"/>
        </w:rPr>
        <w:t>项目</w:t>
      </w:r>
      <w:r>
        <w:rPr>
          <w:rFonts w:hint="eastAsia"/>
          <w:bCs/>
          <w:color w:val="auto"/>
          <w:sz w:val="24"/>
          <w:highlight w:val="none"/>
          <w:lang w:val="en-US" w:eastAsia="zh-CN"/>
        </w:rPr>
        <w:t>输电线路经过</w:t>
      </w:r>
      <w:r>
        <w:rPr>
          <w:rFonts w:hint="default"/>
          <w:bCs/>
          <w:color w:val="auto"/>
          <w:sz w:val="24"/>
          <w:highlight w:val="none"/>
          <w:lang w:eastAsia="zh-CN"/>
        </w:rPr>
        <w:t>环境敏感目标</w:t>
      </w:r>
      <w:r>
        <w:rPr>
          <w:rFonts w:hint="eastAsia"/>
          <w:bCs/>
          <w:color w:val="auto"/>
          <w:sz w:val="24"/>
          <w:highlight w:val="none"/>
          <w:lang w:val="en-US" w:eastAsia="zh-CN"/>
        </w:rPr>
        <w:t>处</w:t>
      </w:r>
      <w:r>
        <w:rPr>
          <w:rFonts w:hint="default"/>
          <w:bCs/>
          <w:color w:val="auto"/>
          <w:sz w:val="24"/>
          <w:highlight w:val="none"/>
          <w:lang w:eastAsia="zh-CN"/>
        </w:rPr>
        <w:t>，</w:t>
      </w:r>
      <w:r>
        <w:rPr>
          <w:rFonts w:hint="default"/>
          <w:bCs/>
          <w:color w:val="auto"/>
          <w:sz w:val="24"/>
          <w:highlight w:val="none"/>
          <w:lang w:val="en-US" w:eastAsia="zh-CN"/>
        </w:rPr>
        <w:t>输电线路设计提供的</w:t>
      </w:r>
      <w:r>
        <w:rPr>
          <w:rFonts w:hint="default"/>
          <w:bCs/>
          <w:color w:val="auto"/>
          <w:sz w:val="24"/>
          <w:highlight w:val="none"/>
          <w:lang w:eastAsia="zh-CN"/>
        </w:rPr>
        <w:t>导线</w:t>
      </w:r>
      <w:r>
        <w:rPr>
          <w:rFonts w:hint="default"/>
          <w:bCs/>
          <w:color w:val="auto"/>
          <w:sz w:val="24"/>
          <w:highlight w:val="none"/>
        </w:rPr>
        <w:t>对地高度</w:t>
      </w:r>
      <w:r>
        <w:rPr>
          <w:rFonts w:hint="default"/>
          <w:bCs/>
          <w:color w:val="auto"/>
          <w:sz w:val="24"/>
          <w:highlight w:val="none"/>
          <w:lang w:eastAsia="zh-CN"/>
        </w:rPr>
        <w:t>不低于</w:t>
      </w:r>
      <w:r>
        <w:rPr>
          <w:rFonts w:hint="eastAsia"/>
          <w:bCs/>
          <w:color w:val="auto"/>
          <w:sz w:val="24"/>
          <w:highlight w:val="none"/>
          <w:lang w:val="en-US" w:eastAsia="zh-CN"/>
        </w:rPr>
        <w:t>10</w:t>
      </w:r>
      <w:r>
        <w:rPr>
          <w:rFonts w:hint="default"/>
          <w:bCs/>
          <w:color w:val="auto"/>
          <w:sz w:val="24"/>
          <w:highlight w:val="none"/>
          <w:lang w:val="en-US" w:eastAsia="zh-CN"/>
        </w:rPr>
        <w:t>m</w:t>
      </w:r>
      <w:r>
        <w:rPr>
          <w:rFonts w:hint="default"/>
          <w:bCs/>
          <w:color w:val="auto"/>
          <w:sz w:val="24"/>
          <w:highlight w:val="none"/>
          <w:lang w:eastAsia="zh-CN"/>
        </w:rPr>
        <w:t>，</w:t>
      </w:r>
      <w:r>
        <w:rPr>
          <w:rFonts w:hint="eastAsia"/>
          <w:bCs/>
          <w:color w:val="auto"/>
          <w:sz w:val="24"/>
          <w:highlight w:val="none"/>
          <w:lang w:val="en-US" w:eastAsia="zh-CN"/>
        </w:rPr>
        <w:t>其</w:t>
      </w:r>
      <w:r>
        <w:rPr>
          <w:rFonts w:hint="default"/>
          <w:bCs/>
          <w:color w:val="auto"/>
          <w:sz w:val="24"/>
          <w:highlight w:val="none"/>
        </w:rPr>
        <w:t>工频电场强度最大值为</w:t>
      </w:r>
      <w:r>
        <w:rPr>
          <w:rFonts w:hint="eastAsia"/>
          <w:bCs/>
          <w:color w:val="auto"/>
          <w:sz w:val="24"/>
          <w:highlight w:val="none"/>
          <w:lang w:val="en-US" w:eastAsia="zh-CN"/>
        </w:rPr>
        <w:t>0.067</w:t>
      </w:r>
      <w:r>
        <w:rPr>
          <w:rFonts w:hint="default"/>
          <w:bCs/>
          <w:color w:val="auto"/>
          <w:sz w:val="24"/>
          <w:highlight w:val="none"/>
        </w:rPr>
        <w:t>kV/m</w:t>
      </w:r>
      <w:r>
        <w:rPr>
          <w:rFonts w:hint="eastAsia"/>
          <w:bCs/>
          <w:color w:val="auto"/>
          <w:sz w:val="24"/>
          <w:highlight w:val="none"/>
          <w:lang w:eastAsia="zh-CN"/>
        </w:rPr>
        <w:t>、</w:t>
      </w:r>
      <w:r>
        <w:rPr>
          <w:rFonts w:hint="default"/>
          <w:bCs/>
          <w:color w:val="auto"/>
          <w:sz w:val="24"/>
          <w:highlight w:val="none"/>
        </w:rPr>
        <w:t>工频磁感应强度最大值为</w:t>
      </w:r>
      <w:r>
        <w:rPr>
          <w:rFonts w:hint="eastAsia"/>
          <w:bCs/>
          <w:color w:val="auto"/>
          <w:sz w:val="24"/>
          <w:highlight w:val="none"/>
          <w:lang w:val="en-US" w:eastAsia="zh-CN"/>
        </w:rPr>
        <w:t>0.39</w:t>
      </w:r>
      <w:r>
        <w:rPr>
          <w:rFonts w:hint="default"/>
          <w:bCs/>
          <w:color w:val="auto"/>
          <w:sz w:val="24"/>
          <w:highlight w:val="none"/>
        </w:rPr>
        <w:t>μT</w:t>
      </w:r>
      <w:r>
        <w:rPr>
          <w:rFonts w:hint="eastAsia"/>
          <w:bCs/>
          <w:color w:val="auto"/>
          <w:sz w:val="24"/>
          <w:highlight w:val="none"/>
          <w:lang w:eastAsia="zh-CN"/>
        </w:rPr>
        <w:t>，</w:t>
      </w:r>
      <w:r>
        <w:rPr>
          <w:rFonts w:hint="default"/>
          <w:bCs/>
          <w:color w:val="auto"/>
          <w:sz w:val="24"/>
          <w:highlight w:val="none"/>
          <w:lang w:eastAsia="zh-CN"/>
        </w:rPr>
        <w:t>均</w:t>
      </w:r>
      <w:r>
        <w:rPr>
          <w:rFonts w:hint="default"/>
          <w:bCs/>
          <w:color w:val="auto"/>
          <w:sz w:val="24"/>
          <w:highlight w:val="none"/>
        </w:rPr>
        <w:t>满足</w:t>
      </w:r>
      <w:r>
        <w:rPr>
          <w:color w:val="auto"/>
          <w:sz w:val="24"/>
          <w:highlight w:val="none"/>
        </w:rPr>
        <w:t>《电磁环境控制限值》（GB8702-2014）规定的</w:t>
      </w:r>
      <w:r>
        <w:rPr>
          <w:rFonts w:hint="default"/>
          <w:bCs/>
          <w:color w:val="auto"/>
          <w:sz w:val="24"/>
          <w:highlight w:val="none"/>
        </w:rPr>
        <w:t>4000V/m</w:t>
      </w:r>
      <w:r>
        <w:rPr>
          <w:rFonts w:hint="default"/>
          <w:bCs/>
          <w:color w:val="auto"/>
          <w:sz w:val="24"/>
          <w:highlight w:val="none"/>
          <w:lang w:eastAsia="zh-CN"/>
        </w:rPr>
        <w:t>、</w:t>
      </w:r>
      <w:r>
        <w:rPr>
          <w:rFonts w:hint="default"/>
          <w:bCs/>
          <w:color w:val="auto"/>
          <w:sz w:val="24"/>
          <w:highlight w:val="none"/>
        </w:rPr>
        <w:t>100μT公众曝露控制限值。</w:t>
      </w:r>
    </w:p>
    <w:p w14:paraId="124F9C4D">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outlineLvl w:val="0"/>
        <w:rPr>
          <w:rFonts w:hint="default" w:ascii="Times New Roman" w:hAnsi="Times New Roman" w:eastAsia="宋体" w:cs="Times New Roman"/>
          <w:b/>
          <w:bCs w:val="0"/>
          <w:color w:val="auto"/>
          <w:kern w:val="2"/>
          <w:sz w:val="24"/>
          <w:szCs w:val="24"/>
          <w:highlight w:val="none"/>
          <w:lang w:val="en-US" w:eastAsia="zh-CN" w:bidi="ar-SA"/>
        </w:rPr>
      </w:pPr>
      <w:bookmarkStart w:id="80" w:name="_Toc7510"/>
      <w:bookmarkStart w:id="81" w:name="_Toc17872"/>
      <w:bookmarkStart w:id="82" w:name="_Toc26407"/>
      <w:r>
        <w:rPr>
          <w:rFonts w:hint="eastAsia" w:ascii="Times New Roman" w:hAnsi="Times New Roman" w:eastAsia="宋体" w:cs="Times New Roman"/>
          <w:b/>
          <w:bCs w:val="0"/>
          <w:color w:val="auto"/>
          <w:kern w:val="2"/>
          <w:sz w:val="24"/>
          <w:szCs w:val="24"/>
          <w:highlight w:val="none"/>
          <w:lang w:val="en-US" w:eastAsia="zh-CN" w:bidi="ar-SA"/>
        </w:rPr>
        <w:t>九</w:t>
      </w:r>
      <w:r>
        <w:rPr>
          <w:rFonts w:hint="default" w:ascii="Times New Roman" w:hAnsi="Times New Roman" w:eastAsia="宋体" w:cs="Times New Roman"/>
          <w:b/>
          <w:bCs w:val="0"/>
          <w:color w:val="auto"/>
          <w:kern w:val="2"/>
          <w:sz w:val="24"/>
          <w:szCs w:val="24"/>
          <w:highlight w:val="none"/>
          <w:lang w:val="en-US" w:eastAsia="zh-CN" w:bidi="ar-SA"/>
        </w:rPr>
        <w:t>、电磁环境专题评价结论</w:t>
      </w:r>
      <w:bookmarkEnd w:id="80"/>
      <w:bookmarkEnd w:id="81"/>
      <w:bookmarkEnd w:id="82"/>
    </w:p>
    <w:p w14:paraId="345FC0E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w:t>
      </w:r>
      <w:r>
        <w:rPr>
          <w:rFonts w:hint="eastAsia" w:ascii="Times New Roman" w:hAnsi="Times New Roman" w:eastAsia="宋体" w:cs="Times New Roman"/>
          <w:bCs/>
          <w:color w:val="auto"/>
          <w:kern w:val="2"/>
          <w:sz w:val="24"/>
          <w:szCs w:val="24"/>
          <w:highlight w:val="none"/>
          <w:lang w:val="en-US" w:eastAsia="zh-CN" w:bidi="ar-SA"/>
        </w:rPr>
        <w:t>现状</w:t>
      </w:r>
      <w:r>
        <w:rPr>
          <w:rFonts w:hint="default" w:ascii="Times New Roman" w:hAnsi="Times New Roman" w:eastAsia="宋体" w:cs="Times New Roman"/>
          <w:bCs/>
          <w:color w:val="auto"/>
          <w:kern w:val="2"/>
          <w:sz w:val="24"/>
          <w:szCs w:val="24"/>
          <w:highlight w:val="none"/>
          <w:lang w:val="en-US" w:eastAsia="zh-CN" w:bidi="ar-SA"/>
        </w:rPr>
        <w:t>监测结果可知，</w:t>
      </w:r>
      <w:r>
        <w:rPr>
          <w:rFonts w:hint="eastAsia" w:ascii="Times New Roman" w:hAnsi="Times New Roman" w:eastAsia="宋体" w:cs="Times New Roman"/>
          <w:bCs/>
          <w:color w:val="auto"/>
          <w:kern w:val="2"/>
          <w:sz w:val="24"/>
          <w:szCs w:val="24"/>
          <w:highlight w:val="none"/>
          <w:lang w:val="en-US" w:eastAsia="zh-CN" w:bidi="ar-SA"/>
        </w:rPr>
        <w:t>本</w:t>
      </w:r>
      <w:r>
        <w:rPr>
          <w:rFonts w:hint="default" w:ascii="Times New Roman" w:hAnsi="Times New Roman" w:eastAsia="宋体" w:cs="Times New Roman"/>
          <w:bCs/>
          <w:color w:val="auto"/>
          <w:kern w:val="2"/>
          <w:sz w:val="24"/>
          <w:szCs w:val="24"/>
          <w:highlight w:val="none"/>
          <w:lang w:val="en-US" w:eastAsia="zh-CN" w:bidi="ar-SA"/>
        </w:rPr>
        <w:t>项目建设区域内，工频电场强度、工频磁感应强度均低于《电磁环境控制限值》（GB8702-2014）规定的4000V/m</w:t>
      </w:r>
      <w:r>
        <w:rPr>
          <w:rFonts w:hint="eastAsia" w:ascii="Times New Roman" w:hAnsi="Times New Roman" w:eastAsia="宋体" w:cs="Times New Roman"/>
          <w:bCs/>
          <w:color w:val="auto"/>
          <w:kern w:val="2"/>
          <w:sz w:val="24"/>
          <w:szCs w:val="24"/>
          <w:highlight w:val="none"/>
          <w:lang w:val="en-US" w:eastAsia="zh-CN" w:bidi="ar-SA"/>
        </w:rPr>
        <w:t>、1</w:t>
      </w:r>
      <w:r>
        <w:rPr>
          <w:rFonts w:hint="default" w:ascii="Times New Roman" w:hAnsi="Times New Roman" w:eastAsia="宋体" w:cs="Times New Roman"/>
          <w:bCs/>
          <w:color w:val="auto"/>
          <w:kern w:val="2"/>
          <w:sz w:val="24"/>
          <w:szCs w:val="24"/>
          <w:highlight w:val="none"/>
          <w:lang w:val="en-US" w:eastAsia="zh-CN" w:bidi="ar-SA"/>
        </w:rPr>
        <w:t>0</w:t>
      </w:r>
      <w:r>
        <w:rPr>
          <w:rFonts w:hint="eastAsia" w:ascii="Times New Roman" w:hAnsi="Times New Roman" w:eastAsia="宋体" w:cs="Times New Roman"/>
          <w:bCs/>
          <w:color w:val="auto"/>
          <w:kern w:val="2"/>
          <w:sz w:val="24"/>
          <w:szCs w:val="24"/>
          <w:highlight w:val="none"/>
          <w:lang w:val="en-US" w:eastAsia="zh-CN" w:bidi="ar-SA"/>
        </w:rPr>
        <w:t>k</w:t>
      </w:r>
      <w:r>
        <w:rPr>
          <w:rFonts w:hint="default" w:ascii="Times New Roman" w:hAnsi="Times New Roman" w:eastAsia="宋体" w:cs="Times New Roman"/>
          <w:bCs/>
          <w:color w:val="auto"/>
          <w:kern w:val="2"/>
          <w:sz w:val="24"/>
          <w:szCs w:val="24"/>
          <w:highlight w:val="none"/>
          <w:lang w:val="en-US" w:eastAsia="zh-CN" w:bidi="ar-SA"/>
        </w:rPr>
        <w:t>V/m和100μT</w:t>
      </w:r>
      <w:r>
        <w:rPr>
          <w:rFonts w:hint="eastAsia" w:ascii="Times New Roman" w:hAnsi="Times New Roman" w:eastAsia="宋体" w:cs="Times New Roman"/>
          <w:bCs/>
          <w:color w:val="auto"/>
          <w:kern w:val="2"/>
          <w:sz w:val="24"/>
          <w:szCs w:val="24"/>
          <w:highlight w:val="none"/>
          <w:lang w:val="en-US" w:eastAsia="zh-CN" w:bidi="ar-SA"/>
        </w:rPr>
        <w:t>控制</w:t>
      </w:r>
      <w:r>
        <w:rPr>
          <w:rFonts w:hint="default" w:ascii="Times New Roman" w:hAnsi="Times New Roman" w:eastAsia="宋体" w:cs="Times New Roman"/>
          <w:bCs/>
          <w:color w:val="auto"/>
          <w:kern w:val="2"/>
          <w:sz w:val="24"/>
          <w:szCs w:val="24"/>
          <w:highlight w:val="none"/>
          <w:lang w:val="en-US" w:eastAsia="zh-CN" w:bidi="ar-SA"/>
        </w:rPr>
        <w:t>限值。</w:t>
      </w:r>
    </w:p>
    <w:p w14:paraId="5CEBE62A">
      <w:pPr>
        <w:pStyle w:val="8"/>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根据模式预测结果可知，</w:t>
      </w:r>
      <w:r>
        <w:rPr>
          <w:rFonts w:hint="eastAsia" w:ascii="Times New Roman" w:hAnsi="Times New Roman" w:eastAsia="宋体" w:cs="Times New Roman"/>
          <w:bCs/>
          <w:color w:val="auto"/>
          <w:kern w:val="2"/>
          <w:sz w:val="24"/>
          <w:szCs w:val="24"/>
          <w:highlight w:val="none"/>
          <w:lang w:val="en-US" w:eastAsia="zh-CN" w:bidi="ar-SA"/>
        </w:rPr>
        <w:t>本项目输电线路</w:t>
      </w:r>
      <w:r>
        <w:rPr>
          <w:rFonts w:hint="default" w:ascii="Times New Roman" w:hAnsi="Times New Roman" w:eastAsia="宋体" w:cs="Times New Roman"/>
          <w:bCs/>
          <w:color w:val="auto"/>
          <w:kern w:val="2"/>
          <w:sz w:val="24"/>
          <w:szCs w:val="24"/>
          <w:highlight w:val="none"/>
          <w:lang w:val="en-US" w:eastAsia="zh-CN" w:bidi="ar-SA"/>
        </w:rPr>
        <w:t>经过非居民区及其附近，其工频电场强度</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工频磁感应强度均小于《电磁环境控制限值》（GB8702-2014）规定的工频电场强度10kV/m（线路经过耕地、园地、牧草地、畜禽饲养地、养殖水面、道路等场所）和工频磁感应强度100μT公众曝露控制限值。</w:t>
      </w:r>
    </w:p>
    <w:p w14:paraId="28F4027A">
      <w:pPr>
        <w:pStyle w:val="8"/>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根据模式预测结果可知，本项目</w:t>
      </w:r>
      <w:r>
        <w:rPr>
          <w:rFonts w:hint="eastAsia" w:ascii="Times New Roman" w:hAnsi="Times New Roman" w:eastAsia="宋体" w:cs="Times New Roman"/>
          <w:bCs/>
          <w:color w:val="auto"/>
          <w:kern w:val="2"/>
          <w:sz w:val="24"/>
          <w:szCs w:val="24"/>
          <w:highlight w:val="none"/>
          <w:lang w:val="en-US" w:eastAsia="zh-CN" w:bidi="ar-SA"/>
        </w:rPr>
        <w:t>输电线路经过</w:t>
      </w:r>
      <w:r>
        <w:rPr>
          <w:rFonts w:hint="default" w:ascii="Times New Roman" w:hAnsi="Times New Roman" w:eastAsia="宋体" w:cs="Times New Roman"/>
          <w:bCs/>
          <w:color w:val="auto"/>
          <w:kern w:val="2"/>
          <w:sz w:val="24"/>
          <w:szCs w:val="24"/>
          <w:highlight w:val="none"/>
          <w:lang w:val="en-US" w:eastAsia="zh-CN" w:bidi="ar-SA"/>
        </w:rPr>
        <w:t>环境敏感目标</w:t>
      </w:r>
      <w:r>
        <w:rPr>
          <w:rFonts w:hint="eastAsia" w:ascii="Times New Roman" w:hAnsi="Times New Roman" w:eastAsia="宋体" w:cs="Times New Roman"/>
          <w:bCs/>
          <w:color w:val="auto"/>
          <w:kern w:val="2"/>
          <w:sz w:val="24"/>
          <w:szCs w:val="24"/>
          <w:highlight w:val="none"/>
          <w:lang w:val="en-US" w:eastAsia="zh-CN" w:bidi="ar-SA"/>
        </w:rPr>
        <w:t>处</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其</w:t>
      </w:r>
      <w:r>
        <w:rPr>
          <w:rFonts w:hint="default" w:ascii="Times New Roman" w:hAnsi="Times New Roman" w:eastAsia="宋体" w:cs="Times New Roman"/>
          <w:bCs/>
          <w:color w:val="auto"/>
          <w:kern w:val="2"/>
          <w:sz w:val="24"/>
          <w:szCs w:val="24"/>
          <w:highlight w:val="none"/>
          <w:lang w:val="en-US" w:eastAsia="zh-CN" w:bidi="ar-SA"/>
        </w:rPr>
        <w:t>工频电场强度、工频磁</w:t>
      </w:r>
      <w:r>
        <w:rPr>
          <w:rFonts w:hint="eastAsia" w:ascii="Times New Roman" w:hAnsi="Times New Roman" w:eastAsia="宋体" w:cs="Times New Roman"/>
          <w:bCs/>
          <w:color w:val="auto"/>
          <w:kern w:val="2"/>
          <w:sz w:val="24"/>
          <w:szCs w:val="24"/>
          <w:highlight w:val="none"/>
          <w:lang w:val="en-US" w:eastAsia="zh-CN" w:bidi="ar-SA"/>
        </w:rPr>
        <w:t>感应</w:t>
      </w:r>
      <w:r>
        <w:rPr>
          <w:rFonts w:hint="default" w:ascii="Times New Roman" w:hAnsi="Times New Roman" w:eastAsia="宋体" w:cs="Times New Roman"/>
          <w:bCs/>
          <w:color w:val="auto"/>
          <w:kern w:val="2"/>
          <w:sz w:val="24"/>
          <w:szCs w:val="24"/>
          <w:highlight w:val="none"/>
          <w:lang w:val="en-US" w:eastAsia="zh-CN" w:bidi="ar-SA"/>
        </w:rPr>
        <w:t>强度均满足《电磁环境控制限值》（GB8702-2014）规定的4000V/m、100μT公众曝露控制限值。</w:t>
      </w:r>
    </w:p>
    <w:p w14:paraId="30B21BFC">
      <w:pPr>
        <w:pStyle w:val="8"/>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综上所述，本项目电磁环境现状监测结果和电磁环境预测结果均满足《电磁环境控制限值》（GB8702-2014）中规定的相应</w:t>
      </w:r>
      <w:r>
        <w:rPr>
          <w:rFonts w:hint="eastAsia" w:ascii="Times New Roman" w:hAnsi="Times New Roman" w:eastAsia="宋体" w:cs="Times New Roman"/>
          <w:bCs/>
          <w:color w:val="auto"/>
          <w:kern w:val="2"/>
          <w:sz w:val="24"/>
          <w:szCs w:val="24"/>
          <w:highlight w:val="none"/>
          <w:lang w:val="en-US" w:eastAsia="zh-CN" w:bidi="ar-SA"/>
        </w:rPr>
        <w:t>控制</w:t>
      </w:r>
      <w:r>
        <w:rPr>
          <w:rFonts w:hint="default" w:ascii="Times New Roman" w:hAnsi="Times New Roman" w:eastAsia="宋体" w:cs="Times New Roman"/>
          <w:bCs/>
          <w:color w:val="auto"/>
          <w:kern w:val="2"/>
          <w:sz w:val="24"/>
          <w:szCs w:val="24"/>
          <w:highlight w:val="none"/>
          <w:lang w:val="en-US" w:eastAsia="zh-CN" w:bidi="ar-SA"/>
        </w:rPr>
        <w:t>限值，项目在充分落实环评提出的各项环保措施后，对区域电磁环境影响较小</w:t>
      </w:r>
      <w:r>
        <w:rPr>
          <w:rFonts w:hint="eastAsia" w:cs="Times New Roman"/>
          <w:bCs/>
          <w:color w:val="auto"/>
          <w:kern w:val="2"/>
          <w:sz w:val="24"/>
          <w:szCs w:val="24"/>
          <w:highlight w:val="none"/>
          <w:lang w:val="en-US" w:eastAsia="zh-CN" w:bidi="ar-SA"/>
        </w:rPr>
        <w:t>。</w:t>
      </w:r>
    </w:p>
    <w:p w14:paraId="11FBF4DB">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398212AD">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31E8CA73">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0E8E6368">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45A69F18">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00D49DB1">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12BC19AA">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23EB93D2">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3FF32F76">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2E5E9324">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66942CCB">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60EB8D55">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4105BF26">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6E4B4551">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4CA06EC4">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59242C80">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18E613EF">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p>
    <w:p w14:paraId="555B5E91">
      <w:pPr>
        <w:spacing w:beforeLines="0" w:afterLines="0" w:line="240" w:lineRule="auto"/>
        <w:ind w:firstLine="0" w:firstLineChars="0"/>
        <w:jc w:val="center"/>
        <w:rPr>
          <w:rFonts w:hint="default" w:ascii="Times New Roman" w:hAnsi="Times New Roman" w:eastAsia="宋体" w:cs="Times New Roman"/>
          <w:b/>
          <w:color w:val="auto"/>
          <w:spacing w:val="0"/>
          <w:w w:val="100"/>
          <w:position w:val="0"/>
          <w:sz w:val="36"/>
          <w:szCs w:val="36"/>
          <w:highlight w:val="none"/>
        </w:rPr>
      </w:pPr>
      <w:r>
        <w:rPr>
          <w:rFonts w:hint="default" w:ascii="Times New Roman" w:hAnsi="Times New Roman" w:eastAsia="宋体" w:cs="Times New Roman"/>
          <w:b/>
          <w:color w:val="auto"/>
          <w:spacing w:val="0"/>
          <w:w w:val="100"/>
          <w:position w:val="0"/>
          <w:sz w:val="36"/>
          <w:szCs w:val="36"/>
          <w:highlight w:val="none"/>
        </w:rPr>
        <w:t>宁夏固原</w:t>
      </w:r>
      <w:r>
        <w:rPr>
          <w:rFonts w:hint="eastAsia" w:ascii="Times New Roman" w:hAnsi="Times New Roman" w:eastAsia="宋体" w:cs="Times New Roman"/>
          <w:b/>
          <w:color w:val="auto"/>
          <w:spacing w:val="0"/>
          <w:w w:val="100"/>
          <w:position w:val="0"/>
          <w:sz w:val="36"/>
          <w:szCs w:val="36"/>
          <w:highlight w:val="none"/>
          <w:lang w:val="en-US" w:eastAsia="zh-CN"/>
        </w:rPr>
        <w:t>张程</w:t>
      </w:r>
      <w:r>
        <w:rPr>
          <w:rFonts w:hint="default" w:ascii="Times New Roman" w:hAnsi="Times New Roman" w:eastAsia="宋体" w:cs="Times New Roman"/>
          <w:b/>
          <w:color w:val="auto"/>
          <w:spacing w:val="0"/>
          <w:w w:val="100"/>
          <w:position w:val="0"/>
          <w:sz w:val="36"/>
          <w:szCs w:val="36"/>
          <w:highlight w:val="none"/>
        </w:rPr>
        <w:t>110</w:t>
      </w:r>
      <w:r>
        <w:rPr>
          <w:rFonts w:hint="eastAsia" w:ascii="Times New Roman" w:hAnsi="Times New Roman" w:eastAsia="宋体" w:cs="Times New Roman"/>
          <w:b/>
          <w:color w:val="auto"/>
          <w:spacing w:val="0"/>
          <w:w w:val="100"/>
          <w:position w:val="0"/>
          <w:sz w:val="36"/>
          <w:szCs w:val="36"/>
          <w:highlight w:val="none"/>
          <w:lang w:val="en-US" w:eastAsia="zh-CN"/>
        </w:rPr>
        <w:t>千伏</w:t>
      </w:r>
      <w:r>
        <w:rPr>
          <w:rFonts w:hint="default" w:ascii="Times New Roman" w:hAnsi="Times New Roman" w:eastAsia="宋体" w:cs="Times New Roman"/>
          <w:b/>
          <w:color w:val="auto"/>
          <w:spacing w:val="0"/>
          <w:w w:val="100"/>
          <w:position w:val="0"/>
          <w:sz w:val="36"/>
          <w:szCs w:val="36"/>
          <w:highlight w:val="none"/>
          <w:lang w:eastAsia="zh-CN"/>
        </w:rPr>
        <w:t>输变电</w:t>
      </w:r>
      <w:r>
        <w:rPr>
          <w:rFonts w:hint="default" w:ascii="Times New Roman" w:hAnsi="Times New Roman" w:eastAsia="宋体" w:cs="Times New Roman"/>
          <w:b/>
          <w:color w:val="auto"/>
          <w:spacing w:val="0"/>
          <w:w w:val="100"/>
          <w:position w:val="0"/>
          <w:sz w:val="36"/>
          <w:szCs w:val="36"/>
          <w:highlight w:val="none"/>
        </w:rPr>
        <w:t>工程</w:t>
      </w:r>
    </w:p>
    <w:p w14:paraId="0BC59854">
      <w:pPr>
        <w:pStyle w:val="2"/>
        <w:keepNext/>
        <w:keepLines/>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color w:val="auto"/>
          <w:highlight w:val="none"/>
        </w:rPr>
      </w:pPr>
      <w:bookmarkStart w:id="83" w:name="_Toc4496"/>
      <w:bookmarkStart w:id="84" w:name="_Toc13621"/>
      <w:r>
        <w:rPr>
          <w:rFonts w:hint="default" w:ascii="Times New Roman" w:hAnsi="Times New Roman" w:cs="Times New Roman"/>
          <w:color w:val="auto"/>
          <w:highlight w:val="none"/>
        </w:rPr>
        <w:t>生态</w:t>
      </w:r>
      <w:r>
        <w:rPr>
          <w:rFonts w:hint="eastAsia" w:cs="Times New Roman"/>
          <w:color w:val="auto"/>
          <w:highlight w:val="none"/>
          <w:lang w:val="en-US" w:eastAsia="zh-CN"/>
        </w:rPr>
        <w:t>专题</w:t>
      </w:r>
      <w:r>
        <w:rPr>
          <w:rFonts w:hint="default" w:ascii="Times New Roman" w:hAnsi="Times New Roman" w:cs="Times New Roman"/>
          <w:color w:val="auto"/>
          <w:highlight w:val="none"/>
        </w:rPr>
        <w:t>评价</w:t>
      </w:r>
      <w:bookmarkEnd w:id="83"/>
      <w:bookmarkEnd w:id="84"/>
    </w:p>
    <w:p w14:paraId="6F38D4EB">
      <w:pPr>
        <w:spacing w:beforeLines="0" w:afterLines="0" w:line="240" w:lineRule="auto"/>
        <w:ind w:left="480" w:firstLine="0" w:firstLineChars="0"/>
        <w:jc w:val="center"/>
        <w:rPr>
          <w:rFonts w:hint="default" w:ascii="Times New Roman" w:hAnsi="Times New Roman" w:eastAsia="宋体" w:cs="Times New Roman"/>
          <w:color w:val="auto"/>
          <w:spacing w:val="0"/>
          <w:w w:val="100"/>
          <w:position w:val="0"/>
          <w:sz w:val="44"/>
          <w:szCs w:val="44"/>
          <w:highlight w:val="none"/>
        </w:rPr>
      </w:pPr>
    </w:p>
    <w:p w14:paraId="5F1F6DFA">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53CA9468">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31C4B67D">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70CA6B6E">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2D5BE5E0">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277C3567">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66628CDE">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0CC5F308">
      <w:pPr>
        <w:widowControl w:val="0"/>
        <w:spacing w:before="312" w:beforeLines="100" w:afterLines="0" w:line="276" w:lineRule="auto"/>
        <w:ind w:left="210" w:right="210" w:firstLine="880" w:firstLineChars="200"/>
        <w:jc w:val="both"/>
        <w:rPr>
          <w:rFonts w:hint="default" w:ascii="Times New Roman" w:hAnsi="Times New Roman" w:eastAsia="宋体" w:cs="Times New Roman"/>
          <w:color w:val="auto"/>
          <w:spacing w:val="0"/>
          <w:w w:val="100"/>
          <w:kern w:val="2"/>
          <w:position w:val="0"/>
          <w:sz w:val="44"/>
          <w:szCs w:val="44"/>
          <w:highlight w:val="none"/>
          <w:lang w:val="en-US" w:eastAsia="zh-CN" w:bidi="ar-SA"/>
        </w:rPr>
      </w:pPr>
    </w:p>
    <w:p w14:paraId="5868BC1C">
      <w:pPr>
        <w:widowControl w:val="0"/>
        <w:spacing w:before="120" w:beforeLines="0" w:beforeAutospacing="0" w:afterLines="0" w:line="360" w:lineRule="auto"/>
        <w:ind w:firstLine="420" w:firstLineChars="200"/>
        <w:jc w:val="center"/>
        <w:rPr>
          <w:rFonts w:hint="default" w:ascii="Times New Roman" w:hAnsi="Times New Roman" w:eastAsia="宋体" w:cs="Times New Roman"/>
          <w:color w:val="auto"/>
          <w:spacing w:val="0"/>
          <w:w w:val="100"/>
          <w:kern w:val="2"/>
          <w:position w:val="0"/>
          <w:sz w:val="21"/>
          <w:szCs w:val="24"/>
          <w:highlight w:val="none"/>
          <w:lang w:val="en-US" w:eastAsia="zh-CN" w:bidi="ar-SA"/>
        </w:rPr>
      </w:pPr>
    </w:p>
    <w:p w14:paraId="359CA1C0">
      <w:pPr>
        <w:spacing w:line="360" w:lineRule="auto"/>
        <w:jc w:val="center"/>
        <w:rPr>
          <w:b/>
          <w:color w:val="auto"/>
          <w:kern w:val="0"/>
          <w:sz w:val="32"/>
          <w:szCs w:val="32"/>
          <w:highlight w:val="none"/>
        </w:rPr>
      </w:pPr>
      <w:r>
        <w:rPr>
          <w:b/>
          <w:color w:val="auto"/>
          <w:kern w:val="0"/>
          <w:sz w:val="32"/>
          <w:szCs w:val="32"/>
          <w:highlight w:val="none"/>
        </w:rPr>
        <w:t>建设单位：国网宁夏电力有限公司</w:t>
      </w:r>
      <w:r>
        <w:rPr>
          <w:rFonts w:hint="eastAsia"/>
          <w:b/>
          <w:color w:val="auto"/>
          <w:kern w:val="0"/>
          <w:sz w:val="32"/>
          <w:szCs w:val="32"/>
          <w:highlight w:val="none"/>
          <w:lang w:val="en-US" w:eastAsia="zh-CN"/>
        </w:rPr>
        <w:t>固原</w:t>
      </w:r>
      <w:r>
        <w:rPr>
          <w:b/>
          <w:color w:val="auto"/>
          <w:kern w:val="0"/>
          <w:sz w:val="32"/>
          <w:szCs w:val="32"/>
          <w:highlight w:val="none"/>
        </w:rPr>
        <w:t>供电公司</w:t>
      </w:r>
    </w:p>
    <w:p w14:paraId="28E60F6F">
      <w:pPr>
        <w:spacing w:line="360" w:lineRule="auto"/>
        <w:jc w:val="center"/>
        <w:rPr>
          <w:b/>
          <w:color w:val="auto"/>
          <w:kern w:val="0"/>
          <w:sz w:val="32"/>
          <w:szCs w:val="32"/>
          <w:highlight w:val="none"/>
        </w:rPr>
      </w:pPr>
      <w:r>
        <w:rPr>
          <w:b/>
          <w:color w:val="auto"/>
          <w:kern w:val="0"/>
          <w:sz w:val="32"/>
          <w:szCs w:val="32"/>
          <w:highlight w:val="none"/>
        </w:rPr>
        <w:t>二〇二</w:t>
      </w:r>
      <w:r>
        <w:rPr>
          <w:rFonts w:hint="eastAsia"/>
          <w:b/>
          <w:color w:val="auto"/>
          <w:kern w:val="0"/>
          <w:sz w:val="32"/>
          <w:szCs w:val="32"/>
          <w:highlight w:val="none"/>
          <w:lang w:val="en-US" w:eastAsia="zh-CN"/>
        </w:rPr>
        <w:t>六</w:t>
      </w:r>
      <w:r>
        <w:rPr>
          <w:b/>
          <w:color w:val="auto"/>
          <w:kern w:val="0"/>
          <w:sz w:val="32"/>
          <w:szCs w:val="32"/>
          <w:highlight w:val="none"/>
        </w:rPr>
        <w:t>年</w:t>
      </w:r>
      <w:r>
        <w:rPr>
          <w:rFonts w:hint="eastAsia"/>
          <w:b/>
          <w:color w:val="auto"/>
          <w:kern w:val="0"/>
          <w:sz w:val="32"/>
          <w:szCs w:val="32"/>
          <w:highlight w:val="none"/>
          <w:lang w:val="en-US" w:eastAsia="zh-CN"/>
        </w:rPr>
        <w:t>三</w:t>
      </w:r>
      <w:r>
        <w:rPr>
          <w:b/>
          <w:color w:val="auto"/>
          <w:kern w:val="0"/>
          <w:sz w:val="32"/>
          <w:szCs w:val="32"/>
          <w:highlight w:val="none"/>
        </w:rPr>
        <w:t>月</w:t>
      </w:r>
      <w:bookmarkStart w:id="85" w:name="_Toc32654"/>
    </w:p>
    <w:p w14:paraId="60D4877C">
      <w:pPr>
        <w:bidi w:val="0"/>
        <w:rPr>
          <w:rFonts w:hint="default"/>
          <w:lang w:val="en-US" w:eastAsia="zh-CN"/>
        </w:rPr>
      </w:pPr>
    </w:p>
    <w:p w14:paraId="2C4A51C6">
      <w:pPr>
        <w:keepNext/>
        <w:keepLines/>
        <w:widowControl w:val="0"/>
        <w:bidi w:val="0"/>
        <w:spacing w:before="120" w:beforeLines="0" w:beforeAutospacing="0" w:after="120" w:afterLines="0" w:afterAutospacing="0" w:line="360" w:lineRule="auto"/>
        <w:ind w:firstLine="0" w:firstLineChars="0"/>
        <w:jc w:val="center"/>
        <w:outlineLvl w:val="0"/>
        <w:rPr>
          <w:rFonts w:hint="default" w:ascii="Times New Roman" w:hAnsi="Times New Roman" w:eastAsia="宋体" w:cs="Times New Roman"/>
          <w:b/>
          <w:color w:val="auto"/>
          <w:kern w:val="44"/>
          <w:sz w:val="24"/>
          <w:szCs w:val="24"/>
          <w:highlight w:val="none"/>
          <w:lang w:val="en-US" w:eastAsia="zh-CN" w:bidi="ar-SA"/>
        </w:rPr>
      </w:pPr>
      <w:bookmarkStart w:id="86" w:name="_Toc31079"/>
      <w:r>
        <w:rPr>
          <w:rFonts w:hint="default" w:ascii="Times New Roman" w:hAnsi="Times New Roman" w:eastAsia="宋体" w:cs="Times New Roman"/>
          <w:b/>
          <w:color w:val="auto"/>
          <w:kern w:val="44"/>
          <w:sz w:val="24"/>
          <w:szCs w:val="24"/>
          <w:highlight w:val="none"/>
          <w:lang w:val="en-US" w:eastAsia="zh-CN" w:bidi="ar-SA"/>
        </w:rPr>
        <w:t>前言</w:t>
      </w:r>
      <w:bookmarkEnd w:id="85"/>
      <w:bookmarkEnd w:id="86"/>
    </w:p>
    <w:p w14:paraId="0B69F64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宁夏</w:t>
      </w:r>
      <w:r>
        <w:rPr>
          <w:rFonts w:hint="eastAsia"/>
          <w:color w:val="auto"/>
          <w:sz w:val="24"/>
          <w:highlight w:val="none"/>
          <w:lang w:val="en-US" w:eastAsia="zh-CN"/>
        </w:rPr>
        <w:t>固原张程</w:t>
      </w:r>
      <w:r>
        <w:rPr>
          <w:rFonts w:hint="eastAsia"/>
          <w:color w:val="auto"/>
          <w:sz w:val="24"/>
          <w:highlight w:val="none"/>
        </w:rPr>
        <w:t>110千伏输变电工程</w:t>
      </w:r>
      <w:r>
        <w:rPr>
          <w:rFonts w:hint="default" w:ascii="Times New Roman" w:hAnsi="Times New Roman" w:eastAsia="宋体" w:cs="Times New Roman"/>
          <w:color w:val="auto"/>
          <w:sz w:val="24"/>
          <w:highlight w:val="none"/>
          <w:lang w:val="en-US" w:eastAsia="zh-CN"/>
        </w:rPr>
        <w:t>位于</w:t>
      </w:r>
      <w:r>
        <w:rPr>
          <w:color w:val="auto"/>
          <w:sz w:val="24"/>
          <w:highlight w:val="none"/>
        </w:rPr>
        <w:t>宁夏回族自治区</w:t>
      </w:r>
      <w:r>
        <w:rPr>
          <w:rFonts w:hint="eastAsia"/>
          <w:color w:val="auto"/>
          <w:sz w:val="24"/>
          <w:highlight w:val="none"/>
          <w:lang w:val="en-US" w:eastAsia="zh-CN"/>
        </w:rPr>
        <w:t>固原市隆德县</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项目是</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eastAsia="宋体" w:cs="Times New Roman"/>
          <w:color w:val="auto"/>
          <w:sz w:val="24"/>
          <w:highlight w:val="none"/>
          <w:lang w:val="en-US" w:eastAsia="zh-CN"/>
        </w:rPr>
        <w:t>了</w:t>
      </w:r>
      <w:r>
        <w:rPr>
          <w:rFonts w:hint="default" w:ascii="Times New Roman" w:hAnsi="Times New Roman" w:eastAsia="宋体" w:cs="Times New Roman"/>
          <w:color w:val="auto"/>
          <w:sz w:val="24"/>
          <w:highlight w:val="none"/>
          <w:lang w:val="en-US" w:eastAsia="zh-CN"/>
        </w:rPr>
        <w:t>满足项目区周边“煤改电”及新增负荷接入需求，进一步提升配网供电能力和供电可靠性</w:t>
      </w:r>
      <w:r>
        <w:rPr>
          <w:rFonts w:hint="eastAsia" w:ascii="Times New Roman" w:hAnsi="Times New Roman" w:eastAsia="宋体" w:cs="Times New Roman"/>
          <w:color w:val="auto"/>
          <w:sz w:val="24"/>
          <w:highlight w:val="none"/>
          <w:lang w:val="en-US" w:eastAsia="zh-CN"/>
        </w:rPr>
        <w:t>而</w:t>
      </w:r>
      <w:r>
        <w:rPr>
          <w:rFonts w:hint="default" w:ascii="Times New Roman" w:hAnsi="Times New Roman" w:eastAsia="宋体" w:cs="Times New Roman"/>
          <w:color w:val="auto"/>
          <w:sz w:val="24"/>
          <w:highlight w:val="none"/>
          <w:lang w:val="en-US" w:eastAsia="zh-CN"/>
        </w:rPr>
        <w:t>建设的。</w:t>
      </w:r>
      <w:r>
        <w:rPr>
          <w:bCs/>
          <w:color w:val="auto"/>
          <w:kern w:val="0"/>
          <w:sz w:val="24"/>
          <w:highlight w:val="none"/>
        </w:rPr>
        <w:t>本项目共包含</w:t>
      </w:r>
      <w:r>
        <w:rPr>
          <w:rFonts w:hint="eastAsia"/>
          <w:color w:val="auto"/>
          <w:sz w:val="24"/>
          <w:highlight w:val="none"/>
          <w:lang w:val="en-US" w:eastAsia="zh-CN"/>
        </w:rPr>
        <w:t>新建张程110千伏变电站工程、新建渝河110千伏变电站~张程变110千伏线路工程</w:t>
      </w:r>
      <w:r>
        <w:rPr>
          <w:rFonts w:hint="eastAsia"/>
          <w:bCs/>
          <w:color w:val="auto"/>
          <w:kern w:val="0"/>
          <w:sz w:val="24"/>
          <w:highlight w:val="none"/>
          <w:lang w:val="en-US" w:eastAsia="zh-CN"/>
        </w:rPr>
        <w:t>两</w:t>
      </w:r>
      <w:r>
        <w:rPr>
          <w:bCs/>
          <w:color w:val="auto"/>
          <w:kern w:val="0"/>
          <w:sz w:val="24"/>
          <w:highlight w:val="none"/>
        </w:rPr>
        <w:t>部分</w:t>
      </w:r>
      <w:r>
        <w:rPr>
          <w:rFonts w:hint="default" w:ascii="Times New Roman" w:hAnsi="Times New Roman" w:eastAsia="宋体" w:cs="Times New Roman"/>
          <w:color w:val="auto"/>
          <w:sz w:val="24"/>
          <w:highlight w:val="none"/>
          <w:lang w:val="en-US" w:eastAsia="zh-CN"/>
        </w:rPr>
        <w:t>。</w:t>
      </w:r>
    </w:p>
    <w:p w14:paraId="34DBB82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输电</w:t>
      </w:r>
      <w:r>
        <w:rPr>
          <w:rFonts w:hint="eastAsia" w:cs="宋体"/>
          <w:color w:val="auto"/>
          <w:sz w:val="24"/>
          <w:highlight w:val="none"/>
          <w:lang w:val="en-US" w:eastAsia="zh-CN"/>
        </w:rPr>
        <w:t>线路一档跨越******，跨越线路长度约</w:t>
      </w:r>
      <w:r>
        <w:rPr>
          <w:rFonts w:hint="default" w:ascii="Times New Roman" w:hAnsi="Times New Roman" w:cs="Times New Roman"/>
          <w:color w:val="auto"/>
          <w:sz w:val="24"/>
          <w:highlight w:val="none"/>
          <w:lang w:val="en-US" w:eastAsia="zh-CN"/>
        </w:rPr>
        <w:t>13m，</w:t>
      </w:r>
      <w:r>
        <w:rPr>
          <w:rFonts w:hint="eastAsia" w:cs="宋体"/>
          <w:color w:val="auto"/>
          <w:sz w:val="24"/>
          <w:highlight w:val="none"/>
          <w:lang w:val="en-US" w:eastAsia="zh-CN"/>
        </w:rPr>
        <w:t>最近铁塔距离该生态保护红线约</w:t>
      </w:r>
      <w:r>
        <w:rPr>
          <w:rFonts w:hint="eastAsia"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m</w:t>
      </w:r>
      <w:r>
        <w:rPr>
          <w:rFonts w:hint="default" w:ascii="Times New Roman" w:hAnsi="Times New Roman" w:eastAsia="宋体" w:cs="Times New Roman"/>
          <w:color w:val="auto"/>
          <w:sz w:val="24"/>
          <w:highlight w:val="none"/>
          <w:lang w:val="en-US" w:eastAsia="zh-CN"/>
        </w:rPr>
        <w:t>。根据《中华人民共和国环境影响评价法》、《环境影响评价技术导则</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输变电</w:t>
      </w:r>
      <w:r>
        <w:rPr>
          <w:rFonts w:hint="default" w:ascii="Times New Roman" w:hAnsi="Times New Roman" w:eastAsia="宋体" w:cs="Times New Roman"/>
          <w:color w:val="auto"/>
          <w:sz w:val="24"/>
          <w:highlight w:val="none"/>
          <w:lang w:val="en-US" w:eastAsia="zh-CN"/>
        </w:rPr>
        <w:t>》（HJ</w:t>
      </w:r>
      <w:r>
        <w:rPr>
          <w:rFonts w:hint="default" w:ascii="Times New Roman" w:hAnsi="Times New Roman"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-20</w:t>
      </w:r>
      <w:r>
        <w:rPr>
          <w:rFonts w:hint="default" w:ascii="Times New Roman" w:hAnsi="Times New Roman"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）等环保法律法规的规定和要求，针对项目建设对******的生态影响编制完成《宁夏固原</w:t>
      </w:r>
      <w:r>
        <w:rPr>
          <w:rFonts w:hint="eastAsia" w:ascii="Times New Roman" w:hAnsi="Times New Roman" w:eastAsia="宋体" w:cs="Times New Roman"/>
          <w:color w:val="auto"/>
          <w:sz w:val="24"/>
          <w:highlight w:val="none"/>
          <w:lang w:val="en-US" w:eastAsia="zh-CN"/>
        </w:rPr>
        <w:t>张程</w:t>
      </w:r>
      <w:r>
        <w:rPr>
          <w:rFonts w:hint="default" w:ascii="Times New Roman" w:hAnsi="Times New Roman" w:eastAsia="宋体" w:cs="Times New Roman"/>
          <w:color w:val="auto"/>
          <w:sz w:val="24"/>
          <w:highlight w:val="none"/>
          <w:lang w:val="en-US" w:eastAsia="zh-CN"/>
        </w:rPr>
        <w:t>110</w:t>
      </w:r>
      <w:r>
        <w:rPr>
          <w:rFonts w:hint="eastAsia" w:ascii="Times New Roman" w:hAnsi="Times New Roman" w:eastAsia="宋体" w:cs="Times New Roman"/>
          <w:color w:val="auto"/>
          <w:sz w:val="24"/>
          <w:highlight w:val="none"/>
          <w:lang w:val="en-US" w:eastAsia="zh-CN"/>
        </w:rPr>
        <w:t>千伏</w:t>
      </w:r>
      <w:r>
        <w:rPr>
          <w:rFonts w:hint="default" w:ascii="Times New Roman" w:hAnsi="Times New Roman" w:eastAsia="宋体" w:cs="Times New Roman"/>
          <w:color w:val="auto"/>
          <w:sz w:val="24"/>
          <w:highlight w:val="none"/>
          <w:lang w:val="en-US" w:eastAsia="zh-CN"/>
        </w:rPr>
        <w:t>输变电工程生态</w:t>
      </w:r>
      <w:r>
        <w:rPr>
          <w:rFonts w:hint="eastAsia" w:cs="Times New Roman"/>
          <w:color w:val="auto"/>
          <w:sz w:val="24"/>
          <w:highlight w:val="none"/>
          <w:lang w:val="en-US" w:eastAsia="zh-CN"/>
        </w:rPr>
        <w:t>专题</w:t>
      </w:r>
      <w:r>
        <w:rPr>
          <w:rFonts w:hint="default" w:ascii="Times New Roman" w:hAnsi="Times New Roman" w:eastAsia="宋体" w:cs="Times New Roman"/>
          <w:color w:val="auto"/>
          <w:sz w:val="24"/>
          <w:highlight w:val="none"/>
          <w:lang w:val="en-US" w:eastAsia="zh-CN"/>
        </w:rPr>
        <w:t>评价》。工作任务落实后，技术人员在生态敏感区域进行了实地踏查，进行植被、植物物种和动物调查。根据项目特点和导则要求，科学确定生态</w:t>
      </w:r>
      <w:r>
        <w:rPr>
          <w:rFonts w:hint="eastAsia" w:ascii="Times New Roman" w:hAnsi="Times New Roman" w:eastAsia="宋体" w:cs="Times New Roman"/>
          <w:color w:val="auto"/>
          <w:sz w:val="24"/>
          <w:highlight w:val="none"/>
          <w:lang w:val="en-US" w:eastAsia="zh-CN"/>
        </w:rPr>
        <w:t>影响</w:t>
      </w:r>
      <w:r>
        <w:rPr>
          <w:rFonts w:hint="default" w:ascii="Times New Roman" w:hAnsi="Times New Roman" w:eastAsia="宋体" w:cs="Times New Roman"/>
          <w:color w:val="auto"/>
          <w:sz w:val="24"/>
          <w:highlight w:val="none"/>
          <w:lang w:val="en-US" w:eastAsia="zh-CN"/>
        </w:rPr>
        <w:t>评价等级和范围，并收集评价区内相关资料，进行评价区植被现状分析和评价；根据现场调查结果和相关资料对评价区动植物进行分析评价。根据项目特征，全面完整的对项目建设过程和运营期的生态环境变化进行评价，针对工程建设对植被、植物及动物的影响，提出避让、减缓、修复措施，最终编制完成了《宁夏固原</w:t>
      </w:r>
      <w:r>
        <w:rPr>
          <w:rFonts w:hint="eastAsia" w:ascii="Times New Roman" w:hAnsi="Times New Roman" w:eastAsia="宋体" w:cs="Times New Roman"/>
          <w:color w:val="auto"/>
          <w:sz w:val="24"/>
          <w:highlight w:val="none"/>
          <w:lang w:val="en-US" w:eastAsia="zh-CN"/>
        </w:rPr>
        <w:t>张程</w:t>
      </w:r>
      <w:r>
        <w:rPr>
          <w:rFonts w:hint="default" w:ascii="Times New Roman" w:hAnsi="Times New Roman" w:eastAsia="宋体" w:cs="Times New Roman"/>
          <w:color w:val="auto"/>
          <w:sz w:val="24"/>
          <w:highlight w:val="none"/>
          <w:lang w:val="en-US" w:eastAsia="zh-CN"/>
        </w:rPr>
        <w:t>110</w:t>
      </w:r>
      <w:r>
        <w:rPr>
          <w:rFonts w:hint="eastAsia" w:ascii="Times New Roman" w:hAnsi="Times New Roman" w:eastAsia="宋体" w:cs="Times New Roman"/>
          <w:color w:val="auto"/>
          <w:sz w:val="24"/>
          <w:highlight w:val="none"/>
          <w:lang w:val="en-US" w:eastAsia="zh-CN"/>
        </w:rPr>
        <w:t>千伏</w:t>
      </w:r>
      <w:r>
        <w:rPr>
          <w:rFonts w:hint="default" w:ascii="Times New Roman" w:hAnsi="Times New Roman" w:eastAsia="宋体" w:cs="Times New Roman"/>
          <w:color w:val="auto"/>
          <w:sz w:val="24"/>
          <w:highlight w:val="none"/>
          <w:lang w:val="en-US" w:eastAsia="zh-CN"/>
        </w:rPr>
        <w:t>输变电工程生态</w:t>
      </w:r>
      <w:r>
        <w:rPr>
          <w:rFonts w:hint="eastAsia" w:cs="Times New Roman"/>
          <w:color w:val="auto"/>
          <w:sz w:val="24"/>
          <w:highlight w:val="none"/>
          <w:lang w:val="en-US" w:eastAsia="zh-CN"/>
        </w:rPr>
        <w:t>专题</w:t>
      </w:r>
      <w:r>
        <w:rPr>
          <w:rFonts w:hint="default" w:ascii="Times New Roman" w:hAnsi="Times New Roman" w:eastAsia="宋体" w:cs="Times New Roman"/>
          <w:color w:val="auto"/>
          <w:sz w:val="24"/>
          <w:highlight w:val="none"/>
          <w:lang w:val="en-US" w:eastAsia="zh-CN"/>
        </w:rPr>
        <w:t>评价》。</w:t>
      </w:r>
    </w:p>
    <w:p w14:paraId="782DA470">
      <w:pPr>
        <w:spacing w:line="360" w:lineRule="auto"/>
        <w:ind w:firstLine="480" w:firstLineChars="200"/>
        <w:rPr>
          <w:rFonts w:hint="default" w:ascii="Times New Roman" w:hAnsi="Times New Roman" w:eastAsia="宋体" w:cs="Times New Roman"/>
          <w:color w:val="auto"/>
          <w:sz w:val="24"/>
          <w:highlight w:val="none"/>
          <w:lang w:val="en-US" w:eastAsia="zh-CN"/>
        </w:rPr>
      </w:pPr>
    </w:p>
    <w:p w14:paraId="7CEDF83A">
      <w:pPr>
        <w:rPr>
          <w:rFonts w:hint="default" w:ascii="Times New Roman" w:hAnsi="Times New Roman" w:eastAsia="宋体" w:cs="Times New Roman"/>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0517069">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87" w:name="_Toc9199"/>
      <w:bookmarkStart w:id="88" w:name="_Toc24182"/>
      <w:r>
        <w:rPr>
          <w:rFonts w:hint="default" w:ascii="Times New Roman" w:hAnsi="Times New Roman" w:eastAsia="宋体" w:cs="Times New Roman"/>
          <w:b/>
          <w:color w:val="auto"/>
          <w:kern w:val="44"/>
          <w:sz w:val="24"/>
          <w:szCs w:val="24"/>
          <w:highlight w:val="none"/>
          <w:lang w:val="en-US" w:eastAsia="zh-CN" w:bidi="ar-SA"/>
        </w:rPr>
        <w:t>1总则</w:t>
      </w:r>
      <w:bookmarkEnd w:id="87"/>
      <w:bookmarkEnd w:id="88"/>
    </w:p>
    <w:p w14:paraId="04E768A0">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1.1基本任务</w:t>
      </w:r>
    </w:p>
    <w:p w14:paraId="4E8A501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了更好地协调经济发展和生态环境保护之间的关系，落实国家的相关政策，贯彻“在保护中开发，在开发中保护”的方针，实现生态效益与经济、社会效益的双赢，在工程分析和生态现状调查的基础上，识别项目施工期</w:t>
      </w:r>
      <w:r>
        <w:rPr>
          <w:rFonts w:hint="default" w:ascii="Times New Roman" w:hAnsi="Times New Roman" w:cs="Times New Roman"/>
          <w:color w:val="auto"/>
          <w:sz w:val="24"/>
          <w:highlight w:val="none"/>
          <w:lang w:val="en-US" w:eastAsia="zh-CN"/>
        </w:rPr>
        <w:t>及运营期</w:t>
      </w:r>
      <w:r>
        <w:rPr>
          <w:rFonts w:hint="default" w:ascii="Times New Roman" w:hAnsi="Times New Roman" w:eastAsia="宋体" w:cs="Times New Roman"/>
          <w:color w:val="auto"/>
          <w:sz w:val="24"/>
          <w:highlight w:val="none"/>
          <w:lang w:val="en-US" w:eastAsia="zh-CN"/>
        </w:rPr>
        <w:t>生态影响，从环境影响角度对项目方案进行全面分析、评价、预测项目的建设对生态环境、生境等可能造成的不良影响，根据预测评价结果，提出预防或者减缓不利影响的对策和措施，制定相应的环境管理和生态监测计划，从生态角度明确项目建设可行性，为建设单位和环境管理部门提供科学依据。</w:t>
      </w:r>
    </w:p>
    <w:p w14:paraId="36F751E0">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1.2评价依据</w:t>
      </w:r>
    </w:p>
    <w:p w14:paraId="0649CD6E">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1.2.1法律法规</w:t>
      </w:r>
    </w:p>
    <w:p w14:paraId="4DF92C3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（1）《中华人民共和国环境保护法》（2015</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1</w:t>
      </w:r>
      <w:r>
        <w:rPr>
          <w:rFonts w:hint="eastAsia"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实施）；</w:t>
      </w:r>
    </w:p>
    <w:p w14:paraId="2029B62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（2）《中华人民共和国环境影响评价法》（2018</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12</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29</w:t>
      </w:r>
      <w:r>
        <w:rPr>
          <w:rFonts w:hint="eastAsia"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修订）；</w:t>
      </w:r>
    </w:p>
    <w:p w14:paraId="69D3239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（3）《中华人民共和国大气污染防治法》（2018年修订）；</w:t>
      </w:r>
    </w:p>
    <w:p w14:paraId="6EF2A75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（4）《中华人民共和国固体废物污染环境防治法》（2020年修订）；</w:t>
      </w:r>
    </w:p>
    <w:p w14:paraId="441FCBF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（5）《中华人民共和国森林法》（2009年8月修订）；</w:t>
      </w:r>
    </w:p>
    <w:p w14:paraId="75A8EEC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（6）《中华人民共和国野生动物保护法》（2018</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10</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26</w:t>
      </w:r>
      <w:r>
        <w:rPr>
          <w:rFonts w:hint="eastAsia"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修正版）；</w:t>
      </w:r>
    </w:p>
    <w:p w14:paraId="531FF7C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（7）《中华人民共和国野生植物保护条例》（2017</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10</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7</w:t>
      </w:r>
      <w:r>
        <w:rPr>
          <w:rFonts w:hint="eastAsia"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修订）；</w:t>
      </w:r>
    </w:p>
    <w:p w14:paraId="2D85860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（8）《中华人民共和国陆生野生动物保护实施条例》（2016</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6</w:t>
      </w:r>
      <w:r>
        <w:rPr>
          <w:rFonts w:hint="eastAsia"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修订）；</w:t>
      </w:r>
    </w:p>
    <w:p w14:paraId="679866B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（9）《中华人民共和国土地管理法》（2004</w:t>
      </w:r>
      <w:r>
        <w:rPr>
          <w:rFonts w:hint="eastAsia"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8</w:t>
      </w:r>
      <w:r>
        <w:rPr>
          <w:rFonts w:hint="eastAsia"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28日修订）；</w:t>
      </w:r>
    </w:p>
    <w:p w14:paraId="68D88D0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（10）《中华人民共和国土壤污染防治法》（2019</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施行）</w:t>
      </w:r>
      <w:r>
        <w:rPr>
          <w:rFonts w:hint="default" w:ascii="Times New Roman" w:hAnsi="Times New Roman" w:cs="Times New Roman"/>
          <w:color w:val="auto"/>
          <w:sz w:val="24"/>
          <w:highlight w:val="none"/>
          <w:lang w:val="en-US" w:eastAsia="zh-CN"/>
        </w:rPr>
        <w:t>；</w:t>
      </w:r>
    </w:p>
    <w:p w14:paraId="3489DA6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（11）《建设项目环境保护管理条例》（2017年修正版）</w:t>
      </w:r>
      <w:r>
        <w:rPr>
          <w:rFonts w:hint="eastAsia" w:ascii="Times New Roman" w:hAnsi="Times New Roman" w:eastAsia="宋体" w:cs="Times New Roman"/>
          <w:color w:val="auto"/>
          <w:sz w:val="24"/>
          <w:highlight w:val="none"/>
          <w:lang w:val="en-US" w:eastAsia="zh-CN"/>
        </w:rPr>
        <w:t>；</w:t>
      </w:r>
    </w:p>
    <w:p w14:paraId="2A685C95">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（12）《永久基本农田保护红线管理办法》（农业农村部令第17号，2025年10月1日起修订版施行）；</w:t>
      </w:r>
    </w:p>
    <w:p w14:paraId="3A7ACF12">
      <w:pPr>
        <w:spacing w:line="360" w:lineRule="auto"/>
        <w:ind w:firstLine="480" w:firstLineChars="200"/>
        <w:rPr>
          <w:rFonts w:hint="eastAsia" w:ascii="Times New Roman" w:hAnsi="Times New Roman" w:eastAsia="宋体" w:cs="Times New Roman"/>
          <w:color w:val="0000FF"/>
          <w:sz w:val="24"/>
          <w:highlight w:val="none"/>
          <w:lang w:val="en-US" w:eastAsia="zh-CN"/>
        </w:rPr>
      </w:pP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13</w:t>
      </w:r>
      <w:r>
        <w:rPr>
          <w:rFonts w:hint="default" w:ascii="Times New Roman" w:hAnsi="Times New Roman" w:eastAsia="宋体" w:cs="Times New Roman"/>
          <w:color w:val="auto"/>
          <w:sz w:val="24"/>
          <w:highlight w:val="none"/>
          <w:lang w:val="en-US" w:eastAsia="zh-CN"/>
        </w:rPr>
        <w:t>）《中华人民共和国基本农田保护条例》（2011</w:t>
      </w:r>
      <w:r>
        <w:rPr>
          <w:rFonts w:hint="eastAsia" w:ascii="Times New Roman" w:hAnsi="Times New Roman" w:eastAsia="宋体" w:cs="Times New Roman"/>
          <w:color w:val="auto"/>
          <w:sz w:val="24"/>
          <w:highlight w:val="none"/>
          <w:lang w:val="en-US" w:eastAsia="zh-CN"/>
        </w:rPr>
        <w:t>年</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月</w:t>
      </w:r>
      <w:r>
        <w:rPr>
          <w:rFonts w:hint="default"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日</w:t>
      </w:r>
      <w:r>
        <w:rPr>
          <w:rFonts w:hint="default" w:ascii="Times New Roman" w:hAnsi="Times New Roman" w:eastAsia="宋体" w:cs="Times New Roman"/>
          <w:color w:val="auto"/>
          <w:sz w:val="24"/>
          <w:highlight w:val="none"/>
          <w:lang w:val="en-US" w:eastAsia="zh-CN"/>
        </w:rPr>
        <w:t>起修订版施行）</w:t>
      </w:r>
      <w:r>
        <w:rPr>
          <w:rFonts w:hint="eastAsia" w:ascii="Times New Roman" w:hAnsi="Times New Roman" w:eastAsia="宋体" w:cs="Times New Roman"/>
          <w:color w:val="auto"/>
          <w:sz w:val="24"/>
          <w:highlight w:val="none"/>
          <w:lang w:val="en-US" w:eastAsia="zh-CN"/>
        </w:rPr>
        <w:t>。</w:t>
      </w:r>
    </w:p>
    <w:p w14:paraId="7AD3CD3A">
      <w:pPr>
        <w:keepNext/>
        <w:keepLines/>
        <w:pageBreakBefore w:val="0"/>
        <w:widowControl w:val="0"/>
        <w:kinsoku/>
        <w:wordWrap/>
        <w:overflowPunct/>
        <w:topLinePunct w:val="0"/>
        <w:autoSpaceDE/>
        <w:autoSpaceDN/>
        <w:bidi w:val="0"/>
        <w:adjustRightInd/>
        <w:snapToGrid/>
        <w:spacing w:beforeLines="0" w:beforeAutospacing="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1.2.2地方法规</w:t>
      </w:r>
    </w:p>
    <w:p w14:paraId="2D5C8FB1">
      <w:pPr>
        <w:pStyle w:val="60"/>
        <w:keepNext w:val="0"/>
        <w:keepLines w:val="0"/>
        <w:pageBreakBefore w:val="0"/>
        <w:widowControl w:val="0"/>
        <w:numPr>
          <w:ilvl w:val="0"/>
          <w:numId w:val="8"/>
        </w:numPr>
        <w:kinsoku/>
        <w:wordWrap/>
        <w:overflowPunct/>
        <w:topLinePunct w:val="0"/>
        <w:autoSpaceDE/>
        <w:autoSpaceDN/>
        <w:bidi w:val="0"/>
        <w:adjustRightInd w:val="0"/>
        <w:snapToGrid w:val="0"/>
        <w:spacing w:beforeLines="0"/>
        <w:ind w:firstLine="480"/>
        <w:jc w:val="both"/>
        <w:textAlignment w:val="auto"/>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《宁夏回族自治区生态保护红线管理条例》（20</w:t>
      </w:r>
      <w:r>
        <w:rPr>
          <w:rFonts w:hint="default" w:ascii="Times New Roman" w:hAnsi="Times New Roman" w:cs="Times New Roman"/>
          <w:snapToGrid w:val="0"/>
          <w:color w:val="auto"/>
          <w:szCs w:val="24"/>
          <w:highlight w:val="none"/>
          <w:lang w:val="en-US" w:eastAsia="zh-CN"/>
        </w:rPr>
        <w:t>23</w:t>
      </w:r>
      <w:r>
        <w:rPr>
          <w:rFonts w:hint="default" w:ascii="Times New Roman" w:hAnsi="Times New Roman" w:cs="Times New Roman"/>
          <w:snapToGrid w:val="0"/>
          <w:color w:val="auto"/>
          <w:szCs w:val="24"/>
          <w:highlight w:val="none"/>
        </w:rPr>
        <w:t>年</w:t>
      </w:r>
      <w:r>
        <w:rPr>
          <w:rFonts w:hint="default" w:ascii="Times New Roman" w:hAnsi="Times New Roman" w:cs="Times New Roman"/>
          <w:snapToGrid w:val="0"/>
          <w:color w:val="auto"/>
          <w:szCs w:val="24"/>
          <w:highlight w:val="none"/>
          <w:lang w:val="en-US" w:eastAsia="zh-CN"/>
        </w:rPr>
        <w:t>8</w:t>
      </w:r>
      <w:r>
        <w:rPr>
          <w:rFonts w:hint="default" w:ascii="Times New Roman" w:hAnsi="Times New Roman" w:cs="Times New Roman"/>
          <w:snapToGrid w:val="0"/>
          <w:color w:val="auto"/>
          <w:szCs w:val="24"/>
          <w:highlight w:val="none"/>
        </w:rPr>
        <w:t>月</w:t>
      </w:r>
      <w:r>
        <w:rPr>
          <w:rFonts w:hint="default" w:ascii="Times New Roman" w:hAnsi="Times New Roman" w:cs="Times New Roman"/>
          <w:snapToGrid w:val="0"/>
          <w:color w:val="auto"/>
          <w:szCs w:val="24"/>
          <w:highlight w:val="none"/>
          <w:lang w:eastAsia="zh-CN"/>
        </w:rPr>
        <w:t>修订</w:t>
      </w:r>
      <w:r>
        <w:rPr>
          <w:rFonts w:hint="default" w:ascii="Times New Roman" w:hAnsi="Times New Roman" w:cs="Times New Roman"/>
          <w:snapToGrid w:val="0"/>
          <w:color w:val="auto"/>
          <w:szCs w:val="24"/>
          <w:highlight w:val="none"/>
        </w:rPr>
        <w:t>）；</w:t>
      </w:r>
    </w:p>
    <w:p w14:paraId="38EB86E5">
      <w:pPr>
        <w:pStyle w:val="60"/>
        <w:numPr>
          <w:ilvl w:val="0"/>
          <w:numId w:val="8"/>
        </w:numPr>
        <w:adjustRightInd w:val="0"/>
        <w:snapToGrid w:val="0"/>
        <w:ind w:firstLine="48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《宁夏回族自治区生态环境保护条例》（2025年1月1日起施行）；</w:t>
      </w:r>
    </w:p>
    <w:p w14:paraId="696D2B55">
      <w:pPr>
        <w:pStyle w:val="60"/>
        <w:numPr>
          <w:ilvl w:val="0"/>
          <w:numId w:val="8"/>
        </w:numPr>
        <w:adjustRightInd w:val="0"/>
        <w:snapToGrid w:val="0"/>
        <w:ind w:firstLine="48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 xml:space="preserve">《宁夏回族自治区土壤污染防治条例》（2021年11月1日起施行）； </w:t>
      </w:r>
    </w:p>
    <w:p w14:paraId="07FC7F98">
      <w:pPr>
        <w:pStyle w:val="60"/>
        <w:numPr>
          <w:ilvl w:val="0"/>
          <w:numId w:val="8"/>
        </w:numPr>
        <w:adjustRightInd w:val="0"/>
        <w:snapToGrid w:val="0"/>
        <w:ind w:firstLine="48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 xml:space="preserve">《宁夏回族自治区水污染防治条例》（2020年3月1日起施行）； </w:t>
      </w:r>
    </w:p>
    <w:p w14:paraId="7FA073A9">
      <w:pPr>
        <w:pStyle w:val="60"/>
        <w:numPr>
          <w:ilvl w:val="0"/>
          <w:numId w:val="8"/>
        </w:numPr>
        <w:adjustRightInd w:val="0"/>
        <w:snapToGrid w:val="0"/>
        <w:ind w:firstLine="48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《宁夏回族自治区大气污染防治条例》（2017年11月1日起施行）；</w:t>
      </w:r>
    </w:p>
    <w:p w14:paraId="02DBF02C">
      <w:pPr>
        <w:pStyle w:val="60"/>
        <w:numPr>
          <w:ilvl w:val="0"/>
          <w:numId w:val="8"/>
        </w:numPr>
        <w:adjustRightInd w:val="0"/>
        <w:snapToGrid w:val="0"/>
        <w:ind w:firstLine="48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《宁夏回族自治区固体废物污染环境防治条例》（2023年1月1日起施行）；</w:t>
      </w:r>
    </w:p>
    <w:p w14:paraId="2A0E8702">
      <w:pPr>
        <w:pStyle w:val="60"/>
        <w:numPr>
          <w:ilvl w:val="0"/>
          <w:numId w:val="8"/>
        </w:numPr>
        <w:adjustRightInd w:val="0"/>
        <w:snapToGrid w:val="0"/>
        <w:ind w:left="0" w:leftChars="0" w:firstLine="480" w:firstLineChars="200"/>
        <w:jc w:val="both"/>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lang w:val="en-US" w:eastAsia="zh-CN"/>
        </w:rPr>
        <w:t>《宁夏回族自治区基本农田保护条例》（2001年1月1日起施行）；</w:t>
      </w:r>
    </w:p>
    <w:p w14:paraId="066CD9D2">
      <w:pPr>
        <w:pStyle w:val="60"/>
        <w:numPr>
          <w:ilvl w:val="0"/>
          <w:numId w:val="8"/>
        </w:numPr>
        <w:adjustRightInd w:val="0"/>
        <w:snapToGrid w:val="0"/>
        <w:ind w:left="0" w:leftChars="0" w:firstLine="480" w:firstLineChars="200"/>
        <w:jc w:val="both"/>
        <w:rPr>
          <w:rFonts w:hint="default" w:ascii="Times New Roman" w:hAnsi="Times New Roman" w:cs="Times New Roman"/>
          <w:snapToGrid w:val="0"/>
          <w:color w:val="auto"/>
          <w:szCs w:val="24"/>
          <w:highlight w:val="none"/>
          <w:lang w:val="en-US" w:eastAsia="zh-CN"/>
        </w:rPr>
      </w:pPr>
      <w:r>
        <w:rPr>
          <w:rFonts w:hint="default" w:ascii="Times New Roman" w:hAnsi="Times New Roman" w:cs="Times New Roman"/>
          <w:snapToGrid w:val="0"/>
          <w:color w:val="auto"/>
          <w:szCs w:val="24"/>
          <w:highlight w:val="none"/>
        </w:rPr>
        <w:t>《</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"https://www.sogou.com/link?url=DSOYnZeCC_oL_5EB1-omqzS57of9O74O0c11MC8NZ-GUEuELvH81AXb1Cngv_zqrf1pM6Nlui6o4d2X6F0SQYA.." \t "https://www.sogou.com/_blank"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snapToGrid w:val="0"/>
          <w:color w:val="auto"/>
          <w:szCs w:val="24"/>
          <w:highlight w:val="none"/>
        </w:rPr>
        <w:t>自治区人民政府关于实施“三线一单”生态环境分区管控的通知</w:t>
      </w:r>
      <w:r>
        <w:rPr>
          <w:rFonts w:hint="default" w:ascii="Times New Roman" w:hAnsi="Times New Roman" w:cs="Times New Roman"/>
          <w:snapToGrid w:val="0"/>
          <w:color w:val="auto"/>
          <w:szCs w:val="24"/>
          <w:highlight w:val="none"/>
        </w:rPr>
        <w:fldChar w:fldCharType="end"/>
      </w:r>
      <w:r>
        <w:rPr>
          <w:rFonts w:hint="default" w:ascii="Times New Roman" w:hAnsi="Times New Roman" w:cs="Times New Roman"/>
          <w:snapToGrid w:val="0"/>
          <w:color w:val="auto"/>
          <w:szCs w:val="24"/>
          <w:highlight w:val="none"/>
        </w:rPr>
        <w:t>》（宁政发〔2020〕37号）；</w:t>
      </w:r>
    </w:p>
    <w:p w14:paraId="66EE75DC">
      <w:pPr>
        <w:pStyle w:val="60"/>
        <w:adjustRightInd w:val="0"/>
        <w:snapToGrid w:val="0"/>
        <w:ind w:firstLine="480" w:firstLineChars="0"/>
        <w:jc w:val="both"/>
        <w:rPr>
          <w:rFonts w:hint="default" w:ascii="Times New Roman" w:hAnsi="Times New Roman" w:eastAsia="宋体" w:cs="Times New Roman"/>
          <w:snapToGrid w:val="0"/>
          <w:color w:val="auto"/>
          <w:szCs w:val="24"/>
          <w:highlight w:val="none"/>
          <w:lang w:eastAsia="zh-CN"/>
        </w:rPr>
      </w:pPr>
      <w:r>
        <w:rPr>
          <w:rFonts w:hint="default" w:ascii="Times New Roman" w:hAnsi="Times New Roman" w:cs="Times New Roman"/>
          <w:color w:val="auto"/>
          <w:kern w:val="0"/>
          <w:szCs w:val="24"/>
          <w:highlight w:val="none"/>
          <w:lang w:bidi="ar"/>
        </w:rPr>
        <w:t>（</w:t>
      </w:r>
      <w:r>
        <w:rPr>
          <w:rFonts w:hint="eastAsia" w:cs="Times New Roman"/>
          <w:color w:val="auto"/>
          <w:kern w:val="0"/>
          <w:szCs w:val="24"/>
          <w:highlight w:val="none"/>
          <w:lang w:val="en-US" w:eastAsia="zh-CN" w:bidi="ar"/>
        </w:rPr>
        <w:t>9</w:t>
      </w:r>
      <w:r>
        <w:rPr>
          <w:rFonts w:hint="default" w:ascii="Times New Roman" w:hAnsi="Times New Roman" w:cs="Times New Roman"/>
          <w:color w:val="auto"/>
          <w:kern w:val="0"/>
          <w:szCs w:val="24"/>
          <w:highlight w:val="none"/>
          <w:lang w:bidi="ar"/>
        </w:rPr>
        <w:t>）宁夏回族自治区生态环境厅关于发布《宁夏回族自治区生态环境分区管控动态更新成果》的通知（宁环规发</w:t>
      </w:r>
      <w:r>
        <w:rPr>
          <w:rFonts w:hint="default" w:ascii="Times New Roman" w:hAnsi="Times New Roman" w:cs="Times New Roman"/>
          <w:snapToGrid w:val="0"/>
          <w:color w:val="auto"/>
          <w:szCs w:val="24"/>
          <w:highlight w:val="none"/>
        </w:rPr>
        <w:t>〔2024〕</w:t>
      </w:r>
      <w:r>
        <w:rPr>
          <w:rFonts w:hint="default" w:ascii="Times New Roman" w:hAnsi="Times New Roman" w:cs="Times New Roman"/>
          <w:color w:val="auto"/>
          <w:kern w:val="0"/>
          <w:szCs w:val="24"/>
          <w:highlight w:val="none"/>
          <w:lang w:bidi="ar"/>
        </w:rPr>
        <w:t>3号）</w:t>
      </w:r>
      <w:r>
        <w:rPr>
          <w:rFonts w:hint="default" w:ascii="Times New Roman" w:hAnsi="Times New Roman" w:cs="Times New Roman"/>
          <w:snapToGrid w:val="0"/>
          <w:color w:val="auto"/>
          <w:szCs w:val="24"/>
          <w:highlight w:val="none"/>
          <w:lang w:eastAsia="zh-CN"/>
        </w:rPr>
        <w:t>；</w:t>
      </w:r>
    </w:p>
    <w:p w14:paraId="1C097EDD">
      <w:pPr>
        <w:pStyle w:val="60"/>
        <w:adjustRightInd w:val="0"/>
        <w:snapToGrid w:val="0"/>
        <w:ind w:firstLine="480" w:firstLineChars="0"/>
        <w:jc w:val="both"/>
        <w:rPr>
          <w:rFonts w:hint="default" w:ascii="Times New Roman" w:hAnsi="Times New Roman" w:eastAsia="宋体" w:cs="Times New Roman"/>
          <w:snapToGrid w:val="0"/>
          <w:color w:val="auto"/>
          <w:szCs w:val="24"/>
          <w:highlight w:val="none"/>
          <w:lang w:val="en-US" w:eastAsia="zh-CN"/>
        </w:rPr>
      </w:pPr>
      <w:r>
        <w:rPr>
          <w:rFonts w:hint="default" w:ascii="Times New Roman" w:hAnsi="Times New Roman" w:cs="Times New Roman"/>
          <w:snapToGrid w:val="0"/>
          <w:color w:val="auto"/>
          <w:szCs w:val="24"/>
          <w:highlight w:val="none"/>
        </w:rPr>
        <w:t>（</w:t>
      </w:r>
      <w:r>
        <w:rPr>
          <w:rFonts w:hint="eastAsia" w:cs="Times New Roman"/>
          <w:snapToGrid w:val="0"/>
          <w:color w:val="auto"/>
          <w:szCs w:val="24"/>
          <w:highlight w:val="none"/>
          <w:lang w:val="en-US" w:eastAsia="zh-CN"/>
        </w:rPr>
        <w:t>10</w:t>
      </w:r>
      <w:r>
        <w:rPr>
          <w:rFonts w:hint="default" w:ascii="Times New Roman" w:hAnsi="Times New Roman" w:cs="Times New Roman"/>
          <w:snapToGrid w:val="0"/>
          <w:color w:val="auto"/>
          <w:szCs w:val="24"/>
          <w:highlight w:val="none"/>
        </w:rPr>
        <w:t>）</w:t>
      </w:r>
      <w:r>
        <w:rPr>
          <w:rFonts w:hint="eastAsia" w:ascii="Times New Roman" w:hAnsi="Times New Roman" w:cs="Times New Roman"/>
          <w:color w:val="auto"/>
          <w:kern w:val="0"/>
          <w:sz w:val="24"/>
          <w:highlight w:val="none"/>
          <w:lang w:val="en-US" w:eastAsia="zh-CN"/>
        </w:rPr>
        <w:t>固原市人民政府关于印发《固原市生态环境分区管控实施方案》的通知（固政发〔2024〕28号）</w:t>
      </w:r>
      <w:r>
        <w:rPr>
          <w:rFonts w:hint="default" w:ascii="Times New Roman" w:hAnsi="Times New Roman" w:eastAsia="宋体" w:cs="Times New Roman"/>
          <w:b w:val="0"/>
          <w:bCs/>
          <w:color w:val="auto"/>
          <w:spacing w:val="0"/>
          <w:w w:val="100"/>
          <w:position w:val="0"/>
          <w:sz w:val="24"/>
          <w:szCs w:val="24"/>
          <w:highlight w:val="none"/>
          <w:lang w:eastAsia="zh-CN"/>
        </w:rPr>
        <w:t>。</w:t>
      </w:r>
    </w:p>
    <w:p w14:paraId="3DE0EC59">
      <w:pPr>
        <w:keepNext/>
        <w:keepLines/>
        <w:pageBreakBefore w:val="0"/>
        <w:widowControl w:val="0"/>
        <w:kinsoku/>
        <w:wordWrap/>
        <w:overflowPunct/>
        <w:topLinePunct w:val="0"/>
        <w:autoSpaceDE/>
        <w:autoSpaceDN/>
        <w:bidi w:val="0"/>
        <w:adjustRightInd/>
        <w:snapToGrid/>
        <w:spacing w:before="120" w:beforeLines="0" w:beforeAutospacing="0" w:after="120" w:afterLines="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1.2.3规章与规范性文件</w:t>
      </w:r>
    </w:p>
    <w:p w14:paraId="4030692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（1）《自然资源部农业农村部国家林业和草原局关于严格耕地用途管制有关问题的通知》（自然资发〔2021〕166号）；</w:t>
      </w:r>
    </w:p>
    <w:p w14:paraId="1580ED1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（2）《关于设施农业用地管理有关问题的通知》（自然资规〔2019〕4号）；</w:t>
      </w:r>
    </w:p>
    <w:p w14:paraId="45C1864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（3）《关于划定并严守生态保护红线的若干意见》（中共中央办公厅、国务院办公厅2017年2月印发）；</w:t>
      </w:r>
    </w:p>
    <w:p w14:paraId="1D12A03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（4）《关于以改善环境质量为核心加强环境影响评价管理的通知》（环环评〔2016〕150号）；</w:t>
      </w:r>
    </w:p>
    <w:p w14:paraId="27F1302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（5）《关于进一步加强生物多样性保护的意见》（中共中央办公厅、国务院办公厅2021年10月印发）；</w:t>
      </w:r>
    </w:p>
    <w:p w14:paraId="3629C05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（6）《国家重点保护野生植物名录》（2021年8月7日实施）；</w:t>
      </w:r>
    </w:p>
    <w:p w14:paraId="42FCCFD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（7）《国家重点保护野生动物名录》（2021年2月11日实施）；</w:t>
      </w:r>
    </w:p>
    <w:p w14:paraId="37DDAFD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（8）《自然资源部生态环境部国家林业和草原局关于加强生态保护红线管理的通知（试行）》（自然资发〔2022〕142号）；</w:t>
      </w:r>
    </w:p>
    <w:p w14:paraId="2B9CF26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（9）生态环境部关于印发《生态保护红线生态环境监督办法（试行）》的通知（国环规生态〔2022〕2号）；</w:t>
      </w:r>
    </w:p>
    <w:p w14:paraId="1955D53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（10）中共中央办公厅国务院办公厅印发《关于在国土空间规划中统筹划定落实三条控制线的指导意见》（厅字〔2019〕48号）；</w:t>
      </w:r>
    </w:p>
    <w:p w14:paraId="2B91DD3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（11）中共宁夏回族自治区委员会办公厅《自治区党委办公厅人民政府办公厅印发&lt;关于优化国土空间开发保护格局的实施意见&gt;等7个生态文明建设领域绿色发展类专项文件的通知》（宁党办〔2023〕63号）；</w:t>
      </w:r>
    </w:p>
    <w:p w14:paraId="0BC53CA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（12）《关于做好生态保护红线内准入建设项目论证工作的通知》（宁自然资发〔2024〕23号）；</w:t>
      </w:r>
    </w:p>
    <w:p w14:paraId="4B8F1CA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）《宁夏回族自治区重点保护野生植物名录（第一批）》（2024年8月13日）；</w:t>
      </w:r>
    </w:p>
    <w:p w14:paraId="496C617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）《陆生野生动物重要栖息地名录</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第一批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国家林业和草原局公告 2023年第23号</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p>
    <w:p w14:paraId="4CE52CA1">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1.2.4导则、标准、技术文件</w:t>
      </w:r>
    </w:p>
    <w:p w14:paraId="0513ADF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（1）《建设项目环境影响评价技术导则 总纲》（HJ2.1-2016）；</w:t>
      </w:r>
    </w:p>
    <w:p w14:paraId="3FC006B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（2）《环境影响评价技术导则 输变电》（HJ24-2020）；</w:t>
      </w:r>
    </w:p>
    <w:p w14:paraId="2C373ABF">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（3）《环境影响评价技术导则 生态影响》（HJ19-2022）；</w:t>
      </w:r>
    </w:p>
    <w:p w14:paraId="5D8ED91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（4）《生态环境状况评价技术规范》（HJ192-2015）；</w:t>
      </w:r>
    </w:p>
    <w:p w14:paraId="3AD13097">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（5）《土地利用现状分类》（GB/T21010-2017）</w:t>
      </w:r>
      <w:r>
        <w:rPr>
          <w:rFonts w:hint="default" w:ascii="Times New Roman" w:hAnsi="Times New Roman" w:cs="Times New Roman"/>
          <w:color w:val="auto"/>
          <w:sz w:val="24"/>
          <w:highlight w:val="none"/>
          <w:lang w:val="en-US" w:eastAsia="zh-CN"/>
        </w:rPr>
        <w:t>；</w:t>
      </w:r>
    </w:p>
    <w:p w14:paraId="124F48A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）《生物多样性观测技术导则 陆生维管植物》（HJ 710.1-2014）；</w:t>
      </w:r>
    </w:p>
    <w:p w14:paraId="4F6145C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）《生物多样性观测技术导则 陆生哺乳动物》（HJ 710.3-2014）；</w:t>
      </w:r>
    </w:p>
    <w:p w14:paraId="5B8B14A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rPr>
        <w:t>）《生物多样性观测技术导则 鸟类》（HJ 710.4-2014）；</w:t>
      </w:r>
    </w:p>
    <w:p w14:paraId="653F605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9</w:t>
      </w:r>
      <w:r>
        <w:rPr>
          <w:rFonts w:hint="default" w:ascii="Times New Roman" w:hAnsi="Times New Roman" w:cs="Times New Roman"/>
          <w:color w:val="auto"/>
          <w:sz w:val="24"/>
          <w:highlight w:val="none"/>
        </w:rPr>
        <w:t>）《生物多样性观测技术导则 爬行动物》（HJ 710.5-2014）；</w:t>
      </w:r>
    </w:p>
    <w:p w14:paraId="5C873E5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）《生物多样性观测技术导则 两栖动物》（HJ 710.6—2014）</w:t>
      </w:r>
      <w:r>
        <w:rPr>
          <w:rFonts w:hint="default" w:ascii="Times New Roman" w:hAnsi="Times New Roman" w:cs="Times New Roman"/>
          <w:color w:val="auto"/>
          <w:sz w:val="24"/>
          <w:highlight w:val="none"/>
          <w:lang w:eastAsia="zh-CN"/>
        </w:rPr>
        <w:t>。</w:t>
      </w:r>
    </w:p>
    <w:p w14:paraId="1CDEBA10">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1.2.5相关规划</w:t>
      </w:r>
    </w:p>
    <w:p w14:paraId="7248958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（1）《全国生态功能区划（修编版）》；</w:t>
      </w:r>
    </w:p>
    <w:p w14:paraId="2B6EB8E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（2）《宁夏回族自治区生态功能区规划》；</w:t>
      </w:r>
    </w:p>
    <w:p w14:paraId="6797309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（3）《宁夏回族自治区生态环境保护“十四五”规划》</w:t>
      </w:r>
      <w:r>
        <w:rPr>
          <w:rFonts w:hint="default" w:ascii="Times New Roman" w:hAnsi="Times New Roman" w:cs="Times New Roman"/>
          <w:color w:val="auto"/>
          <w:sz w:val="24"/>
          <w:highlight w:val="none"/>
          <w:lang w:val="en-US" w:eastAsia="zh-CN"/>
        </w:rPr>
        <w:t>；</w:t>
      </w:r>
    </w:p>
    <w:p w14:paraId="2637A3E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（4）《固原市环境保护“十四五”规划》</w:t>
      </w:r>
      <w:r>
        <w:rPr>
          <w:rFonts w:hint="default" w:ascii="Times New Roman" w:hAnsi="Times New Roman" w:eastAsia="宋体" w:cs="Times New Roman"/>
          <w:color w:val="auto"/>
          <w:sz w:val="24"/>
          <w:highlight w:val="none"/>
          <w:lang w:val="en-US" w:eastAsia="zh-CN"/>
        </w:rPr>
        <w:t>。</w:t>
      </w:r>
    </w:p>
    <w:p w14:paraId="482E0B82">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1.3工作程序</w:t>
      </w:r>
    </w:p>
    <w:p w14:paraId="7793CCD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评价单位组织技术人员广泛开展了现场生态环境调查和资料收集工作，在完成环境现状调查、路线比选分析等基础上，按照建设单位提供的初步设计报告等资料，结合当地相关规划，并根据相关法律法规及技术导则要求，编制完成了《宁夏固原</w:t>
      </w:r>
      <w:r>
        <w:rPr>
          <w:rFonts w:hint="eastAsia" w:cs="Times New Roman"/>
          <w:color w:val="auto"/>
          <w:sz w:val="24"/>
          <w:highlight w:val="none"/>
          <w:lang w:val="en-US" w:eastAsia="zh-CN"/>
        </w:rPr>
        <w:t>张程110千伏</w:t>
      </w:r>
      <w:r>
        <w:rPr>
          <w:rFonts w:hint="default" w:ascii="Times New Roman" w:hAnsi="Times New Roman" w:eastAsia="宋体" w:cs="Times New Roman"/>
          <w:color w:val="auto"/>
          <w:sz w:val="24"/>
          <w:highlight w:val="none"/>
          <w:lang w:val="en-US" w:eastAsia="zh-CN"/>
        </w:rPr>
        <w:t>输变电工程生态</w:t>
      </w:r>
      <w:r>
        <w:rPr>
          <w:rFonts w:hint="eastAsia" w:cs="Times New Roman"/>
          <w:color w:val="auto"/>
          <w:sz w:val="24"/>
          <w:highlight w:val="none"/>
          <w:lang w:val="en-US" w:eastAsia="zh-CN"/>
        </w:rPr>
        <w:t>专题</w:t>
      </w:r>
      <w:r>
        <w:rPr>
          <w:rFonts w:hint="default" w:ascii="Times New Roman" w:hAnsi="Times New Roman" w:eastAsia="宋体" w:cs="Times New Roman"/>
          <w:color w:val="auto"/>
          <w:sz w:val="24"/>
          <w:highlight w:val="none"/>
          <w:lang w:val="en-US" w:eastAsia="zh-CN"/>
        </w:rPr>
        <w:t>评价》。</w:t>
      </w:r>
    </w:p>
    <w:p w14:paraId="5B51E6EB">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在评价过程中，评价单位一直与建设单位、项目设计单位保持密切的交流、讨论和沟通。生态影响评价工作程序（项目技术路线）见图1.3-1。</w:t>
      </w:r>
    </w:p>
    <w:p w14:paraId="2ADC7FB7">
      <w:pPr>
        <w:bidi w:val="0"/>
        <w:spacing w:line="360" w:lineRule="auto"/>
        <w:ind w:left="0" w:leftChars="0" w:firstLine="0"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4132580" cy="4324350"/>
            <wp:effectExtent l="0" t="0" r="1270" b="0"/>
            <wp:docPr id="135" name="图片 135" descr="16890626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689062613954"/>
                    <pic:cNvPicPr>
                      <a:picLocks noChangeAspect="1"/>
                    </pic:cNvPicPr>
                  </pic:nvPicPr>
                  <pic:blipFill>
                    <a:blip r:embed="rId33"/>
                    <a:stretch>
                      <a:fillRect/>
                    </a:stretch>
                  </pic:blipFill>
                  <pic:spPr>
                    <a:xfrm>
                      <a:off x="0" y="0"/>
                      <a:ext cx="4132580" cy="4324350"/>
                    </a:xfrm>
                    <a:prstGeom prst="rect">
                      <a:avLst/>
                    </a:prstGeom>
                    <a:noFill/>
                    <a:ln>
                      <a:noFill/>
                    </a:ln>
                  </pic:spPr>
                </pic:pic>
              </a:graphicData>
            </a:graphic>
          </wp:inline>
        </w:drawing>
      </w:r>
    </w:p>
    <w:p w14:paraId="038AF9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Cs/>
          <w:color w:val="auto"/>
          <w:kern w:val="44"/>
          <w:sz w:val="24"/>
          <w:highlight w:val="none"/>
          <w:lang w:eastAsia="zh-CN"/>
        </w:rPr>
      </w:pPr>
      <w:r>
        <w:rPr>
          <w:rFonts w:hint="default" w:ascii="Times New Roman" w:hAnsi="Times New Roman" w:eastAsia="黑体" w:cs="Times New Roman"/>
          <w:b/>
          <w:color w:val="auto"/>
          <w:kern w:val="2"/>
          <w:sz w:val="24"/>
          <w:szCs w:val="24"/>
          <w:highlight w:val="none"/>
          <w:lang w:val="en-US" w:eastAsia="zh-CN" w:bidi="ar-SA"/>
        </w:rPr>
        <w:t>图1.3-1</w:t>
      </w:r>
      <w:r>
        <w:rPr>
          <w:rFonts w:hint="eastAsia" w:ascii="Times New Roman" w:hAnsi="Times New Roman" w:eastAsia="黑体" w:cs="Times New Roman"/>
          <w:b/>
          <w:color w:val="auto"/>
          <w:kern w:val="2"/>
          <w:sz w:val="24"/>
          <w:szCs w:val="24"/>
          <w:highlight w:val="none"/>
          <w:lang w:val="en-US" w:eastAsia="zh-CN" w:bidi="ar-SA"/>
        </w:rPr>
        <w:t xml:space="preserve">  </w:t>
      </w:r>
      <w:r>
        <w:rPr>
          <w:rFonts w:hint="default" w:ascii="Times New Roman" w:hAnsi="Times New Roman" w:eastAsia="黑体" w:cs="Times New Roman"/>
          <w:b/>
          <w:color w:val="auto"/>
          <w:kern w:val="2"/>
          <w:sz w:val="24"/>
          <w:szCs w:val="24"/>
          <w:highlight w:val="none"/>
          <w:lang w:val="en-US" w:eastAsia="zh-CN" w:bidi="ar-SA"/>
        </w:rPr>
        <w:t>生态影响评价工作程序（项目技术路线）</w:t>
      </w:r>
    </w:p>
    <w:p w14:paraId="57986CB6">
      <w:pPr>
        <w:keepNext/>
        <w:keepLines/>
        <w:pageBreakBefore w:val="0"/>
        <w:widowControl w:val="0"/>
        <w:kinsoku/>
        <w:wordWrap/>
        <w:overflowPunct/>
        <w:topLinePunct w:val="0"/>
        <w:autoSpaceDE/>
        <w:autoSpaceDN/>
        <w:bidi w:val="0"/>
        <w:adjustRightInd w:val="0"/>
        <w:snapToGrid w:val="0"/>
        <w:spacing w:before="120" w:beforeLines="0" w:beforeAutospacing="0" w:after="120" w:afterLines="0" w:afterAutospacing="0" w:line="360" w:lineRule="auto"/>
        <w:ind w:firstLine="0" w:firstLineChars="0"/>
        <w:jc w:val="left"/>
        <w:textAlignment w:val="auto"/>
        <w:outlineLvl w:val="1"/>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1.4评价等级</w:t>
      </w:r>
    </w:p>
    <w:p w14:paraId="35519651">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根据《环境影响评价技术导则 生态影响》（HJ19-2022）中有关生态影响评价等级判定的原则，综合判定本工程的评价等级见表1.4-1。</w:t>
      </w:r>
    </w:p>
    <w:p w14:paraId="6C47782A">
      <w:pPr>
        <w:widowControl/>
        <w:adjustRightInd w:val="0"/>
        <w:snapToGrid w:val="0"/>
        <w:spacing w:line="360" w:lineRule="auto"/>
        <w:jc w:val="center"/>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表1.4-1  本工程生态评价等级判定一览表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3998"/>
        <w:gridCol w:w="3625"/>
      </w:tblGrid>
      <w:tr w14:paraId="1E136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4" w:type="dxa"/>
            <w:tcBorders>
              <w:tl2br w:val="nil"/>
              <w:tr2bl w:val="nil"/>
            </w:tcBorders>
            <w:noWrap w:val="0"/>
            <w:vAlign w:val="center"/>
          </w:tcPr>
          <w:p w14:paraId="7FD1AAC9">
            <w:pPr>
              <w:pStyle w:val="11"/>
              <w:keepNext w:val="0"/>
              <w:keepLines w:val="0"/>
              <w:pageBreakBefore w:val="0"/>
              <w:widowControl/>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3998" w:type="dxa"/>
            <w:tcBorders>
              <w:tl2br w:val="nil"/>
              <w:tr2bl w:val="nil"/>
            </w:tcBorders>
            <w:noWrap w:val="0"/>
            <w:vAlign w:val="center"/>
          </w:tcPr>
          <w:p w14:paraId="4D45F91A">
            <w:pPr>
              <w:pStyle w:val="11"/>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原则</w:t>
            </w:r>
          </w:p>
        </w:tc>
        <w:tc>
          <w:tcPr>
            <w:tcW w:w="3625" w:type="dxa"/>
            <w:tcBorders>
              <w:tl2br w:val="nil"/>
              <w:tr2bl w:val="nil"/>
            </w:tcBorders>
            <w:noWrap w:val="0"/>
            <w:vAlign w:val="center"/>
          </w:tcPr>
          <w:p w14:paraId="1EAC75AA">
            <w:pPr>
              <w:pStyle w:val="11"/>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本项目情况</w:t>
            </w:r>
          </w:p>
        </w:tc>
      </w:tr>
      <w:tr w14:paraId="2E517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1AC17B4E">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3998" w:type="dxa"/>
            <w:tcBorders>
              <w:tl2br w:val="nil"/>
              <w:tr2bl w:val="nil"/>
            </w:tcBorders>
            <w:noWrap w:val="0"/>
            <w:vAlign w:val="center"/>
          </w:tcPr>
          <w:p w14:paraId="13F7A4D2">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a）</w:t>
            </w:r>
            <w:r>
              <w:rPr>
                <w:rFonts w:hint="default" w:ascii="Times New Roman" w:hAnsi="Times New Roman" w:eastAsia="宋体" w:cs="Times New Roman"/>
                <w:color w:val="auto"/>
                <w:sz w:val="21"/>
                <w:szCs w:val="21"/>
                <w:highlight w:val="none"/>
                <w:vertAlign w:val="baseline"/>
                <w:lang w:val="en-US" w:eastAsia="zh-CN"/>
              </w:rPr>
              <w:t>涉及国家公园、自然保护区、世界自然遗产、重要生境时，评价等级为一级</w:t>
            </w:r>
            <w:r>
              <w:rPr>
                <w:rFonts w:hint="eastAsia" w:ascii="Times New Roman" w:hAnsi="Times New Roman" w:eastAsia="宋体" w:cs="Times New Roman"/>
                <w:color w:val="auto"/>
                <w:sz w:val="21"/>
                <w:szCs w:val="21"/>
                <w:highlight w:val="none"/>
                <w:vertAlign w:val="baseline"/>
                <w:lang w:val="en-US" w:eastAsia="zh-CN"/>
              </w:rPr>
              <w:t>；</w:t>
            </w:r>
          </w:p>
        </w:tc>
        <w:tc>
          <w:tcPr>
            <w:tcW w:w="3625" w:type="dxa"/>
            <w:tcBorders>
              <w:tl2br w:val="nil"/>
              <w:tr2bl w:val="nil"/>
            </w:tcBorders>
            <w:noWrap w:val="0"/>
            <w:vAlign w:val="center"/>
          </w:tcPr>
          <w:p w14:paraId="416D5F9E">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不涉及</w:t>
            </w:r>
          </w:p>
        </w:tc>
      </w:tr>
      <w:tr w14:paraId="2F6C7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1D998A89">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3998" w:type="dxa"/>
            <w:tcBorders>
              <w:tl2br w:val="nil"/>
              <w:tr2bl w:val="nil"/>
            </w:tcBorders>
            <w:noWrap w:val="0"/>
            <w:vAlign w:val="center"/>
          </w:tcPr>
          <w:p w14:paraId="39C5E8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b）</w:t>
            </w:r>
            <w:r>
              <w:rPr>
                <w:rFonts w:hint="default" w:ascii="Times New Roman" w:hAnsi="Times New Roman" w:eastAsia="宋体" w:cs="Times New Roman"/>
                <w:color w:val="auto"/>
                <w:kern w:val="0"/>
                <w:sz w:val="21"/>
                <w:szCs w:val="21"/>
                <w:highlight w:val="none"/>
                <w:lang w:val="en-US" w:eastAsia="zh-CN" w:bidi="ar"/>
              </w:rPr>
              <w:t>涉及自然公园时，评价等级为二级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02D5E5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不涉及</w:t>
            </w:r>
          </w:p>
        </w:tc>
      </w:tr>
      <w:tr w14:paraId="3B225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03762998">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3998" w:type="dxa"/>
            <w:tcBorders>
              <w:tl2br w:val="nil"/>
              <w:tr2bl w:val="nil"/>
            </w:tcBorders>
            <w:noWrap w:val="0"/>
            <w:vAlign w:val="center"/>
          </w:tcPr>
          <w:p w14:paraId="7809C2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c）</w:t>
            </w:r>
            <w:r>
              <w:rPr>
                <w:rFonts w:hint="default" w:ascii="Times New Roman" w:hAnsi="Times New Roman" w:eastAsia="宋体" w:cs="Times New Roman"/>
                <w:color w:val="auto"/>
                <w:kern w:val="0"/>
                <w:sz w:val="21"/>
                <w:szCs w:val="21"/>
                <w:highlight w:val="none"/>
                <w:lang w:val="en-US" w:eastAsia="zh-CN" w:bidi="ar"/>
              </w:rPr>
              <w:t>涉及生态保护红线时，评价等级不低于二级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640EDC61">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输电线路一档跨越******，跨越线路长度约13m，最近铁塔距离该生态保护红线约46m，在生态保护红线范围内无永久、临时占地。</w:t>
            </w:r>
          </w:p>
        </w:tc>
      </w:tr>
      <w:tr w14:paraId="1C4D9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3EC3B6C8">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3998" w:type="dxa"/>
            <w:tcBorders>
              <w:tl2br w:val="nil"/>
              <w:tr2bl w:val="nil"/>
            </w:tcBorders>
            <w:noWrap w:val="0"/>
            <w:vAlign w:val="center"/>
          </w:tcPr>
          <w:p w14:paraId="04F9A8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kern w:val="0"/>
                <w:sz w:val="21"/>
                <w:szCs w:val="21"/>
                <w:highlight w:val="none"/>
                <w:lang w:val="en-US" w:eastAsia="zh-CN" w:bidi="ar"/>
              </w:rPr>
              <w:t>根据《环境影响评价技术导则 地表水环境》（HJ 2.3-2018）判断属于水文要素影响型且地表水评价等级不低于二级的建设项目，生态影响评价等级不低于二级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0AE9C7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不属于水文要素影响型</w:t>
            </w:r>
            <w:r>
              <w:rPr>
                <w:rFonts w:hint="default" w:ascii="Times New Roman" w:hAnsi="Times New Roman"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，地表水评价等级为三级B</w:t>
            </w:r>
            <w:r>
              <w:rPr>
                <w:rFonts w:hint="default" w:ascii="Times New Roman" w:hAnsi="Times New Roman" w:cs="Times New Roman"/>
                <w:color w:val="auto"/>
                <w:kern w:val="0"/>
                <w:sz w:val="21"/>
                <w:szCs w:val="21"/>
                <w:highlight w:val="none"/>
                <w:lang w:val="en-US" w:eastAsia="zh-CN" w:bidi="ar"/>
              </w:rPr>
              <w:t>。</w:t>
            </w:r>
          </w:p>
        </w:tc>
      </w:tr>
      <w:tr w14:paraId="213668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6C2E4B14">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3998" w:type="dxa"/>
            <w:tcBorders>
              <w:tl2br w:val="nil"/>
              <w:tr2bl w:val="nil"/>
            </w:tcBorders>
            <w:noWrap w:val="0"/>
            <w:vAlign w:val="center"/>
          </w:tcPr>
          <w:p w14:paraId="3F42DE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e）</w:t>
            </w:r>
            <w:r>
              <w:rPr>
                <w:rFonts w:hint="default" w:ascii="Times New Roman" w:hAnsi="Times New Roman" w:eastAsia="宋体" w:cs="Times New Roman"/>
                <w:color w:val="auto"/>
                <w:kern w:val="0"/>
                <w:sz w:val="21"/>
                <w:szCs w:val="21"/>
                <w:highlight w:val="none"/>
                <w:lang w:val="en-US" w:eastAsia="zh-CN" w:bidi="ar"/>
              </w:rPr>
              <w:t>根据《环境影响评价技术导则 地下水环境》（HJ 610-2016）、《环境影响评价技术导则 土壤环境（试行）》（HJ 964-2018）判断地下水水位或土壤影响范围内分布有天然林、公益林、湿地等生态保护目标的建设项目，生态影响评价等级不低于二级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65D457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根据（HJ 610-2016）输变电工程属于</w:t>
            </w:r>
            <w:r>
              <w:rPr>
                <w:rFonts w:hint="default" w:ascii="Times New Roman" w:hAnsi="Times New Roman" w:eastAsia="宋体" w:cs="Times New Roman"/>
                <w:color w:val="auto"/>
                <w:kern w:val="0"/>
                <w:sz w:val="21"/>
                <w:szCs w:val="21"/>
                <w:highlight w:val="none"/>
                <w:lang w:val="en-US" w:eastAsia="zh-CN" w:bidi="ar"/>
              </w:rPr>
              <w:fldChar w:fldCharType="begin"/>
            </w:r>
            <w:r>
              <w:rPr>
                <w:rFonts w:hint="default" w:ascii="Times New Roman" w:hAnsi="Times New Roman" w:eastAsia="宋体" w:cs="Times New Roman"/>
                <w:color w:val="auto"/>
                <w:kern w:val="0"/>
                <w:sz w:val="21"/>
                <w:szCs w:val="21"/>
                <w:highlight w:val="none"/>
                <w:lang w:val="en-US" w:eastAsia="zh-CN" w:bidi="ar"/>
              </w:rPr>
              <w:instrText xml:space="preserve"> = 4 \* ROMAN \* MERGEFORMAT </w:instrText>
            </w:r>
            <w:r>
              <w:rPr>
                <w:rFonts w:hint="default" w:ascii="Times New Roman" w:hAnsi="Times New Roman" w:eastAsia="宋体" w:cs="Times New Roman"/>
                <w:color w:val="auto"/>
                <w:kern w:val="0"/>
                <w:sz w:val="21"/>
                <w:szCs w:val="21"/>
                <w:highlight w:val="none"/>
                <w:lang w:val="en-US" w:eastAsia="zh-CN" w:bidi="ar"/>
              </w:rPr>
              <w:fldChar w:fldCharType="separate"/>
            </w:r>
            <w:r>
              <w:rPr>
                <w:rFonts w:hint="default" w:ascii="Times New Roman" w:hAnsi="Times New Roman" w:cs="Times New Roman"/>
                <w:color w:val="auto"/>
                <w:highlight w:val="none"/>
              </w:rPr>
              <w:t>IV</w:t>
            </w:r>
            <w:r>
              <w:rPr>
                <w:rFonts w:hint="default" w:ascii="Times New Roman" w:hAnsi="Times New Roman" w:eastAsia="宋体" w:cs="Times New Roman"/>
                <w:color w:val="auto"/>
                <w:kern w:val="0"/>
                <w:sz w:val="21"/>
                <w:szCs w:val="21"/>
                <w:highlight w:val="none"/>
                <w:lang w:val="en-US" w:eastAsia="zh-CN" w:bidi="ar"/>
              </w:rPr>
              <w:fldChar w:fldCharType="end"/>
            </w:r>
            <w:r>
              <w:rPr>
                <w:rFonts w:hint="default" w:ascii="Times New Roman" w:hAnsi="Times New Roman" w:eastAsia="宋体" w:cs="Times New Roman"/>
                <w:color w:val="auto"/>
                <w:kern w:val="0"/>
                <w:sz w:val="21"/>
                <w:szCs w:val="21"/>
                <w:highlight w:val="none"/>
                <w:lang w:val="en-US" w:eastAsia="zh-CN" w:bidi="ar"/>
              </w:rPr>
              <w:t>类项目不需要进行地下水评价；根据（HJ 964-2018）适用范围可知，核与辐射类项目不适用该导则；《环境影响评价技术导则输变电》（HJ24-2020）“附录A.1 专项设置内容”本</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不涉及地下水、土壤评价内容。综上本项目不属于对土壤和地下水有污染的项目。</w:t>
            </w:r>
          </w:p>
        </w:tc>
      </w:tr>
      <w:tr w14:paraId="22E49B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5342447C">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3998" w:type="dxa"/>
            <w:tcBorders>
              <w:tl2br w:val="nil"/>
              <w:tr2bl w:val="nil"/>
            </w:tcBorders>
            <w:noWrap w:val="0"/>
            <w:vAlign w:val="center"/>
          </w:tcPr>
          <w:p w14:paraId="32359E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f）</w:t>
            </w:r>
            <w:r>
              <w:rPr>
                <w:rFonts w:hint="default" w:ascii="Times New Roman" w:hAnsi="Times New Roman" w:eastAsia="宋体" w:cs="Times New Roman"/>
                <w:color w:val="auto"/>
                <w:kern w:val="0"/>
                <w:sz w:val="21"/>
                <w:szCs w:val="21"/>
                <w:highlight w:val="none"/>
                <w:lang w:val="en-US" w:eastAsia="zh-CN" w:bidi="ar"/>
              </w:rPr>
              <w:t>当工程占地规模大于20km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时（包括永久和临时占用陆域和水域），评价等级不低于二级；改扩建项目的占地范围以新增占地（包括陆域和水域）确定</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2DBEA6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kern w:val="0"/>
                <w:sz w:val="21"/>
                <w:szCs w:val="21"/>
                <w:highlight w:val="none"/>
                <w:lang w:val="en-US" w:eastAsia="zh-CN" w:bidi="ar"/>
              </w:rPr>
              <w:t>本</w:t>
            </w:r>
            <w:r>
              <w:rPr>
                <w:rFonts w:hint="default" w:ascii="Times New Roman" w:hAnsi="Times New Roman" w:cs="Times New Roman"/>
                <w:color w:val="auto"/>
                <w:kern w:val="0"/>
                <w:sz w:val="21"/>
                <w:szCs w:val="21"/>
                <w:highlight w:val="none"/>
                <w:lang w:bidi="ar"/>
              </w:rPr>
              <w:t>项目总占地面积</w:t>
            </w:r>
            <w:r>
              <w:rPr>
                <w:rFonts w:hint="eastAsia" w:ascii="Times New Roman" w:hAnsi="Times New Roman" w:cs="Times New Roman"/>
                <w:color w:val="auto"/>
                <w:kern w:val="0"/>
                <w:sz w:val="21"/>
                <w:szCs w:val="21"/>
                <w:highlight w:val="none"/>
                <w:lang w:val="en-US" w:eastAsia="zh-CN" w:bidi="ar"/>
              </w:rPr>
              <w:t>0.0</w:t>
            </w:r>
            <w:r>
              <w:rPr>
                <w:rFonts w:hint="default" w:ascii="Times New Roman" w:hAnsi="Times New Roman" w:cs="Times New Roman"/>
                <w:color w:val="auto"/>
                <w:kern w:val="0"/>
                <w:sz w:val="21"/>
                <w:szCs w:val="21"/>
                <w:highlight w:val="none"/>
                <w:lang w:val="en-US" w:eastAsia="zh-CN" w:bidi="ar"/>
              </w:rPr>
              <w:t>7036</w:t>
            </w:r>
            <w:r>
              <w:rPr>
                <w:rFonts w:hint="default" w:ascii="Times New Roman" w:hAnsi="Times New Roman" w:cs="Times New Roman"/>
                <w:color w:val="auto"/>
                <w:kern w:val="0"/>
                <w:sz w:val="21"/>
                <w:szCs w:val="21"/>
                <w:highlight w:val="none"/>
                <w:lang w:bidi="ar"/>
              </w:rPr>
              <w:t>km</w:t>
            </w:r>
            <w:r>
              <w:rPr>
                <w:rFonts w:hint="default" w:ascii="Times New Roman" w:hAnsi="Times New Roman" w:cs="Times New Roman"/>
                <w:color w:val="auto"/>
                <w:kern w:val="0"/>
                <w:sz w:val="21"/>
                <w:szCs w:val="21"/>
                <w:highlight w:val="none"/>
                <w:vertAlign w:val="superscript"/>
                <w:lang w:bidi="ar"/>
              </w:rPr>
              <w:t>2</w:t>
            </w:r>
            <w:r>
              <w:rPr>
                <w:rFonts w:hint="eastAsia" w:cs="Times New Roman"/>
                <w:color w:val="auto"/>
                <w:kern w:val="0"/>
                <w:sz w:val="21"/>
                <w:szCs w:val="21"/>
                <w:highlight w:val="none"/>
                <w:vertAlign w:val="baseline"/>
                <w:lang w:eastAsia="zh-CN" w:bidi="ar"/>
              </w:rPr>
              <w:t>，</w:t>
            </w:r>
            <w:r>
              <w:rPr>
                <w:rFonts w:hint="default" w:ascii="Times New Roman" w:hAnsi="Times New Roman" w:cs="Times New Roman"/>
                <w:color w:val="auto"/>
                <w:kern w:val="0"/>
                <w:sz w:val="21"/>
                <w:szCs w:val="21"/>
                <w:highlight w:val="none"/>
                <w:lang w:bidi="ar"/>
              </w:rPr>
              <w:t>小于20km</w:t>
            </w:r>
            <w:r>
              <w:rPr>
                <w:rFonts w:hint="default" w:ascii="Times New Roman" w:hAnsi="Times New Roman" w:cs="Times New Roman"/>
                <w:color w:val="auto"/>
                <w:kern w:val="0"/>
                <w:sz w:val="21"/>
                <w:szCs w:val="21"/>
                <w:highlight w:val="none"/>
                <w:vertAlign w:val="superscript"/>
                <w:lang w:bidi="ar"/>
              </w:rPr>
              <w:t>2</w:t>
            </w:r>
            <w:r>
              <w:rPr>
                <w:rFonts w:hint="default" w:ascii="Times New Roman" w:hAnsi="Times New Roman" w:cs="Times New Roman"/>
                <w:color w:val="auto"/>
                <w:kern w:val="0"/>
                <w:sz w:val="21"/>
                <w:szCs w:val="21"/>
                <w:highlight w:val="none"/>
                <w:lang w:bidi="ar"/>
              </w:rPr>
              <w:t>。</w:t>
            </w:r>
          </w:p>
        </w:tc>
      </w:tr>
      <w:tr w14:paraId="00A33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32669929">
            <w:pPr>
              <w:pStyle w:val="11"/>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p>
        </w:tc>
        <w:tc>
          <w:tcPr>
            <w:tcW w:w="3998" w:type="dxa"/>
            <w:tcBorders>
              <w:tl2br w:val="nil"/>
              <w:tr2bl w:val="nil"/>
            </w:tcBorders>
            <w:noWrap w:val="0"/>
            <w:vAlign w:val="center"/>
          </w:tcPr>
          <w:p w14:paraId="596D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除本条a)、b)、c)、d)、e)、f)以外的情况，评价等级为三级；</w:t>
            </w:r>
          </w:p>
        </w:tc>
        <w:tc>
          <w:tcPr>
            <w:tcW w:w="3625" w:type="dxa"/>
            <w:tcBorders>
              <w:tl2br w:val="nil"/>
              <w:tr2bl w:val="nil"/>
            </w:tcBorders>
            <w:noWrap w:val="0"/>
            <w:vAlign w:val="center"/>
          </w:tcPr>
          <w:p w14:paraId="6081AB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本项目涉及c条，除c条以外的情况，其他区域生态评价等级为三级。</w:t>
            </w:r>
          </w:p>
        </w:tc>
      </w:tr>
      <w:tr w14:paraId="78918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6BC2199F">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w:t>
            </w:r>
          </w:p>
        </w:tc>
        <w:tc>
          <w:tcPr>
            <w:tcW w:w="3998" w:type="dxa"/>
            <w:tcBorders>
              <w:tl2br w:val="nil"/>
              <w:tr2bl w:val="nil"/>
            </w:tcBorders>
            <w:noWrap w:val="0"/>
            <w:vAlign w:val="center"/>
          </w:tcPr>
          <w:p w14:paraId="432472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建设项目涉及经论证对保护生物多样性具有重要意义的区域时，可适当上调评价等级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62AAC0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不涉及对保护生物多样性具有重要意义的区域</w:t>
            </w:r>
            <w:r>
              <w:rPr>
                <w:rFonts w:hint="eastAsia" w:ascii="Times New Roman" w:hAnsi="Times New Roman" w:eastAsia="宋体" w:cs="Times New Roman"/>
                <w:color w:val="auto"/>
                <w:kern w:val="0"/>
                <w:sz w:val="21"/>
                <w:szCs w:val="21"/>
                <w:highlight w:val="none"/>
                <w:lang w:val="en-US" w:eastAsia="zh-CN" w:bidi="ar"/>
              </w:rPr>
              <w:t>。</w:t>
            </w:r>
          </w:p>
        </w:tc>
      </w:tr>
      <w:tr w14:paraId="054DD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4" w:type="dxa"/>
            <w:tcBorders>
              <w:tl2br w:val="nil"/>
              <w:tr2bl w:val="nil"/>
            </w:tcBorders>
            <w:noWrap w:val="0"/>
            <w:vAlign w:val="center"/>
          </w:tcPr>
          <w:p w14:paraId="69391230">
            <w:pPr>
              <w:pStyle w:val="11"/>
              <w:keepNext w:val="0"/>
              <w:keepLines w:val="0"/>
              <w:pageBreakBefore w:val="0"/>
              <w:widowControl/>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w:t>
            </w:r>
          </w:p>
        </w:tc>
        <w:tc>
          <w:tcPr>
            <w:tcW w:w="3998" w:type="dxa"/>
            <w:tcBorders>
              <w:tl2br w:val="nil"/>
              <w:tr2bl w:val="nil"/>
            </w:tcBorders>
            <w:noWrap w:val="0"/>
            <w:vAlign w:val="center"/>
          </w:tcPr>
          <w:p w14:paraId="3CA57B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在矿山开采可能导致矿区土地利用类型明显改变，或拦河闸坝建设可能明显改变水文情势等情况下，评价等级应上调一级</w:t>
            </w:r>
            <w:r>
              <w:rPr>
                <w:rFonts w:hint="eastAsia" w:ascii="Times New Roman" w:hAnsi="Times New Roman" w:eastAsia="宋体" w:cs="Times New Roman"/>
                <w:color w:val="auto"/>
                <w:kern w:val="0"/>
                <w:sz w:val="21"/>
                <w:szCs w:val="21"/>
                <w:highlight w:val="none"/>
                <w:lang w:val="en-US" w:eastAsia="zh-CN" w:bidi="ar"/>
              </w:rPr>
              <w:t>。</w:t>
            </w:r>
          </w:p>
        </w:tc>
        <w:tc>
          <w:tcPr>
            <w:tcW w:w="3625" w:type="dxa"/>
            <w:tcBorders>
              <w:tl2br w:val="nil"/>
              <w:tr2bl w:val="nil"/>
            </w:tcBorders>
            <w:noWrap w:val="0"/>
            <w:vAlign w:val="center"/>
          </w:tcPr>
          <w:p w14:paraId="15607C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w:t>
            </w:r>
            <w:r>
              <w:rPr>
                <w:rFonts w:hint="eastAsia" w:ascii="Times New Roman" w:hAnsi="Times New Roman" w:eastAsia="宋体" w:cs="Times New Roman"/>
                <w:color w:val="auto"/>
                <w:kern w:val="0"/>
                <w:sz w:val="21"/>
                <w:szCs w:val="21"/>
                <w:highlight w:val="none"/>
                <w:lang w:val="en-US" w:eastAsia="zh-CN" w:bidi="ar"/>
              </w:rPr>
              <w:t>项目</w:t>
            </w:r>
            <w:r>
              <w:rPr>
                <w:rFonts w:hint="default" w:ascii="Times New Roman" w:hAnsi="Times New Roman" w:eastAsia="宋体" w:cs="Times New Roman"/>
                <w:color w:val="auto"/>
                <w:kern w:val="0"/>
                <w:sz w:val="21"/>
                <w:szCs w:val="21"/>
                <w:highlight w:val="none"/>
                <w:lang w:val="en-US" w:eastAsia="zh-CN" w:bidi="ar"/>
              </w:rPr>
              <w:t>为输变电工程，不属于明显改变土地利用类型的项目和改变水文情势的项目</w:t>
            </w:r>
            <w:r>
              <w:rPr>
                <w:rFonts w:hint="eastAsia" w:ascii="Times New Roman" w:hAnsi="Times New Roman" w:eastAsia="宋体" w:cs="Times New Roman"/>
                <w:color w:val="auto"/>
                <w:kern w:val="0"/>
                <w:sz w:val="21"/>
                <w:szCs w:val="21"/>
                <w:highlight w:val="none"/>
                <w:lang w:val="en-US" w:eastAsia="zh-CN" w:bidi="ar"/>
              </w:rPr>
              <w:t>。</w:t>
            </w:r>
          </w:p>
        </w:tc>
      </w:tr>
    </w:tbl>
    <w:p w14:paraId="557A6408">
      <w:pPr>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本项目输电线路为线性工程，根据《环境影响评价技术导则 生态环境》（HJ19-2022）6.1.6条规定：“线性工程可分段确定评价等级。线性工程地下穿越或地表跨越生态敏感区，在生态敏感区范围内无永久、临时占地时，评价等级可下调一级。”</w:t>
      </w:r>
      <w:r>
        <w:rPr>
          <w:rFonts w:hint="eastAsia" w:cs="Times New Roman"/>
          <w:color w:val="auto"/>
          <w:sz w:val="24"/>
          <w:highlight w:val="none"/>
          <w:lang w:val="en-US" w:eastAsia="zh-CN"/>
        </w:rPr>
        <w:t>本项目</w:t>
      </w:r>
      <w:r>
        <w:rPr>
          <w:rFonts w:hint="eastAsia" w:cs="Times New Roman"/>
          <w:bCs/>
          <w:color w:val="auto"/>
          <w:sz w:val="24"/>
          <w:highlight w:val="none"/>
          <w:lang w:val="en-US" w:eastAsia="zh-CN"/>
        </w:rPr>
        <w:t>输电</w:t>
      </w:r>
      <w:r>
        <w:rPr>
          <w:rFonts w:hint="eastAsia" w:cs="宋体"/>
          <w:color w:val="auto"/>
          <w:sz w:val="24"/>
          <w:highlight w:val="none"/>
          <w:lang w:val="en-US" w:eastAsia="zh-CN"/>
        </w:rPr>
        <w:t>线路一档跨越******，</w:t>
      </w:r>
      <w:r>
        <w:rPr>
          <w:rFonts w:hint="eastAsia" w:cs="Times New Roman"/>
          <w:bCs/>
          <w:color w:val="auto"/>
          <w:sz w:val="24"/>
          <w:highlight w:val="none"/>
          <w:lang w:val="en-US" w:eastAsia="zh-CN"/>
        </w:rPr>
        <w:t>在生态保护红线内无永久、临时占地，评价等级下调一级，为三级。</w:t>
      </w:r>
    </w:p>
    <w:p w14:paraId="5D4DABA4">
      <w:pPr>
        <w:widowControl/>
        <w:spacing w:line="360" w:lineRule="auto"/>
        <w:ind w:firstLine="480" w:firstLineChars="200"/>
        <w:jc w:val="left"/>
        <w:rPr>
          <w:color w:val="auto"/>
          <w:sz w:val="24"/>
          <w:highlight w:val="none"/>
        </w:rPr>
      </w:pPr>
      <w:r>
        <w:rPr>
          <w:rFonts w:hint="default" w:ascii="Times New Roman" w:hAnsi="Times New Roman" w:cs="Times New Roman"/>
          <w:color w:val="auto"/>
          <w:kern w:val="0"/>
          <w:sz w:val="24"/>
          <w:highlight w:val="none"/>
          <w:lang w:val="en-US" w:eastAsia="zh-CN" w:bidi="ar"/>
        </w:rPr>
        <w:t>综上所述，本项目</w:t>
      </w:r>
      <w:r>
        <w:rPr>
          <w:color w:val="auto"/>
          <w:sz w:val="24"/>
          <w:highlight w:val="none"/>
        </w:rPr>
        <w:t>生态影响评价等级为</w:t>
      </w:r>
      <w:r>
        <w:rPr>
          <w:rFonts w:hint="eastAsia"/>
          <w:color w:val="auto"/>
          <w:sz w:val="24"/>
          <w:highlight w:val="none"/>
        </w:rPr>
        <w:t>三</w:t>
      </w:r>
      <w:r>
        <w:rPr>
          <w:color w:val="auto"/>
          <w:sz w:val="24"/>
          <w:highlight w:val="none"/>
        </w:rPr>
        <w:t>级。</w:t>
      </w:r>
    </w:p>
    <w:p w14:paraId="6109C5C4">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1.5评价范围</w:t>
      </w:r>
    </w:p>
    <w:p w14:paraId="67F38766">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 生态影响》（HJ19</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2022）的要求，线性工程穿越生态敏感区时，以线路穿越段向两端外延1km，线路中心线向两侧外延1km为参考评价范围，实际确定时应结合生态敏感区主要保护对象的分布、生态学特征、项目的穿越方式、周边地形地貌等适当调整，主要保护对象为野生动物栖息地时，应进一步扩大评价范围，涉及迁徙、洄游物种的，其评价范围应涵盖工程影响的迁徙洄游通道范围；穿越非生态敏感区时，以线路中心线向两侧外延300m为参考评价范围。</w:t>
      </w:r>
    </w:p>
    <w:p w14:paraId="743D77B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eastAsia" w:cs="Times New Roman"/>
          <w:bCs/>
          <w:color w:val="auto"/>
          <w:sz w:val="24"/>
          <w:highlight w:val="none"/>
          <w:lang w:val="en-US" w:eastAsia="zh-CN"/>
        </w:rPr>
        <w:t>输电</w:t>
      </w:r>
      <w:r>
        <w:rPr>
          <w:rFonts w:hint="eastAsia" w:cs="宋体"/>
          <w:color w:val="auto"/>
          <w:sz w:val="24"/>
          <w:highlight w:val="none"/>
          <w:lang w:val="en-US" w:eastAsia="zh-CN"/>
        </w:rPr>
        <w:t>线路一档跨越</w:t>
      </w:r>
      <w:r>
        <w:rPr>
          <w:rFonts w:hint="eastAsia"/>
          <w:color w:val="auto"/>
          <w:sz w:val="24"/>
          <w:highlight w:val="none"/>
          <w:lang w:val="en-US" w:eastAsia="zh-CN"/>
        </w:rPr>
        <w:t>******</w:t>
      </w:r>
      <w:r>
        <w:rPr>
          <w:rFonts w:hint="eastAsia" w:cs="宋体"/>
          <w:color w:val="auto"/>
          <w:sz w:val="24"/>
          <w:highlight w:val="none"/>
          <w:lang w:val="en-US" w:eastAsia="zh-CN"/>
        </w:rPr>
        <w:t>，跨越线路长度约</w:t>
      </w:r>
      <w:r>
        <w:rPr>
          <w:rFonts w:hint="default" w:ascii="Times New Roman" w:hAnsi="Times New Roman" w:cs="Times New Roman"/>
          <w:color w:val="auto"/>
          <w:sz w:val="24"/>
          <w:highlight w:val="none"/>
          <w:lang w:val="en-US" w:eastAsia="zh-CN"/>
        </w:rPr>
        <w:t>13m，</w:t>
      </w:r>
      <w:r>
        <w:rPr>
          <w:rFonts w:hint="eastAsia" w:cs="宋体"/>
          <w:color w:val="auto"/>
          <w:sz w:val="24"/>
          <w:highlight w:val="none"/>
          <w:lang w:val="en-US" w:eastAsia="zh-CN"/>
        </w:rPr>
        <w:t>最近铁塔距离该生态保护红线约</w:t>
      </w:r>
      <w:r>
        <w:rPr>
          <w:rFonts w:hint="eastAsia"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，为线路边导线地面投影外两侧各1000m的带状区域及穿越段两端外延1000m的带状区域；其余线路路段为边导线地面投影外两侧各300m范围内的带状区域</w:t>
      </w:r>
      <w:r>
        <w:rPr>
          <w:rFonts w:hint="default" w:ascii="Times New Roman" w:hAnsi="Times New Roman" w:eastAsia="宋体" w:cs="Times New Roman"/>
          <w:color w:val="auto"/>
          <w:sz w:val="24"/>
          <w:highlight w:val="none"/>
          <w:lang w:val="en-US" w:eastAsia="zh-CN"/>
        </w:rPr>
        <w:t>。变电站的评价范围为围墙外500m。</w:t>
      </w:r>
    </w:p>
    <w:p w14:paraId="750A273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评价区总面积为</w:t>
      </w:r>
      <w:r>
        <w:rPr>
          <w:rFonts w:hint="eastAsia" w:cs="Times New Roman"/>
          <w:color w:val="auto"/>
          <w:sz w:val="24"/>
          <w:highlight w:val="none"/>
          <w:lang w:val="en-US" w:eastAsia="zh-CN"/>
        </w:rPr>
        <w:t>1118.98</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，具体</w:t>
      </w:r>
      <w:r>
        <w:rPr>
          <w:rFonts w:hint="eastAsia" w:cs="Times New Roman"/>
          <w:color w:val="auto"/>
          <w:sz w:val="24"/>
          <w:highlight w:val="none"/>
          <w:lang w:val="en-US" w:eastAsia="zh-CN"/>
        </w:rPr>
        <w:t>生态</w:t>
      </w:r>
      <w:r>
        <w:rPr>
          <w:rFonts w:hint="default" w:ascii="Times New Roman" w:hAnsi="Times New Roman" w:eastAsia="宋体" w:cs="Times New Roman"/>
          <w:color w:val="auto"/>
          <w:sz w:val="24"/>
          <w:highlight w:val="none"/>
          <w:lang w:val="en-US" w:eastAsia="zh-CN"/>
        </w:rPr>
        <w:t>评价范围见</w:t>
      </w:r>
      <w:r>
        <w:rPr>
          <w:rFonts w:hint="eastAsia" w:cs="Times New Roman"/>
          <w:color w:val="auto"/>
          <w:sz w:val="24"/>
          <w:highlight w:val="none"/>
          <w:lang w:val="en-US" w:eastAsia="zh-CN"/>
        </w:rPr>
        <w:t>下图</w:t>
      </w:r>
      <w:r>
        <w:rPr>
          <w:rFonts w:hint="default" w:ascii="Times New Roman" w:hAnsi="Times New Roman" w:eastAsia="宋体" w:cs="Times New Roman"/>
          <w:color w:val="auto"/>
          <w:sz w:val="24"/>
          <w:highlight w:val="none"/>
          <w:lang w:val="en-US" w:eastAsia="zh-CN"/>
        </w:rPr>
        <w:t>。</w:t>
      </w:r>
    </w:p>
    <w:p w14:paraId="1C737428">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eastAsia="黑体" w:cs="Times New Roman"/>
          <w:b w:val="0"/>
          <w:bCs w:val="0"/>
          <w:color w:val="auto"/>
          <w:sz w:val="24"/>
          <w:szCs w:val="24"/>
          <w:highlight w:val="none"/>
          <w:lang w:val="en-US" w:eastAsia="zh-CN"/>
        </w:rPr>
        <w:t>******</w:t>
      </w:r>
    </w:p>
    <w:p w14:paraId="28B33B56">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1.6评价因子筛选</w:t>
      </w:r>
    </w:p>
    <w:p w14:paraId="752F5E69">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施工期和运行期对周围生态环境将产生一定的影响。要影响因素包括新建变电站站区</w:t>
      </w:r>
      <w:r>
        <w:rPr>
          <w:rFonts w:hint="eastAsia" w:ascii="Times New Roman" w:hAnsi="Times New Roman" w:eastAsia="宋体" w:cs="Times New Roman"/>
          <w:color w:val="auto"/>
          <w:sz w:val="24"/>
          <w:highlight w:val="none"/>
          <w:lang w:val="en-US" w:eastAsia="zh-CN"/>
        </w:rPr>
        <w:t>（含</w:t>
      </w:r>
      <w:r>
        <w:rPr>
          <w:rFonts w:hint="default" w:ascii="Times New Roman" w:hAnsi="Times New Roman" w:eastAsia="宋体" w:cs="Times New Roman"/>
          <w:color w:val="auto"/>
          <w:sz w:val="24"/>
          <w:highlight w:val="none"/>
          <w:lang w:val="en-US" w:eastAsia="zh-CN"/>
        </w:rPr>
        <w:t>进站道路</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110千伏</w:t>
      </w:r>
      <w:r>
        <w:rPr>
          <w:rFonts w:hint="default" w:ascii="Times New Roman" w:hAnsi="Times New Roman" w:eastAsia="宋体" w:cs="Times New Roman"/>
          <w:color w:val="auto"/>
          <w:sz w:val="24"/>
          <w:highlight w:val="none"/>
          <w:lang w:val="en-US" w:eastAsia="zh-CN"/>
        </w:rPr>
        <w:t>输电线路塔基区永久占地</w:t>
      </w:r>
      <w:r>
        <w:rPr>
          <w:rFonts w:hint="eastAsia" w:ascii="Times New Roman" w:hAnsi="Times New Roman" w:eastAsia="宋体" w:cs="Times New Roman"/>
          <w:color w:val="auto"/>
          <w:sz w:val="24"/>
          <w:highlight w:val="none"/>
          <w:lang w:val="en-US" w:eastAsia="zh-CN"/>
        </w:rPr>
        <w:t>，施工营地、站外供水及排水管线、10千伏临时施工电源线路</w:t>
      </w:r>
      <w:r>
        <w:rPr>
          <w:rFonts w:hint="default" w:ascii="Times New Roman" w:hAnsi="Times New Roman" w:eastAsia="宋体" w:cs="Times New Roman"/>
          <w:color w:val="auto"/>
          <w:sz w:val="24"/>
          <w:highlight w:val="none"/>
          <w:lang w:val="en-US" w:eastAsia="zh-CN"/>
        </w:rPr>
        <w:t>、施工便道等</w:t>
      </w:r>
      <w:r>
        <w:rPr>
          <w:rFonts w:hint="eastAsia" w:ascii="Times New Roman" w:hAnsi="Times New Roman" w:eastAsia="宋体" w:cs="Times New Roman"/>
          <w:color w:val="auto"/>
          <w:sz w:val="24"/>
          <w:highlight w:val="none"/>
          <w:lang w:val="en-US" w:eastAsia="zh-CN"/>
        </w:rPr>
        <w:t>临时占地，</w:t>
      </w:r>
      <w:r>
        <w:rPr>
          <w:rFonts w:hint="default" w:ascii="Times New Roman" w:hAnsi="Times New Roman" w:eastAsia="宋体" w:cs="Times New Roman"/>
          <w:color w:val="auto"/>
          <w:sz w:val="24"/>
          <w:highlight w:val="none"/>
          <w:lang w:val="en-US" w:eastAsia="zh-CN"/>
        </w:rPr>
        <w:t>施工废水、建筑垃圾、施工噪声以及人为活动</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运行期对动物分布的影响等。</w:t>
      </w:r>
    </w:p>
    <w:p w14:paraId="5F28F10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生态影响评价因子筛选表见表1.6-1。</w:t>
      </w:r>
    </w:p>
    <w:p w14:paraId="25EC3FEC">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表1.6-1  生态影响评价因子筛选表</w:t>
      </w:r>
    </w:p>
    <w:tbl>
      <w:tblPr>
        <w:tblStyle w:val="28"/>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97"/>
        <w:gridCol w:w="3017"/>
        <w:gridCol w:w="1894"/>
        <w:gridCol w:w="737"/>
      </w:tblGrid>
      <w:tr w14:paraId="42FF1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12" w:space="0"/>
              <w:left w:val="nil"/>
              <w:bottom w:val="single" w:color="auto" w:sz="4" w:space="0"/>
              <w:right w:val="single" w:color="auto" w:sz="4" w:space="0"/>
              <w:tl2br w:val="nil"/>
              <w:tr2bl w:val="nil"/>
            </w:tcBorders>
            <w:noWrap w:val="0"/>
            <w:vAlign w:val="center"/>
          </w:tcPr>
          <w:p w14:paraId="14DB76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受影响对象</w:t>
            </w:r>
          </w:p>
        </w:tc>
        <w:tc>
          <w:tcPr>
            <w:tcW w:w="1597"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28B0D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评价因子</w:t>
            </w:r>
          </w:p>
        </w:tc>
        <w:tc>
          <w:tcPr>
            <w:tcW w:w="3017"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6790E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工程内容及影响方式</w:t>
            </w:r>
          </w:p>
        </w:tc>
        <w:tc>
          <w:tcPr>
            <w:tcW w:w="1894"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66337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影响性质</w:t>
            </w:r>
          </w:p>
        </w:tc>
        <w:tc>
          <w:tcPr>
            <w:tcW w:w="737" w:type="dxa"/>
            <w:tcBorders>
              <w:top w:val="single" w:color="auto" w:sz="12" w:space="0"/>
              <w:left w:val="single" w:color="auto" w:sz="4" w:space="0"/>
              <w:bottom w:val="single" w:color="auto" w:sz="4" w:space="0"/>
              <w:right w:val="nil"/>
              <w:tl2br w:val="nil"/>
              <w:tr2bl w:val="nil"/>
            </w:tcBorders>
            <w:noWrap w:val="0"/>
            <w:vAlign w:val="center"/>
          </w:tcPr>
          <w:p w14:paraId="3C02A4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影响程度</w:t>
            </w:r>
          </w:p>
        </w:tc>
      </w:tr>
      <w:tr w14:paraId="7155D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16" w:type="dxa"/>
            <w:gridSpan w:val="5"/>
            <w:tcBorders>
              <w:top w:val="single" w:color="auto" w:sz="4" w:space="0"/>
              <w:left w:val="nil"/>
              <w:bottom w:val="single" w:color="auto" w:sz="4" w:space="0"/>
              <w:right w:val="nil"/>
              <w:tl2br w:val="nil"/>
              <w:tr2bl w:val="nil"/>
            </w:tcBorders>
            <w:noWrap w:val="0"/>
            <w:vAlign w:val="center"/>
          </w:tcPr>
          <w:p w14:paraId="6943E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r>
      <w:tr w14:paraId="518E2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restart"/>
            <w:tcBorders>
              <w:top w:val="single" w:color="auto" w:sz="4" w:space="0"/>
              <w:left w:val="nil"/>
              <w:bottom w:val="single" w:color="auto" w:sz="4" w:space="0"/>
              <w:right w:val="single" w:color="auto" w:sz="4" w:space="0"/>
              <w:tl2br w:val="nil"/>
              <w:tr2bl w:val="nil"/>
            </w:tcBorders>
            <w:noWrap w:val="0"/>
            <w:vAlign w:val="center"/>
          </w:tcPr>
          <w:p w14:paraId="0B9FF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F7B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分布范围</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92D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工程永久/临时占地导致物种分布格局变化</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F07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直接影响、可逆影响、长期影响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16D9D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55311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continue"/>
            <w:tcBorders>
              <w:top w:val="single" w:color="auto" w:sz="4" w:space="0"/>
              <w:left w:val="nil"/>
              <w:bottom w:val="single" w:color="auto" w:sz="4" w:space="0"/>
              <w:right w:val="single" w:color="auto" w:sz="4" w:space="0"/>
              <w:tl2br w:val="nil"/>
              <w:tr2bl w:val="nil"/>
            </w:tcBorders>
            <w:noWrap w:val="0"/>
            <w:vAlign w:val="center"/>
          </w:tcPr>
          <w:p w14:paraId="700B0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2DDB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种群数量、种群结构、行为</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8040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工程开挖、材料运输造成个体死亡</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F76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726957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5DF2D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restart"/>
            <w:tcBorders>
              <w:top w:val="single" w:color="auto" w:sz="4" w:space="0"/>
              <w:left w:val="nil"/>
              <w:bottom w:val="single" w:color="auto" w:sz="4" w:space="0"/>
              <w:right w:val="single" w:color="auto" w:sz="4" w:space="0"/>
              <w:tl2br w:val="nil"/>
              <w:tr2bl w:val="nil"/>
            </w:tcBorders>
            <w:noWrap w:val="0"/>
            <w:vAlign w:val="center"/>
          </w:tcPr>
          <w:p w14:paraId="03AC8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w:t>
            </w:r>
          </w:p>
        </w:tc>
        <w:tc>
          <w:tcPr>
            <w:tcW w:w="159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86AA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生境面积</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F0BF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永久占地导致生境丧失和破坏</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B2B8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直接影响、可逆影响、长期影响</w:t>
            </w:r>
          </w:p>
        </w:tc>
        <w:tc>
          <w:tcPr>
            <w:tcW w:w="737" w:type="dxa"/>
            <w:vMerge w:val="restart"/>
            <w:tcBorders>
              <w:top w:val="single" w:color="auto" w:sz="4" w:space="0"/>
              <w:left w:val="single" w:color="auto" w:sz="4" w:space="0"/>
              <w:bottom w:val="single" w:color="auto" w:sz="4" w:space="0"/>
              <w:right w:val="nil"/>
              <w:tl2br w:val="nil"/>
              <w:tr2bl w:val="nil"/>
            </w:tcBorders>
            <w:noWrap w:val="0"/>
            <w:vAlign w:val="center"/>
          </w:tcPr>
          <w:p w14:paraId="30FB4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5AC46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continue"/>
            <w:tcBorders>
              <w:top w:val="single" w:color="auto" w:sz="4" w:space="0"/>
              <w:left w:val="nil"/>
              <w:bottom w:val="single" w:color="auto" w:sz="4" w:space="0"/>
              <w:right w:val="single" w:color="auto" w:sz="4" w:space="0"/>
              <w:tl2br w:val="nil"/>
              <w:tr2bl w:val="nil"/>
            </w:tcBorders>
            <w:noWrap w:val="0"/>
            <w:vAlign w:val="center"/>
          </w:tcPr>
          <w:p w14:paraId="4D6FA9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9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357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9BD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临时占地导致生境丧失和破坏</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7E6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vMerge w:val="continue"/>
            <w:tcBorders>
              <w:top w:val="single" w:color="auto" w:sz="4" w:space="0"/>
              <w:left w:val="single" w:color="auto" w:sz="4" w:space="0"/>
              <w:bottom w:val="single" w:color="auto" w:sz="4" w:space="0"/>
              <w:right w:val="nil"/>
              <w:tl2br w:val="nil"/>
              <w:tr2bl w:val="nil"/>
            </w:tcBorders>
            <w:noWrap w:val="0"/>
            <w:vAlign w:val="center"/>
          </w:tcPr>
          <w:p w14:paraId="685B3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6E9AF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continue"/>
            <w:tcBorders>
              <w:top w:val="single" w:color="auto" w:sz="4" w:space="0"/>
              <w:left w:val="nil"/>
              <w:bottom w:val="single" w:color="auto" w:sz="4" w:space="0"/>
              <w:right w:val="single" w:color="auto" w:sz="4" w:space="0"/>
              <w:tl2br w:val="nil"/>
              <w:tr2bl w:val="nil"/>
            </w:tcBorders>
            <w:noWrap w:val="0"/>
            <w:vAlign w:val="center"/>
          </w:tcPr>
          <w:p w14:paraId="21C8A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18A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6A3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施工人为活动、弃渣、扬尘、水土流失等对生物生境影响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7745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22C608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2E802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vMerge w:val="continue"/>
            <w:tcBorders>
              <w:top w:val="single" w:color="auto" w:sz="4" w:space="0"/>
              <w:left w:val="nil"/>
              <w:bottom w:val="single" w:color="auto" w:sz="4" w:space="0"/>
              <w:right w:val="single" w:color="auto" w:sz="4" w:space="0"/>
              <w:tl2br w:val="nil"/>
              <w:tr2bl w:val="nil"/>
            </w:tcBorders>
            <w:noWrap w:val="0"/>
            <w:vAlign w:val="center"/>
          </w:tcPr>
          <w:p w14:paraId="7137F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CB0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连通性</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05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施工道路等对生境的阻隔影响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5F6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3A4578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6BA45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64FFC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生物群落</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7A5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物种组成、群落结构</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44F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塔基处边缘效应等造成群落结构改变</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BD7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04692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5EF9A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48A5F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生态系统</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3B5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植被覆盖度、生产力、</w:t>
            </w:r>
            <w:r>
              <w:rPr>
                <w:rFonts w:hint="default" w:ascii="Times New Roman" w:hAnsi="Times New Roman" w:cs="Times New Roman"/>
                <w:color w:val="auto"/>
                <w:sz w:val="21"/>
                <w:szCs w:val="21"/>
                <w:highlight w:val="none"/>
                <w:lang w:val="en-US" w:eastAsia="zh-CN"/>
              </w:rPr>
              <w:t>植被</w:t>
            </w:r>
            <w:r>
              <w:rPr>
                <w:rFonts w:hint="default" w:ascii="Times New Roman" w:hAnsi="Times New Roman" w:eastAsia="宋体" w:cs="Times New Roman"/>
                <w:color w:val="auto"/>
                <w:sz w:val="21"/>
                <w:szCs w:val="21"/>
                <w:highlight w:val="none"/>
              </w:rPr>
              <w:t>生物量、生态系统功能</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431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施工永久、临时占地导致植被覆盖度降低、</w:t>
            </w:r>
            <w:r>
              <w:rPr>
                <w:rFonts w:hint="default" w:ascii="Times New Roman" w:hAnsi="Times New Roman" w:cs="Times New Roman"/>
                <w:color w:val="auto"/>
                <w:sz w:val="21"/>
                <w:szCs w:val="21"/>
                <w:highlight w:val="none"/>
                <w:lang w:val="en-US" w:eastAsia="zh-CN"/>
              </w:rPr>
              <w:t>植被</w:t>
            </w:r>
            <w:r>
              <w:rPr>
                <w:rFonts w:hint="default" w:ascii="Times New Roman" w:hAnsi="Times New Roman" w:eastAsia="宋体" w:cs="Times New Roman"/>
                <w:color w:val="auto"/>
                <w:sz w:val="21"/>
                <w:szCs w:val="21"/>
                <w:highlight w:val="none"/>
              </w:rPr>
              <w:t>生物量、生产力降低、生态系统功能受到一定影响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FD2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直接影响、可逆影响、长期影响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2352C2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4724C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6672E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生态敏感区</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241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主要保护对象、生态功能等</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4E2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工程对保护对象分布、活动的影响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C81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31292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0B99A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23E95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自然景观</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038A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景观结构、景观格局</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59BA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工程建设造成景观面积变化</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FD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直接影响、可逆影响、短期影响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18401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2891A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16" w:type="dxa"/>
            <w:gridSpan w:val="5"/>
            <w:tcBorders>
              <w:top w:val="single" w:color="auto" w:sz="4" w:space="0"/>
              <w:left w:val="nil"/>
              <w:bottom w:val="single" w:color="auto" w:sz="4" w:space="0"/>
              <w:right w:val="nil"/>
              <w:tl2br w:val="nil"/>
              <w:tr2bl w:val="nil"/>
            </w:tcBorders>
            <w:noWrap w:val="0"/>
            <w:vAlign w:val="center"/>
          </w:tcPr>
          <w:p w14:paraId="75A12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w:t>
            </w:r>
          </w:p>
        </w:tc>
      </w:tr>
      <w:tr w14:paraId="352ED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7876BB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005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分布范围、种群数量、种群结构</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7A6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输电线路运行产生的工频电场对物种无影响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489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37937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r>
      <w:tr w14:paraId="19E94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1B0D0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5A76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连通性</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99F8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输电线路对鸟类飞行线路的干扰</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F1F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直接影响、不可逆影响、长期影响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4C4574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621EF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4" w:space="0"/>
              <w:right w:val="single" w:color="auto" w:sz="4" w:space="0"/>
              <w:tl2br w:val="nil"/>
              <w:tr2bl w:val="nil"/>
            </w:tcBorders>
            <w:noWrap w:val="0"/>
            <w:vAlign w:val="center"/>
          </w:tcPr>
          <w:p w14:paraId="45C5E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生态系统</w:t>
            </w:r>
          </w:p>
        </w:tc>
        <w:tc>
          <w:tcPr>
            <w:tcW w:w="15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A60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植被覆盖度、生产力、</w:t>
            </w:r>
            <w:r>
              <w:rPr>
                <w:rFonts w:hint="default" w:ascii="Times New Roman" w:hAnsi="Times New Roman" w:cs="Times New Roman"/>
                <w:color w:val="auto"/>
                <w:sz w:val="21"/>
                <w:szCs w:val="21"/>
                <w:highlight w:val="none"/>
                <w:lang w:val="en-US" w:eastAsia="zh-CN"/>
              </w:rPr>
              <w:t>植被</w:t>
            </w:r>
            <w:r>
              <w:rPr>
                <w:rFonts w:hint="default" w:ascii="Times New Roman" w:hAnsi="Times New Roman" w:eastAsia="宋体" w:cs="Times New Roman"/>
                <w:color w:val="auto"/>
                <w:sz w:val="21"/>
                <w:szCs w:val="21"/>
                <w:highlight w:val="none"/>
              </w:rPr>
              <w:t>生物量、生态系统功能</w:t>
            </w:r>
          </w:p>
        </w:tc>
        <w:tc>
          <w:tcPr>
            <w:tcW w:w="301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86E4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永久占地造成</w:t>
            </w:r>
            <w:r>
              <w:rPr>
                <w:rFonts w:hint="default" w:ascii="Times New Roman" w:hAnsi="Times New Roman" w:cs="Times New Roman"/>
                <w:color w:val="auto"/>
                <w:sz w:val="21"/>
                <w:szCs w:val="21"/>
                <w:highlight w:val="none"/>
                <w:lang w:val="en-US" w:eastAsia="zh-CN"/>
              </w:rPr>
              <w:t>植被</w:t>
            </w:r>
            <w:r>
              <w:rPr>
                <w:rFonts w:hint="default" w:ascii="Times New Roman" w:hAnsi="Times New Roman" w:eastAsia="宋体" w:cs="Times New Roman"/>
                <w:color w:val="auto"/>
                <w:sz w:val="21"/>
                <w:szCs w:val="21"/>
                <w:highlight w:val="none"/>
              </w:rPr>
              <w:t>生物量下降</w:t>
            </w:r>
          </w:p>
        </w:tc>
        <w:tc>
          <w:tcPr>
            <w:tcW w:w="18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A6F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直接影响、不可逆影响、长期影响</w:t>
            </w:r>
          </w:p>
        </w:tc>
        <w:tc>
          <w:tcPr>
            <w:tcW w:w="737" w:type="dxa"/>
            <w:tcBorders>
              <w:top w:val="single" w:color="auto" w:sz="4" w:space="0"/>
              <w:left w:val="single" w:color="auto" w:sz="4" w:space="0"/>
              <w:bottom w:val="single" w:color="auto" w:sz="4" w:space="0"/>
              <w:right w:val="nil"/>
              <w:tl2br w:val="nil"/>
              <w:tr2bl w:val="nil"/>
            </w:tcBorders>
            <w:noWrap w:val="0"/>
            <w:vAlign w:val="center"/>
          </w:tcPr>
          <w:p w14:paraId="4781F5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w:t>
            </w:r>
          </w:p>
        </w:tc>
      </w:tr>
      <w:tr w14:paraId="04030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1" w:type="dxa"/>
            <w:tcBorders>
              <w:top w:val="single" w:color="auto" w:sz="4" w:space="0"/>
              <w:left w:val="nil"/>
              <w:bottom w:val="single" w:color="auto" w:sz="12" w:space="0"/>
              <w:right w:val="single" w:color="auto" w:sz="4" w:space="0"/>
              <w:tl2br w:val="nil"/>
              <w:tr2bl w:val="nil"/>
            </w:tcBorders>
            <w:noWrap w:val="0"/>
            <w:vAlign w:val="center"/>
          </w:tcPr>
          <w:p w14:paraId="71F77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自然景观</w:t>
            </w:r>
          </w:p>
        </w:tc>
        <w:tc>
          <w:tcPr>
            <w:tcW w:w="159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60A25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景观结构、景观格局</w:t>
            </w:r>
          </w:p>
        </w:tc>
        <w:tc>
          <w:tcPr>
            <w:tcW w:w="3017"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5AFC1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塔基对自然景观的干扰</w:t>
            </w:r>
          </w:p>
        </w:tc>
        <w:tc>
          <w:tcPr>
            <w:tcW w:w="1894"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775CA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直接影响、不可逆影响、长期影响</w:t>
            </w:r>
          </w:p>
        </w:tc>
        <w:tc>
          <w:tcPr>
            <w:tcW w:w="737" w:type="dxa"/>
            <w:tcBorders>
              <w:top w:val="single" w:color="auto" w:sz="4" w:space="0"/>
              <w:left w:val="single" w:color="auto" w:sz="4" w:space="0"/>
              <w:bottom w:val="single" w:color="auto" w:sz="12" w:space="0"/>
              <w:right w:val="nil"/>
              <w:tl2br w:val="nil"/>
              <w:tr2bl w:val="nil"/>
            </w:tcBorders>
            <w:noWrap w:val="0"/>
            <w:vAlign w:val="center"/>
          </w:tcPr>
          <w:p w14:paraId="1A401D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bl>
    <w:p w14:paraId="1D458F26">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1.7评价内容</w:t>
      </w:r>
    </w:p>
    <w:p w14:paraId="2EC1E35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（1）对拟建项目的工程进行分析；</w:t>
      </w:r>
    </w:p>
    <w:p w14:paraId="3D37B5CC">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（2）进行生态现状的调查与评价；</w:t>
      </w:r>
    </w:p>
    <w:p w14:paraId="7AE9A21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（3）环境影响识别与评价因子筛选；</w:t>
      </w:r>
    </w:p>
    <w:p w14:paraId="682D644D">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（4）确定评价等级和范围；</w:t>
      </w:r>
    </w:p>
    <w:p w14:paraId="3EF74671">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（5）进行建设项目全过程的影响评价和动态管理；</w:t>
      </w:r>
    </w:p>
    <w:p w14:paraId="4837B2EA">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（6）进行敏感保护目标的影响评价，研究保护措施；</w:t>
      </w:r>
    </w:p>
    <w:p w14:paraId="55AD2BB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（7）研究消除和减缓影响的对策措施；</w:t>
      </w:r>
    </w:p>
    <w:p w14:paraId="33F0EB37">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（8）得出结论。</w:t>
      </w:r>
    </w:p>
    <w:p w14:paraId="695FE9A2">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1.8生态环境保护目标</w:t>
      </w:r>
    </w:p>
    <w:p w14:paraId="57C4E302">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主要生态环境保护目标为</w:t>
      </w:r>
      <w:r>
        <w:rPr>
          <w:rFonts w:hint="eastAsia"/>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rPr>
        <w:t>生态环境保护目标详见</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报告表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正文</w:t>
      </w:r>
      <w:r>
        <w:rPr>
          <w:rFonts w:hint="eastAsia"/>
          <w:b/>
          <w:bCs/>
          <w:color w:val="auto"/>
          <w:sz w:val="24"/>
          <w:highlight w:val="none"/>
        </w:rPr>
        <w:t>“</w:t>
      </w:r>
      <w:r>
        <w:rPr>
          <w:b/>
          <w:bCs/>
          <w:color w:val="auto"/>
          <w:sz w:val="24"/>
          <w:highlight w:val="none"/>
        </w:rPr>
        <w:t>三、生态环境现状、保护目标及评价标准章节中生态环境保护目标小节中的表3-</w:t>
      </w:r>
      <w:r>
        <w:rPr>
          <w:rFonts w:hint="eastAsia"/>
          <w:b/>
          <w:bCs/>
          <w:color w:val="auto"/>
          <w:sz w:val="24"/>
          <w:highlight w:val="none"/>
          <w:lang w:val="en-US" w:eastAsia="zh-CN"/>
        </w:rPr>
        <w:t>6</w:t>
      </w:r>
      <w:r>
        <w:rPr>
          <w:b/>
          <w:bCs/>
          <w:color w:val="auto"/>
          <w:sz w:val="24"/>
          <w:highlight w:val="none"/>
        </w:rPr>
        <w:t>，图3-</w:t>
      </w:r>
      <w:r>
        <w:rPr>
          <w:rFonts w:hint="eastAsia"/>
          <w:b/>
          <w:bCs/>
          <w:color w:val="auto"/>
          <w:sz w:val="24"/>
          <w:highlight w:val="none"/>
          <w:lang w:val="en-US" w:eastAsia="zh-CN"/>
        </w:rPr>
        <w:t>6</w:t>
      </w:r>
      <w:r>
        <w:rPr>
          <w:rFonts w:hint="eastAsia"/>
          <w:b/>
          <w:bCs/>
          <w:color w:val="auto"/>
          <w:sz w:val="24"/>
          <w:highlight w:val="none"/>
        </w:rPr>
        <w:t>”</w:t>
      </w:r>
      <w:r>
        <w:rPr>
          <w:color w:val="auto"/>
          <w:sz w:val="24"/>
          <w:highlight w:val="none"/>
        </w:rPr>
        <w:t>。</w:t>
      </w:r>
    </w:p>
    <w:p w14:paraId="733F869D">
      <w:pPr>
        <w:bidi w:val="0"/>
        <w:rPr>
          <w:rFonts w:hint="default" w:ascii="Times New Roman" w:hAnsi="Times New Roman" w:eastAsia="宋体" w:cs="Times New Roman"/>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489BAA7">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89" w:name="_Toc30825"/>
      <w:bookmarkStart w:id="90" w:name="_Toc1542"/>
      <w:r>
        <w:rPr>
          <w:rFonts w:hint="default" w:ascii="Times New Roman" w:hAnsi="Times New Roman" w:eastAsia="宋体" w:cs="Times New Roman"/>
          <w:b/>
          <w:color w:val="auto"/>
          <w:kern w:val="44"/>
          <w:sz w:val="24"/>
          <w:szCs w:val="24"/>
          <w:highlight w:val="none"/>
          <w:lang w:val="en-US" w:eastAsia="zh-CN" w:bidi="ar-SA"/>
        </w:rPr>
        <w:t>2建设项目概况</w:t>
      </w:r>
      <w:bookmarkEnd w:id="89"/>
      <w:bookmarkEnd w:id="90"/>
    </w:p>
    <w:p w14:paraId="37A85699">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2.1项目概况</w:t>
      </w:r>
    </w:p>
    <w:p w14:paraId="160A65DB">
      <w:pPr>
        <w:keepNext w:val="0"/>
        <w:keepLines w:val="0"/>
        <w:pageBreakBefore w:val="0"/>
        <w:widowControl w:val="0"/>
        <w:kinsoku/>
        <w:wordWrap/>
        <w:overflowPunct/>
        <w:topLinePunct w:val="0"/>
        <w:bidi w:val="0"/>
        <w:spacing w:line="360" w:lineRule="auto"/>
        <w:ind w:firstLine="480" w:firstLineChars="200"/>
        <w:textAlignment w:val="auto"/>
        <w:rPr>
          <w:bCs/>
          <w:color w:val="auto"/>
          <w:kern w:val="0"/>
          <w:sz w:val="24"/>
          <w:highlight w:val="none"/>
        </w:rPr>
      </w:pPr>
      <w:r>
        <w:rPr>
          <w:rFonts w:hint="eastAsia"/>
          <w:bCs/>
          <w:color w:val="auto"/>
          <w:kern w:val="0"/>
          <w:sz w:val="24"/>
          <w:highlight w:val="none"/>
          <w:lang w:val="en-US" w:eastAsia="zh-CN"/>
        </w:rPr>
        <w:t>宁夏固原张程110千伏输变电工程位于</w:t>
      </w:r>
      <w:r>
        <w:rPr>
          <w:color w:val="auto"/>
          <w:sz w:val="24"/>
          <w:highlight w:val="none"/>
        </w:rPr>
        <w:t>宁夏回族自治区</w:t>
      </w:r>
      <w:r>
        <w:rPr>
          <w:rFonts w:hint="eastAsia"/>
          <w:color w:val="auto"/>
          <w:sz w:val="24"/>
          <w:highlight w:val="none"/>
          <w:lang w:val="en-US" w:eastAsia="zh-CN"/>
        </w:rPr>
        <w:t>固原市隆德县，</w:t>
      </w:r>
      <w:r>
        <w:rPr>
          <w:bCs/>
          <w:color w:val="auto"/>
          <w:kern w:val="0"/>
          <w:sz w:val="24"/>
          <w:highlight w:val="none"/>
        </w:rPr>
        <w:t>项目共包含</w:t>
      </w:r>
      <w:r>
        <w:rPr>
          <w:rFonts w:hint="eastAsia"/>
          <w:bCs/>
          <w:color w:val="auto"/>
          <w:kern w:val="0"/>
          <w:sz w:val="24"/>
          <w:highlight w:val="none"/>
          <w:lang w:val="en-US" w:eastAsia="zh-CN"/>
        </w:rPr>
        <w:t>两</w:t>
      </w:r>
      <w:r>
        <w:rPr>
          <w:bCs/>
          <w:color w:val="auto"/>
          <w:kern w:val="0"/>
          <w:sz w:val="24"/>
          <w:highlight w:val="none"/>
        </w:rPr>
        <w:t>部分：</w:t>
      </w:r>
      <w:r>
        <w:rPr>
          <w:rFonts w:hint="eastAsia"/>
          <w:color w:val="auto"/>
          <w:sz w:val="24"/>
          <w:highlight w:val="none"/>
          <w:lang w:val="en-US" w:eastAsia="zh-CN"/>
        </w:rPr>
        <w:t>新建张程110千伏变电站工程、新建渝河110千伏变电站~张程变110千伏线路工程。</w:t>
      </w:r>
    </w:p>
    <w:p w14:paraId="4DD994ED">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color w:val="auto"/>
          <w:sz w:val="24"/>
          <w:highlight w:val="none"/>
        </w:rPr>
      </w:pPr>
      <w:r>
        <w:rPr>
          <w:color w:val="auto"/>
          <w:sz w:val="24"/>
          <w:highlight w:val="none"/>
        </w:rPr>
        <w:t>（1）</w:t>
      </w:r>
      <w:r>
        <w:rPr>
          <w:rFonts w:hint="eastAsia"/>
          <w:color w:val="auto"/>
          <w:sz w:val="24"/>
          <w:highlight w:val="none"/>
          <w:lang w:val="en-US" w:eastAsia="zh-CN"/>
        </w:rPr>
        <w:t>新建张程110千伏变电站工程</w:t>
      </w:r>
    </w:p>
    <w:p w14:paraId="6C062521">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本期新建</w:t>
      </w:r>
      <w:r>
        <w:rPr>
          <w:rFonts w:hint="default" w:ascii="Times New Roman" w:hAnsi="Times New Roman" w:cs="Times New Roman"/>
          <w:color w:val="auto"/>
          <w:sz w:val="24"/>
          <w:highlight w:val="none"/>
        </w:rPr>
        <w:t>主变2×</w:t>
      </w:r>
      <w:r>
        <w:rPr>
          <w:rFonts w:hint="default" w:ascii="Times New Roman" w:hAnsi="Times New Roman" w:cs="Times New Roman"/>
          <w:color w:val="auto"/>
          <w:sz w:val="24"/>
          <w:highlight w:val="none"/>
          <w:lang w:val="en-US" w:eastAsia="zh-CN"/>
        </w:rPr>
        <w:t>50</w:t>
      </w:r>
      <w:r>
        <w:rPr>
          <w:rFonts w:hint="default" w:ascii="Times New Roman" w:hAnsi="Times New Roman" w:cs="Times New Roman"/>
          <w:color w:val="auto"/>
          <w:sz w:val="24"/>
          <w:highlight w:val="none"/>
        </w:rPr>
        <w:t>MVA</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新建</w:t>
      </w:r>
      <w:r>
        <w:rPr>
          <w:rFonts w:hint="default" w:ascii="Times New Roman" w:hAnsi="Times New Roman" w:cs="Times New Roman"/>
          <w:color w:val="auto"/>
          <w:sz w:val="24"/>
          <w:highlight w:val="none"/>
          <w:lang w:eastAsia="zh-CN"/>
        </w:rPr>
        <w:t>110kV</w:t>
      </w:r>
      <w:r>
        <w:rPr>
          <w:rFonts w:hint="default" w:ascii="Times New Roman" w:hAnsi="Times New Roman" w:cs="Times New Roman"/>
          <w:color w:val="auto"/>
          <w:sz w:val="24"/>
          <w:highlight w:val="none"/>
        </w:rPr>
        <w:t>出线</w:t>
      </w:r>
      <w:r>
        <w:rPr>
          <w:rFonts w:hint="default" w:ascii="Times New Roman" w:hAnsi="Times New Roman" w:cs="Times New Roman"/>
          <w:color w:val="auto"/>
          <w:sz w:val="24"/>
          <w:highlight w:val="none"/>
          <w:lang w:val="en-US" w:eastAsia="zh-CN"/>
        </w:rPr>
        <w:t>间隔2个</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35</w:t>
      </w:r>
      <w:r>
        <w:rPr>
          <w:rFonts w:hint="default" w:ascii="Times New Roman" w:hAnsi="Times New Roman" w:cs="Times New Roman"/>
          <w:color w:val="auto"/>
          <w:sz w:val="24"/>
          <w:highlight w:val="none"/>
        </w:rPr>
        <w:t>kV出线</w:t>
      </w:r>
      <w:r>
        <w:rPr>
          <w:rFonts w:hint="default" w:ascii="Times New Roman" w:hAnsi="Times New Roman" w:cs="Times New Roman"/>
          <w:color w:val="auto"/>
          <w:sz w:val="24"/>
          <w:highlight w:val="none"/>
          <w:lang w:val="en-US" w:eastAsia="zh-CN"/>
        </w:rPr>
        <w:t>间隔8个</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rPr>
        <w:t>kV出线</w:t>
      </w:r>
      <w:r>
        <w:rPr>
          <w:rFonts w:hint="default" w:ascii="Times New Roman" w:hAnsi="Times New Roman" w:cs="Times New Roman"/>
          <w:color w:val="auto"/>
          <w:sz w:val="24"/>
          <w:highlight w:val="none"/>
          <w:lang w:val="en-US" w:eastAsia="zh-CN"/>
        </w:rPr>
        <w:t>间隔16个；新建10kV并联电容器2×（4+5）Mvar。</w:t>
      </w:r>
    </w:p>
    <w:p w14:paraId="08EB521C">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color w:val="auto"/>
          <w:sz w:val="24"/>
          <w:highlight w:val="none"/>
        </w:rPr>
      </w:pPr>
      <w:r>
        <w:rPr>
          <w:color w:val="auto"/>
          <w:sz w:val="24"/>
          <w:highlight w:val="none"/>
        </w:rPr>
        <w:t>（2）</w:t>
      </w:r>
      <w:r>
        <w:rPr>
          <w:rFonts w:hint="eastAsia"/>
          <w:color w:val="auto"/>
          <w:sz w:val="24"/>
          <w:highlight w:val="none"/>
          <w:lang w:val="en-US" w:eastAsia="zh-CN"/>
        </w:rPr>
        <w:t>新建渝河110千伏变电站~张程变110千伏线路工程</w:t>
      </w:r>
    </w:p>
    <w:p w14:paraId="1570474E">
      <w:pPr>
        <w:spacing w:line="360" w:lineRule="auto"/>
        <w:ind w:firstLine="480" w:firstLineChars="200"/>
        <w:rPr>
          <w:rFonts w:hint="default" w:ascii="Times New Roman" w:hAnsi="Times New Roman" w:cs="Times New Roman"/>
          <w:bCs/>
          <w:color w:val="0000FF"/>
          <w:kern w:val="0"/>
          <w:sz w:val="24"/>
          <w:highlight w:val="none"/>
          <w:lang w:val="en-US" w:eastAsia="zh-CN"/>
        </w:rPr>
      </w:pPr>
      <w:r>
        <w:rPr>
          <w:rFonts w:hint="default"/>
          <w:color w:val="auto"/>
          <w:sz w:val="24"/>
          <w:highlight w:val="none"/>
          <w:lang w:val="en-US" w:eastAsia="zh-CN"/>
        </w:rPr>
        <w:t>新建线路全长</w:t>
      </w:r>
      <w:r>
        <w:rPr>
          <w:rFonts w:hint="eastAsia"/>
          <w:color w:val="auto"/>
          <w:sz w:val="24"/>
          <w:highlight w:val="none"/>
          <w:lang w:val="en-US" w:eastAsia="zh-CN"/>
        </w:rPr>
        <w:t>1</w:t>
      </w:r>
      <w:r>
        <w:rPr>
          <w:rFonts w:hint="default"/>
          <w:color w:val="auto"/>
          <w:sz w:val="24"/>
          <w:highlight w:val="none"/>
          <w:lang w:val="en-US" w:eastAsia="zh-CN"/>
        </w:rPr>
        <w:t>×</w:t>
      </w:r>
      <w:r>
        <w:rPr>
          <w:rFonts w:hint="eastAsia"/>
          <w:color w:val="auto"/>
          <w:sz w:val="24"/>
          <w:highlight w:val="none"/>
          <w:lang w:val="en-US" w:eastAsia="zh-CN"/>
        </w:rPr>
        <w:t>14.23</w:t>
      </w:r>
      <w:r>
        <w:rPr>
          <w:rFonts w:hint="default"/>
          <w:color w:val="auto"/>
          <w:sz w:val="24"/>
          <w:highlight w:val="none"/>
          <w:lang w:val="en-US" w:eastAsia="zh-CN"/>
        </w:rPr>
        <w:t>km，除新建张程变出线终端塔采用双回路塔单侧挂线外，</w:t>
      </w:r>
      <w:r>
        <w:rPr>
          <w:rFonts w:hint="eastAsia" w:cs="Times New Roman"/>
          <w:bCs/>
          <w:color w:val="auto"/>
          <w:kern w:val="0"/>
          <w:sz w:val="24"/>
          <w:highlight w:val="none"/>
          <w:lang w:val="en-US" w:eastAsia="zh-CN"/>
        </w:rPr>
        <w:t>余下</w:t>
      </w:r>
      <w:r>
        <w:rPr>
          <w:rFonts w:hint="eastAsia"/>
          <w:color w:val="auto"/>
          <w:sz w:val="24"/>
          <w:highlight w:val="none"/>
          <w:lang w:val="en-US" w:eastAsia="zh-CN"/>
        </w:rPr>
        <w:t>线路均</w:t>
      </w:r>
      <w:r>
        <w:rPr>
          <w:rFonts w:hint="default"/>
          <w:color w:val="auto"/>
          <w:sz w:val="24"/>
          <w:highlight w:val="none"/>
          <w:lang w:val="en-US" w:eastAsia="zh-CN"/>
        </w:rPr>
        <w:t>采用</w:t>
      </w:r>
      <w:r>
        <w:rPr>
          <w:rFonts w:hint="eastAsia"/>
          <w:color w:val="auto"/>
          <w:sz w:val="24"/>
          <w:highlight w:val="none"/>
          <w:lang w:val="en-US" w:eastAsia="zh-CN"/>
        </w:rPr>
        <w:t>单回路</w:t>
      </w:r>
      <w:r>
        <w:rPr>
          <w:rFonts w:hint="default"/>
          <w:color w:val="auto"/>
          <w:sz w:val="24"/>
          <w:highlight w:val="none"/>
          <w:lang w:val="en-US" w:eastAsia="zh-CN"/>
        </w:rPr>
        <w:t>架设</w:t>
      </w:r>
      <w:r>
        <w:rPr>
          <w:rFonts w:hint="eastAsia"/>
          <w:color w:val="auto"/>
          <w:sz w:val="24"/>
          <w:highlight w:val="none"/>
          <w:lang w:val="en-US" w:eastAsia="zh-CN"/>
        </w:rPr>
        <w:t>；拟</w:t>
      </w:r>
      <w:r>
        <w:rPr>
          <w:rFonts w:hint="default"/>
          <w:color w:val="auto"/>
          <w:sz w:val="24"/>
          <w:highlight w:val="none"/>
        </w:rPr>
        <w:t>建</w:t>
      </w:r>
      <w:r>
        <w:rPr>
          <w:rFonts w:hint="eastAsia"/>
          <w:color w:val="auto"/>
          <w:sz w:val="24"/>
          <w:highlight w:val="none"/>
          <w:lang w:val="en-US" w:eastAsia="zh-CN"/>
        </w:rPr>
        <w:t>铁塔54</w:t>
      </w:r>
      <w:r>
        <w:rPr>
          <w:rFonts w:hint="default"/>
          <w:color w:val="auto"/>
          <w:sz w:val="24"/>
          <w:highlight w:val="none"/>
        </w:rPr>
        <w:t>基，其中：</w:t>
      </w:r>
      <w:r>
        <w:rPr>
          <w:rFonts w:hint="default"/>
          <w:color w:val="auto"/>
          <w:sz w:val="24"/>
          <w:highlight w:val="none"/>
          <w:lang w:val="en-US" w:eastAsia="zh-CN"/>
        </w:rPr>
        <w:t>单回路直线塔</w:t>
      </w:r>
      <w:r>
        <w:rPr>
          <w:rFonts w:hint="eastAsia"/>
          <w:color w:val="auto"/>
          <w:sz w:val="24"/>
          <w:highlight w:val="none"/>
          <w:lang w:val="en-US" w:eastAsia="zh-CN"/>
        </w:rPr>
        <w:t>34</w:t>
      </w:r>
      <w:r>
        <w:rPr>
          <w:rFonts w:hint="default"/>
          <w:color w:val="auto"/>
          <w:sz w:val="24"/>
          <w:highlight w:val="none"/>
          <w:lang w:val="en-US" w:eastAsia="zh-CN"/>
        </w:rPr>
        <w:t>基，单回路耐张塔</w:t>
      </w:r>
      <w:r>
        <w:rPr>
          <w:rFonts w:hint="eastAsia"/>
          <w:color w:val="auto"/>
          <w:sz w:val="24"/>
          <w:highlight w:val="none"/>
          <w:lang w:val="en-US" w:eastAsia="zh-CN"/>
        </w:rPr>
        <w:t>19</w:t>
      </w:r>
      <w:r>
        <w:rPr>
          <w:rFonts w:hint="default"/>
          <w:color w:val="auto"/>
          <w:sz w:val="24"/>
          <w:highlight w:val="none"/>
          <w:lang w:val="en-US" w:eastAsia="zh-CN"/>
        </w:rPr>
        <w:t>基，双回路耐张塔1基</w:t>
      </w:r>
      <w:r>
        <w:rPr>
          <w:rFonts w:hint="default"/>
          <w:color w:val="auto"/>
          <w:sz w:val="24"/>
          <w:highlight w:val="none"/>
        </w:rPr>
        <w:t>。</w:t>
      </w:r>
    </w:p>
    <w:p w14:paraId="0A45D198">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2.2施工方案</w:t>
      </w:r>
    </w:p>
    <w:p w14:paraId="4AF30E76">
      <w:pPr>
        <w:spacing w:line="360" w:lineRule="auto"/>
        <w:ind w:firstLine="482"/>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详见《报告表》正文</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建设内容中施工方案</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部分。</w:t>
      </w:r>
    </w:p>
    <w:p w14:paraId="24C4A23B">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2.3总平面布置</w:t>
      </w:r>
    </w:p>
    <w:p w14:paraId="4E85EA9C">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详见《报告表》正文</w:t>
      </w:r>
      <w:r>
        <w:rPr>
          <w:rFonts w:hint="eastAsia" w:cs="Times New Roman"/>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二、建设内容中总平面及现场布置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部分。</w:t>
      </w:r>
    </w:p>
    <w:p w14:paraId="2D988B66">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2.4比选方案</w:t>
      </w:r>
    </w:p>
    <w:p w14:paraId="1820939F">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详见《报告表》正文</w:t>
      </w:r>
      <w:r>
        <w:rPr>
          <w:rFonts w:hint="eastAsia" w:cs="Times New Roman"/>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二、建设内容中其他</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部分。</w:t>
      </w:r>
    </w:p>
    <w:p w14:paraId="3C745187">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2.5穿越生态敏感区不可避让性分析</w:t>
      </w:r>
    </w:p>
    <w:p w14:paraId="5355C950">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宁夏回族自治区已完成“三区三线”划定工作，本次论述按照“三区三线”成果进行分析。本项目</w:t>
      </w:r>
      <w:r>
        <w:rPr>
          <w:rFonts w:hint="eastAsia" w:cs="Times New Roman"/>
          <w:color w:val="auto"/>
          <w:sz w:val="24"/>
          <w:highlight w:val="none"/>
          <w:lang w:val="en-US" w:eastAsia="zh-CN"/>
        </w:rPr>
        <w:t>输电</w:t>
      </w:r>
      <w:r>
        <w:rPr>
          <w:rFonts w:hint="default" w:ascii="Times New Roman" w:hAnsi="Times New Roman" w:eastAsia="宋体" w:cs="Times New Roman"/>
          <w:color w:val="auto"/>
          <w:sz w:val="24"/>
          <w:highlight w:val="none"/>
          <w:lang w:val="en-US" w:eastAsia="zh-CN"/>
        </w:rPr>
        <w:t>线路</w:t>
      </w:r>
      <w:r>
        <w:rPr>
          <w:rFonts w:hint="eastAsia" w:cs="宋体"/>
          <w:color w:val="auto"/>
          <w:sz w:val="24"/>
          <w:highlight w:val="none"/>
          <w:lang w:val="en-US" w:eastAsia="zh-CN"/>
        </w:rPr>
        <w:t>一档跨越******，跨越线路长度约</w:t>
      </w:r>
      <w:r>
        <w:rPr>
          <w:rFonts w:hint="default" w:ascii="Times New Roman" w:hAnsi="Times New Roman" w:cs="Times New Roman"/>
          <w:color w:val="auto"/>
          <w:sz w:val="24"/>
          <w:highlight w:val="none"/>
          <w:lang w:val="en-US" w:eastAsia="zh-CN"/>
        </w:rPr>
        <w:t>13m，</w:t>
      </w:r>
      <w:r>
        <w:rPr>
          <w:rFonts w:hint="eastAsia" w:cs="宋体"/>
          <w:color w:val="auto"/>
          <w:sz w:val="24"/>
          <w:highlight w:val="none"/>
          <w:lang w:val="en-US" w:eastAsia="zh-CN"/>
        </w:rPr>
        <w:t>最近铁塔距离该生态保护红线约</w:t>
      </w:r>
      <w:r>
        <w:rPr>
          <w:rFonts w:hint="eastAsia"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且</w:t>
      </w:r>
      <w:r>
        <w:rPr>
          <w:rFonts w:hint="eastAsia" w:cs="Times New Roman"/>
          <w:bCs/>
          <w:color w:val="auto"/>
          <w:sz w:val="24"/>
          <w:highlight w:val="none"/>
          <w:lang w:val="en-US" w:eastAsia="zh-CN"/>
        </w:rPr>
        <w:t>在生态保护红线范围内无永久、临时占地</w:t>
      </w:r>
      <w:r>
        <w:rPr>
          <w:rFonts w:hint="default" w:ascii="Times New Roman" w:hAnsi="Times New Roman" w:eastAsia="宋体" w:cs="Times New Roman"/>
          <w:color w:val="auto"/>
          <w:sz w:val="24"/>
          <w:highlight w:val="none"/>
          <w:lang w:val="en-US" w:eastAsia="zh-CN"/>
        </w:rPr>
        <w:t>。</w:t>
      </w:r>
    </w:p>
    <w:p w14:paraId="7CF5AE5A">
      <w:pPr>
        <w:bidi w:val="0"/>
        <w:spacing w:line="360" w:lineRule="auto"/>
        <w:ind w:firstLine="480" w:firstLineChars="200"/>
        <w:rPr>
          <w:rFonts w:hint="default" w:ascii="Times New Roman" w:hAnsi="Times New Roman" w:eastAsia="宋体" w:cs="Times New Roman"/>
          <w:color w:val="auto"/>
          <w:sz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s="Times New Roman"/>
          <w:color w:val="auto"/>
          <w:sz w:val="24"/>
          <w:highlight w:val="none"/>
          <w:lang w:val="en-US" w:eastAsia="zh-CN"/>
        </w:rPr>
        <w:t>本项目输电</w:t>
      </w:r>
      <w:r>
        <w:rPr>
          <w:rFonts w:hint="default" w:ascii="Times New Roman" w:hAnsi="Times New Roman" w:eastAsia="宋体" w:cs="Times New Roman"/>
          <w:color w:val="auto"/>
          <w:sz w:val="24"/>
          <w:highlight w:val="none"/>
          <w:lang w:val="en-US" w:eastAsia="zh-CN"/>
        </w:rPr>
        <w:t>线路起点、终点均已确定，起点、终点之间分布有</w:t>
      </w:r>
      <w:r>
        <w:rPr>
          <w:rFonts w:hint="eastAsia" w:cs="Times New Roman"/>
          <w:color w:val="auto"/>
          <w:sz w:val="24"/>
          <w:highlight w:val="none"/>
          <w:lang w:val="en-US" w:eastAsia="zh-CN"/>
        </w:rPr>
        <w:t>大片</w:t>
      </w:r>
      <w:r>
        <w:rPr>
          <w:rFonts w:hint="default" w:ascii="Times New Roman" w:hAnsi="Times New Roman" w:eastAsia="宋体" w:cs="Times New Roman"/>
          <w:color w:val="auto"/>
          <w:sz w:val="24"/>
          <w:highlight w:val="none"/>
          <w:lang w:val="en-US" w:eastAsia="zh-CN"/>
        </w:rPr>
        <w:t>村庄、基本农田，以及</w:t>
      </w:r>
      <w:r>
        <w:rPr>
          <w:rFonts w:hint="eastAsia" w:ascii="Times New Roman" w:hAnsi="Times New Roman" w:eastAsia="宋体" w:cs="Times New Roman"/>
          <w:color w:val="auto"/>
          <w:sz w:val="24"/>
          <w:highlight w:val="none"/>
          <w:lang w:val="en-US" w:eastAsia="zh-CN"/>
        </w:rPr>
        <w:t>河沟</w:t>
      </w:r>
      <w:r>
        <w:rPr>
          <w:rFonts w:hint="default" w:ascii="Times New Roman" w:hAnsi="Times New Roman" w:eastAsia="宋体" w:cs="Times New Roman"/>
          <w:color w:val="auto"/>
          <w:sz w:val="24"/>
          <w:highlight w:val="none"/>
          <w:lang w:val="en-US" w:eastAsia="zh-CN"/>
        </w:rPr>
        <w:t>等，为避让大片村庄、基本农田、河沟</w:t>
      </w:r>
      <w:r>
        <w:rPr>
          <w:rFonts w:hint="eastAsia"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尤其为避让</w:t>
      </w:r>
      <w:r>
        <w:rPr>
          <w:rFonts w:hint="eastAsia"/>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东侧的冲沟，保障本项目输电线路塔基地质稳定性及运行安全，本项目输电</w:t>
      </w:r>
      <w:r>
        <w:rPr>
          <w:rFonts w:hint="default" w:ascii="Times New Roman" w:hAnsi="Times New Roman" w:eastAsia="宋体" w:cs="Times New Roman"/>
          <w:color w:val="auto"/>
          <w:sz w:val="24"/>
          <w:highlight w:val="none"/>
          <w:lang w:val="en-US" w:eastAsia="zh-CN"/>
        </w:rPr>
        <w:t>线路无法避让需</w:t>
      </w:r>
      <w:r>
        <w:rPr>
          <w:rFonts w:hint="eastAsia" w:ascii="Times New Roman" w:hAnsi="Times New Roman" w:eastAsia="宋体" w:cs="Times New Roman"/>
          <w:color w:val="auto"/>
          <w:sz w:val="24"/>
          <w:highlight w:val="none"/>
          <w:lang w:val="en-US" w:eastAsia="zh-CN"/>
        </w:rPr>
        <w:t>一档跨越</w:t>
      </w:r>
      <w:r>
        <w:rPr>
          <w:rFonts w:hint="eastAsia"/>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但在该生态保护红线范围内不立塔、不设置临时占地</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因此，本项目输电线路的建设对生态保护红线的影响很小。</w:t>
      </w:r>
    </w:p>
    <w:p w14:paraId="4C24C59F">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91" w:name="_Toc17839"/>
      <w:bookmarkStart w:id="92" w:name="_Toc4727"/>
      <w:r>
        <w:rPr>
          <w:rFonts w:hint="default" w:ascii="Times New Roman" w:hAnsi="Times New Roman" w:eastAsia="宋体" w:cs="Times New Roman"/>
          <w:b/>
          <w:color w:val="auto"/>
          <w:kern w:val="44"/>
          <w:sz w:val="24"/>
          <w:szCs w:val="24"/>
          <w:highlight w:val="none"/>
          <w:lang w:val="en-US" w:eastAsia="zh-CN" w:bidi="ar-SA"/>
        </w:rPr>
        <w:t>3生态现状调查与评价</w:t>
      </w:r>
      <w:bookmarkEnd w:id="91"/>
      <w:bookmarkEnd w:id="92"/>
    </w:p>
    <w:p w14:paraId="17CEFE91">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3.1自然环境概况</w:t>
      </w:r>
    </w:p>
    <w:p w14:paraId="5FE69E48">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新建张程110千伏变电站站址区地貌单元属宁夏黄土丘陵与河谷平原区西吉梁峁黄土丘陵与河谷平原亚区，现状地貌为梯田，田坎高约2~3m，整体地势北高南低。新建渝河110千伏变电站~张程变110千伏线路工程走廊所属地貌单元可划分为山间河谷平原、黄土丘陵地貌，线路海拔1850m~2500m。</w:t>
      </w:r>
    </w:p>
    <w:p w14:paraId="1BBF55D2">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3.2生态调查与评价方法</w:t>
      </w:r>
    </w:p>
    <w:p w14:paraId="17742A59">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3.2.1</w:t>
      </w:r>
      <w:r>
        <w:rPr>
          <w:rFonts w:hint="eastAsia" w:ascii="Times New Roman" w:hAnsi="Times New Roman" w:eastAsia="宋体" w:cs="Times New Roman"/>
          <w:b/>
          <w:color w:val="auto"/>
          <w:kern w:val="2"/>
          <w:sz w:val="24"/>
          <w:szCs w:val="24"/>
          <w:highlight w:val="none"/>
          <w:lang w:val="en-US" w:eastAsia="zh-CN" w:bidi="ar-SA"/>
        </w:rPr>
        <w:t>调查内容</w:t>
      </w:r>
    </w:p>
    <w:p w14:paraId="0B3087B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依据《环境影响评价技术导则生态影响》（HJ19-2022）等标准，调查内容主要包括陆生生态现状调查（动、植物区系、植被类型、物种组成、生态系统类型、重要物种及生境等）、生态敏感区等。</w:t>
      </w:r>
    </w:p>
    <w:p w14:paraId="1D58691E">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生态影响评价范围内涉及生态保护红线生态敏感区。根据输电项目建设特点和区域生态环境特征，本项目生态现状调查除基本生态背景状况调查外，还包括生态敏感区调查、生态保护红线调查、重要物种及其生境（重点保护野生动植物和古树名木调查）等工作重点</w:t>
      </w:r>
      <w:r>
        <w:rPr>
          <w:rFonts w:hint="eastAsia" w:ascii="Times New Roman" w:hAnsi="Times New Roman" w:eastAsia="宋体"/>
          <w:snapToGrid w:val="0"/>
          <w:color w:val="auto"/>
          <w:sz w:val="24"/>
          <w:szCs w:val="24"/>
        </w:rPr>
        <w:t>，以及评价区主要生态问题调查</w:t>
      </w:r>
      <w:r>
        <w:rPr>
          <w:rFonts w:hint="default" w:ascii="Times New Roman" w:hAnsi="Times New Roman" w:eastAsia="宋体" w:cs="Times New Roman"/>
          <w:color w:val="auto"/>
          <w:sz w:val="24"/>
          <w:highlight w:val="none"/>
          <w:lang w:val="en-US" w:eastAsia="zh-CN"/>
        </w:rPr>
        <w:t>。</w:t>
      </w:r>
    </w:p>
    <w:p w14:paraId="5D801F19">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w:t>
      </w:r>
      <w:r>
        <w:rPr>
          <w:rFonts w:hint="eastAsia" w:cs="Times New Roman"/>
          <w:b/>
          <w:color w:val="auto"/>
          <w:kern w:val="2"/>
          <w:sz w:val="24"/>
          <w:szCs w:val="24"/>
          <w:highlight w:val="none"/>
          <w:lang w:val="en-US" w:eastAsia="zh-CN" w:bidi="ar-SA"/>
        </w:rPr>
        <w:t>2调查方法</w:t>
      </w:r>
    </w:p>
    <w:p w14:paraId="784628C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w:t>
      </w:r>
      <w:r>
        <w:rPr>
          <w:rFonts w:hint="eastAsia" w:cs="Times New Roman"/>
          <w:color w:val="auto"/>
          <w:sz w:val="24"/>
          <w:highlight w:val="none"/>
          <w:lang w:val="en-US" w:eastAsia="zh-CN"/>
        </w:rPr>
        <w:t>评价中</w:t>
      </w:r>
      <w:r>
        <w:rPr>
          <w:rFonts w:hint="default" w:ascii="Times New Roman" w:hAnsi="Times New Roman" w:eastAsia="宋体" w:cs="Times New Roman"/>
          <w:color w:val="auto"/>
          <w:sz w:val="24"/>
          <w:highlight w:val="none"/>
          <w:lang w:val="en-US" w:eastAsia="zh-CN"/>
        </w:rPr>
        <w:t>生态现状调查采用资料收集法</w:t>
      </w:r>
      <w:r>
        <w:rPr>
          <w:rFonts w:hint="eastAsia" w:cs="Times New Roman"/>
          <w:color w:val="auto"/>
          <w:sz w:val="24"/>
          <w:highlight w:val="none"/>
          <w:lang w:val="en-US" w:eastAsia="zh-CN"/>
        </w:rPr>
        <w:t>，结合</w:t>
      </w:r>
      <w:r>
        <w:rPr>
          <w:rFonts w:hint="default" w:ascii="Times New Roman" w:hAnsi="Times New Roman" w:eastAsia="宋体" w:cs="Times New Roman"/>
          <w:color w:val="auto"/>
          <w:sz w:val="24"/>
          <w:highlight w:val="none"/>
          <w:lang w:val="en-US" w:eastAsia="zh-CN"/>
        </w:rPr>
        <w:t>现场调查法及遥感调查法等方式进行。</w:t>
      </w:r>
    </w:p>
    <w:p w14:paraId="39FB944E">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（1）资料收集法</w:t>
      </w:r>
    </w:p>
    <w:p w14:paraId="14D5C18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收集沿线地区非生物因子特征（气候、土壤、地形地貌、水文地质等）、动植物类型及分布、生态功能区划、土地利用等资料，分析工程所在区域各生态要素现状情况，结合现场调查，得出沿线动植物分布和土地利用等现状情况。主要参考了《宁夏植物志》、《宁夏植物图鉴》、《宁夏陆生野生动物资源调查与研究》等著作以及《宁夏哺乳动物区系与地理区划研究》等相关科研论文。</w:t>
      </w:r>
    </w:p>
    <w:p w14:paraId="175A190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（2）现场</w:t>
      </w:r>
      <w:r>
        <w:rPr>
          <w:rFonts w:hint="eastAsia" w:cs="Times New Roman"/>
          <w:color w:val="auto"/>
          <w:sz w:val="24"/>
          <w:highlight w:val="none"/>
          <w:lang w:val="en-US" w:eastAsia="zh-CN"/>
        </w:rPr>
        <w:t>调查</w:t>
      </w:r>
      <w:r>
        <w:rPr>
          <w:rFonts w:hint="default" w:ascii="Times New Roman" w:hAnsi="Times New Roman" w:eastAsia="宋体" w:cs="Times New Roman"/>
          <w:color w:val="auto"/>
          <w:sz w:val="24"/>
          <w:highlight w:val="none"/>
          <w:lang w:val="en-US" w:eastAsia="zh-CN"/>
        </w:rPr>
        <w:t>法</w:t>
      </w:r>
    </w:p>
    <w:p w14:paraId="12B9D22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现场</w:t>
      </w:r>
      <w:r>
        <w:rPr>
          <w:rFonts w:hint="eastAsia" w:cs="Times New Roman"/>
          <w:color w:val="auto"/>
          <w:sz w:val="24"/>
          <w:highlight w:val="none"/>
          <w:lang w:val="en-US" w:eastAsia="zh-CN"/>
        </w:rPr>
        <w:t>勘查</w:t>
      </w:r>
      <w:r>
        <w:rPr>
          <w:rFonts w:hint="default" w:ascii="Times New Roman" w:hAnsi="Times New Roman" w:eastAsia="宋体" w:cs="Times New Roman"/>
          <w:color w:val="auto"/>
          <w:sz w:val="24"/>
          <w:highlight w:val="none"/>
          <w:lang w:val="en-US" w:eastAsia="zh-CN"/>
        </w:rPr>
        <w:t>遵循整体与重点相结合的调查原则，在综合考虑主导生态因子结构与功能的完整性的同时，突出重点区域和关键时段的调查，并通过对影响区域的实际踏勘，核实收集资料及遥感解译的准确性，以获取实际资料和数据。</w:t>
      </w:r>
    </w:p>
    <w:p w14:paraId="11FF015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现场调查参照《全国生态状况调查评估技术规范森林生态系统野外观测》（HJ1167-2021）、《全国生态状况调查评估技术规范草地生态系统野外观测》（HJ1168-2021）、《全国生态状况调查评估技术规范湿地生态系统野外观测》（HJ1169-2021）、《生物多样性观测技术导则陆生维管植物》（HJ710.1-2014），主要采用了</w:t>
      </w:r>
      <w:r>
        <w:rPr>
          <w:rFonts w:hint="eastAsia" w:cs="Times New Roman"/>
          <w:color w:val="auto"/>
          <w:sz w:val="24"/>
          <w:highlight w:val="none"/>
          <w:lang w:val="en-US" w:eastAsia="zh-CN"/>
        </w:rPr>
        <w:t>现场调查</w:t>
      </w:r>
      <w:r>
        <w:rPr>
          <w:rFonts w:hint="default" w:ascii="Times New Roman" w:hAnsi="Times New Roman" w:eastAsia="宋体" w:cs="Times New Roman"/>
          <w:color w:val="auto"/>
          <w:sz w:val="24"/>
          <w:highlight w:val="none"/>
          <w:lang w:val="en-US" w:eastAsia="zh-CN"/>
        </w:rPr>
        <w:t>确定评价区的植物种类、植被类型等。</w:t>
      </w:r>
    </w:p>
    <w:p w14:paraId="57E9009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野生动物资源以及受保护的野生动物情况调查以资料调查为主，现场调查为辅。按照《生物多样性观测技术导则陆生哺乳动物》（HJ710.3-2014）、《生物多样性观测技术导则鸟类》（HJ710.3-2014）、《生物多样性观测技术导则爬行动物》（HJ710.5-2014）、《生物多样性观测技术导则两栖动物》（HJ710.6-2014）等确定的技术方法，对各类野生动物开展了调查，主要采取了访谈法。</w:t>
      </w:r>
    </w:p>
    <w:p w14:paraId="0B98A69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（3）遥感调查法</w:t>
      </w:r>
    </w:p>
    <w:p w14:paraId="0C1E206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遥感调查</w:t>
      </w:r>
      <w:r>
        <w:rPr>
          <w:rFonts w:hint="default" w:ascii="Times New Roman" w:hAnsi="Times New Roman" w:eastAsia="宋体" w:cs="Times New Roman"/>
          <w:color w:val="auto"/>
          <w:sz w:val="24"/>
          <w:highlight w:val="none"/>
          <w:lang w:val="en-US" w:eastAsia="zh-CN"/>
        </w:rPr>
        <w:t>采用的影像为LandSet8的TM影像，30m分辨率多光谱遥感影像，以反映地面植被特征的6、5、4波段合成卫星遥感影像。遥感处理分析的软件采用ERDASImagine9.1、ENVI5.3；制图、空间分析软件采用ArcGIS10.8。</w:t>
      </w:r>
    </w:p>
    <w:p w14:paraId="20B808A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结合实地调查情况、谷歌卫星影像、遥感影像，依据《土地利用现状分类》（GB/T21010-2017）确定评价区土地利用类型。</w:t>
      </w:r>
    </w:p>
    <w:p w14:paraId="24F90ED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基于ENVI软件，利用近红外波段和红光波段计算得到NDVI（归一化植被指数）。</w:t>
      </w:r>
    </w:p>
    <w:p w14:paraId="052C4BF5">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计算公式如下：</w:t>
      </w:r>
    </w:p>
    <w:p w14:paraId="67E65DA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NDVI=(NIR-R)/(NIR+R)---------------------------------------------------------------（1）</w:t>
      </w:r>
    </w:p>
    <w:p w14:paraId="31502CF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其中，NIR为近红外波段的反射值，R为红光波段的反射值。</w:t>
      </w:r>
    </w:p>
    <w:p w14:paraId="524BA9F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通过波段运算得到植被覆盖度，并参考《土壤侵蚀分类分级标准》（SL190-2007）和生态遥感相关文献进行分级。植被覆盖度计算方法如下：</w:t>
      </w:r>
    </w:p>
    <w:p w14:paraId="034A1B0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采用归一化植被指数（NDVI）估算植被覆盖度的方法如下：</w:t>
      </w:r>
    </w:p>
    <w:p w14:paraId="6560656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FVC=(NDVI-NDVIs)/(NDVIv-NDVIs)</w:t>
      </w:r>
    </w:p>
    <w:p w14:paraId="491C3F0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式中：FVC——所计算像元的植被覆盖度；</w:t>
      </w:r>
    </w:p>
    <w:p w14:paraId="7D2A28CE">
      <w:pPr>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NDVI——所计算像元的NDVI值；</w:t>
      </w:r>
    </w:p>
    <w:p w14:paraId="61B26187">
      <w:pPr>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NDVIv——纯植物像元的NDVI值；</w:t>
      </w:r>
    </w:p>
    <w:p w14:paraId="082F63C9">
      <w:pPr>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NDVIs——完全无植被覆盖像元的NDVI值。</w:t>
      </w:r>
    </w:p>
    <w:p w14:paraId="00229813">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植被覆盖因子（C）反映了生态系统对土壤侵蚀的影响，是控制土壤侵蚀的积极因素。农田、湿地和城镇分别赋值为0.1，0和0.01，其余各生态系统类型按不同植被覆盖度进行赋值，详见表4.1-3。旱地的植被覆盖因子按照以下公式计算：</w:t>
      </w:r>
    </w:p>
    <w:p w14:paraId="01DFBCA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drawing>
          <wp:inline distT="0" distB="0" distL="114300" distR="114300">
            <wp:extent cx="1638935" cy="231775"/>
            <wp:effectExtent l="0" t="0" r="18415" b="15875"/>
            <wp:docPr id="1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
                    <pic:cNvPicPr>
                      <a:picLocks noChangeAspect="1"/>
                    </pic:cNvPicPr>
                  </pic:nvPicPr>
                  <pic:blipFill>
                    <a:blip r:embed="rId34"/>
                    <a:stretch>
                      <a:fillRect/>
                    </a:stretch>
                  </pic:blipFill>
                  <pic:spPr>
                    <a:xfrm>
                      <a:off x="0" y="0"/>
                      <a:ext cx="1638935" cy="231775"/>
                    </a:xfrm>
                    <a:prstGeom prst="rect">
                      <a:avLst/>
                    </a:prstGeom>
                    <a:noFill/>
                    <a:ln>
                      <a:noFill/>
                    </a:ln>
                  </pic:spPr>
                </pic:pic>
              </a:graphicData>
            </a:graphic>
          </wp:inline>
        </w:drawing>
      </w:r>
    </w:p>
    <w:p w14:paraId="21CA2B5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式中：C——旱地的植被覆盖因子；</w:t>
      </w:r>
    </w:p>
    <w:p w14:paraId="64929C02">
      <w:pPr>
        <w:spacing w:line="360" w:lineRule="auto"/>
        <w:ind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c——小数形式的植被覆盖度。</w:t>
      </w:r>
    </w:p>
    <w:p w14:paraId="5C27395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根据上述资料，参考《全国生态状况调查评估技术规范—生态系统遥感解译与野外核查》（HJ1166-2021）生态系统分类体系确定评价区生态系统类型。基于ArcGIS软件进行数据分析和制图。</w:t>
      </w:r>
    </w:p>
    <w:p w14:paraId="7801A501">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3.3生态环境现状调查与评价</w:t>
      </w:r>
    </w:p>
    <w:p w14:paraId="39B1AC14">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w:t>
      </w:r>
      <w:r>
        <w:rPr>
          <w:rFonts w:hint="eastAsia" w:cs="Times New Roman"/>
          <w:b/>
          <w:color w:val="auto"/>
          <w:kern w:val="2"/>
          <w:sz w:val="24"/>
          <w:szCs w:val="24"/>
          <w:highlight w:val="none"/>
          <w:lang w:val="en-US" w:eastAsia="zh-CN" w:bidi="ar-SA"/>
        </w:rPr>
        <w:t>1</w:t>
      </w:r>
      <w:r>
        <w:rPr>
          <w:rFonts w:hint="default" w:ascii="Times New Roman" w:hAnsi="Times New Roman" w:eastAsia="宋体" w:cs="Times New Roman"/>
          <w:b/>
          <w:color w:val="auto"/>
          <w:kern w:val="2"/>
          <w:sz w:val="24"/>
          <w:szCs w:val="24"/>
          <w:highlight w:val="none"/>
          <w:lang w:val="en-US" w:eastAsia="zh-CN" w:bidi="ar-SA"/>
        </w:rPr>
        <w:t>生态功能定位及主要生态问题</w:t>
      </w:r>
    </w:p>
    <w:p w14:paraId="0124282C">
      <w:pPr>
        <w:keepNext/>
        <w:keepLines/>
        <w:widowControl w:val="0"/>
        <w:bidi w:val="0"/>
        <w:spacing w:beforeLines="0" w:beforeAutospacing="0" w:afterLines="0" w:afterAutospacing="0" w:line="360" w:lineRule="auto"/>
        <w:ind w:firstLine="0"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w:t>
      </w:r>
      <w:r>
        <w:rPr>
          <w:rFonts w:hint="eastAsia" w:cs="Times New Roman"/>
          <w:b/>
          <w:color w:val="auto"/>
          <w:kern w:val="2"/>
          <w:sz w:val="24"/>
          <w:szCs w:val="24"/>
          <w:highlight w:val="none"/>
          <w:lang w:val="en-US" w:eastAsia="zh-CN" w:bidi="ar-SA"/>
        </w:rPr>
        <w:t>1</w:t>
      </w:r>
      <w:r>
        <w:rPr>
          <w:rFonts w:hint="default" w:ascii="Times New Roman" w:hAnsi="Times New Roman" w:eastAsia="宋体" w:cs="Times New Roman"/>
          <w:b/>
          <w:color w:val="auto"/>
          <w:kern w:val="2"/>
          <w:sz w:val="24"/>
          <w:szCs w:val="24"/>
          <w:highlight w:val="none"/>
          <w:lang w:val="en-US" w:eastAsia="zh-CN" w:bidi="ar-SA"/>
        </w:rPr>
        <w:t>.1全国生态功能区划</w:t>
      </w:r>
    </w:p>
    <w:p w14:paraId="4DA0F0C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根据《全国生态功能区划（修编版）》，</w:t>
      </w:r>
      <w:r>
        <w:rPr>
          <w:rFonts w:hint="default" w:ascii="Times New Roman" w:hAnsi="Times New Roman" w:eastAsia="宋体" w:cs="Times New Roman"/>
          <w:color w:val="auto"/>
          <w:sz w:val="24"/>
          <w:highlight w:val="none"/>
        </w:rPr>
        <w:t>拟建线路位于宁夏</w:t>
      </w:r>
      <w:r>
        <w:rPr>
          <w:rFonts w:hint="default" w:ascii="Times New Roman" w:hAnsi="Times New Roman" w:eastAsia="宋体" w:cs="Times New Roman"/>
          <w:color w:val="auto"/>
          <w:sz w:val="24"/>
          <w:highlight w:val="none"/>
          <w:lang w:val="en-US" w:eastAsia="zh-CN"/>
        </w:rPr>
        <w:t>固原</w:t>
      </w:r>
      <w:r>
        <w:rPr>
          <w:rFonts w:hint="default" w:ascii="Times New Roman" w:hAnsi="Times New Roman" w:eastAsia="宋体" w:cs="Times New Roman"/>
          <w:color w:val="auto"/>
          <w:sz w:val="24"/>
          <w:highlight w:val="none"/>
        </w:rPr>
        <w:t>市，涉及黄土高原土壤保持重要区。</w:t>
      </w:r>
      <w:r>
        <w:rPr>
          <w:rFonts w:hint="default" w:ascii="Times New Roman" w:hAnsi="Times New Roman" w:eastAsia="宋体" w:cs="Times New Roman"/>
          <w:color w:val="auto"/>
          <w:sz w:val="24"/>
          <w:highlight w:val="none"/>
          <w:lang w:val="en-US" w:eastAsia="zh-CN"/>
        </w:rPr>
        <w:t>拟建线路所涉及的生态功能区见表3.3-1。</w:t>
      </w:r>
    </w:p>
    <w:p w14:paraId="16EEEF9D">
      <w:pPr>
        <w:spacing w:line="360" w:lineRule="auto"/>
        <w:jc w:val="center"/>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表3.3-1  工程涉及生态功能区划一览表</w:t>
      </w:r>
    </w:p>
    <w:tbl>
      <w:tblPr>
        <w:tblStyle w:val="28"/>
        <w:tblW w:w="86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880"/>
        <w:gridCol w:w="1052"/>
        <w:gridCol w:w="912"/>
        <w:gridCol w:w="2093"/>
        <w:gridCol w:w="2796"/>
      </w:tblGrid>
      <w:tr w14:paraId="620F8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18" w:type="dxa"/>
            <w:tcBorders>
              <w:tl2br w:val="nil"/>
              <w:tr2bl w:val="nil"/>
            </w:tcBorders>
            <w:noWrap w:val="0"/>
            <w:vAlign w:val="center"/>
          </w:tcPr>
          <w:p w14:paraId="23FC4DF0">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生态功能一级区</w:t>
            </w:r>
          </w:p>
        </w:tc>
        <w:tc>
          <w:tcPr>
            <w:tcW w:w="880" w:type="dxa"/>
            <w:tcBorders>
              <w:tl2br w:val="nil"/>
              <w:tr2bl w:val="nil"/>
            </w:tcBorders>
            <w:noWrap w:val="0"/>
            <w:vAlign w:val="center"/>
          </w:tcPr>
          <w:p w14:paraId="52E6D68D">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生态功能二级区</w:t>
            </w:r>
          </w:p>
        </w:tc>
        <w:tc>
          <w:tcPr>
            <w:tcW w:w="1052" w:type="dxa"/>
            <w:tcBorders>
              <w:tl2br w:val="nil"/>
              <w:tr2bl w:val="nil"/>
            </w:tcBorders>
            <w:noWrap w:val="0"/>
            <w:vAlign w:val="center"/>
          </w:tcPr>
          <w:p w14:paraId="28955AA7">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生态功能</w:t>
            </w:r>
          </w:p>
          <w:p w14:paraId="664720E2">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三级区</w:t>
            </w:r>
          </w:p>
        </w:tc>
        <w:tc>
          <w:tcPr>
            <w:tcW w:w="912" w:type="dxa"/>
            <w:tcBorders>
              <w:tl2br w:val="nil"/>
              <w:tr2bl w:val="nil"/>
            </w:tcBorders>
            <w:noWrap w:val="0"/>
            <w:vAlign w:val="center"/>
          </w:tcPr>
          <w:p w14:paraId="592CEB24">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功能区</w:t>
            </w:r>
          </w:p>
          <w:p w14:paraId="253E04EA">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涉及市县</w:t>
            </w:r>
          </w:p>
        </w:tc>
        <w:tc>
          <w:tcPr>
            <w:tcW w:w="2093" w:type="dxa"/>
            <w:tcBorders>
              <w:tl2br w:val="nil"/>
              <w:tr2bl w:val="nil"/>
            </w:tcBorders>
            <w:noWrap w:val="0"/>
            <w:vAlign w:val="center"/>
          </w:tcPr>
          <w:p w14:paraId="5426CE08">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主要生态环境问题</w:t>
            </w:r>
          </w:p>
        </w:tc>
        <w:tc>
          <w:tcPr>
            <w:tcW w:w="2796" w:type="dxa"/>
            <w:tcBorders>
              <w:tl2br w:val="nil"/>
              <w:tr2bl w:val="nil"/>
            </w:tcBorders>
            <w:noWrap w:val="0"/>
            <w:vAlign w:val="center"/>
          </w:tcPr>
          <w:p w14:paraId="2AC2782F">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生态保护主要措施</w:t>
            </w:r>
          </w:p>
        </w:tc>
      </w:tr>
      <w:tr w14:paraId="2D1A1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8" w:type="dxa"/>
            <w:tcBorders>
              <w:tl2br w:val="nil"/>
              <w:tr2bl w:val="nil"/>
            </w:tcBorders>
            <w:noWrap w:val="0"/>
            <w:vAlign w:val="center"/>
          </w:tcPr>
          <w:p w14:paraId="1283C080">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生态调节功能区</w:t>
            </w:r>
          </w:p>
        </w:tc>
        <w:tc>
          <w:tcPr>
            <w:tcW w:w="880" w:type="dxa"/>
            <w:tcBorders>
              <w:tl2br w:val="nil"/>
              <w:tr2bl w:val="nil"/>
            </w:tcBorders>
            <w:noWrap w:val="0"/>
            <w:vAlign w:val="center"/>
          </w:tcPr>
          <w:p w14:paraId="74246287">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 xml:space="preserve">土壤保持重要区 </w:t>
            </w:r>
          </w:p>
        </w:tc>
        <w:tc>
          <w:tcPr>
            <w:tcW w:w="1052" w:type="dxa"/>
            <w:tcBorders>
              <w:tl2br w:val="nil"/>
              <w:tr2bl w:val="nil"/>
            </w:tcBorders>
            <w:noWrap w:val="0"/>
            <w:vAlign w:val="center"/>
          </w:tcPr>
          <w:p w14:paraId="5E6EA0D9">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黄土高原土壤保持重要区</w:t>
            </w:r>
          </w:p>
        </w:tc>
        <w:tc>
          <w:tcPr>
            <w:tcW w:w="912" w:type="dxa"/>
            <w:tcBorders>
              <w:tl2br w:val="nil"/>
              <w:tr2bl w:val="nil"/>
            </w:tcBorders>
            <w:noWrap w:val="0"/>
            <w:vAlign w:val="center"/>
          </w:tcPr>
          <w:p w14:paraId="2A63A905">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固原市</w:t>
            </w:r>
          </w:p>
        </w:tc>
        <w:tc>
          <w:tcPr>
            <w:tcW w:w="2093" w:type="dxa"/>
            <w:tcBorders>
              <w:tl2br w:val="nil"/>
              <w:tr2bl w:val="nil"/>
            </w:tcBorders>
            <w:noWrap w:val="0"/>
            <w:vAlign w:val="center"/>
          </w:tcPr>
          <w:p w14:paraId="60BC8FA6">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生态脆弱以及过度开垦和油、气、煤资源开发导致生态系统质量低、水土保持功能低等生态问题，表现为坡面水土流失和沟蚀严重，河道与水库淤积严重，影响黄河中下游生态安全</w:t>
            </w:r>
          </w:p>
        </w:tc>
        <w:tc>
          <w:tcPr>
            <w:tcW w:w="2796" w:type="dxa"/>
            <w:tcBorders>
              <w:tl2br w:val="nil"/>
              <w:tr2bl w:val="nil"/>
            </w:tcBorders>
            <w:noWrap w:val="0"/>
            <w:vAlign w:val="center"/>
          </w:tcPr>
          <w:p w14:paraId="4C6F079A">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黄土高原丘陵沟壑区继续实施退耕还灌还草还林；（2）实施小流域综合治理；（3）推行节水灌溉新技术，发展林果业；（4）对退化严重草场实施禁牧轮牧，提高饲料种植比例和单位产量，实行舍饲养殖；（5）加大资源开发的监管，控制地下水过度利用，防止地下水污染；（6）在油、气、煤资源开发的收益中确定一定比例，用于促进城镇化和生态保护。</w:t>
            </w:r>
          </w:p>
        </w:tc>
      </w:tr>
    </w:tbl>
    <w:p w14:paraId="27B4E52A">
      <w:pPr>
        <w:keepNext/>
        <w:keepLines/>
        <w:widowControl w:val="0"/>
        <w:bidi w:val="0"/>
        <w:spacing w:beforeLines="0" w:beforeAutospacing="0" w:afterLines="0" w:afterAutospacing="0" w:line="360" w:lineRule="auto"/>
        <w:ind w:firstLine="0"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w:t>
      </w:r>
      <w:r>
        <w:rPr>
          <w:rFonts w:hint="eastAsia" w:cs="Times New Roman"/>
          <w:b/>
          <w:color w:val="auto"/>
          <w:kern w:val="2"/>
          <w:sz w:val="24"/>
          <w:szCs w:val="24"/>
          <w:highlight w:val="none"/>
          <w:lang w:val="en-US" w:eastAsia="zh-CN" w:bidi="ar-SA"/>
        </w:rPr>
        <w:t>1</w:t>
      </w:r>
      <w:r>
        <w:rPr>
          <w:rFonts w:hint="default" w:ascii="Times New Roman" w:hAnsi="Times New Roman" w:eastAsia="宋体" w:cs="Times New Roman"/>
          <w:b/>
          <w:color w:val="auto"/>
          <w:kern w:val="2"/>
          <w:sz w:val="24"/>
          <w:szCs w:val="24"/>
          <w:highlight w:val="none"/>
          <w:lang w:val="en-US" w:eastAsia="zh-CN" w:bidi="ar-SA"/>
        </w:rPr>
        <w:t>.2宁夏生态功能区划</w:t>
      </w:r>
    </w:p>
    <w:p w14:paraId="3220D1E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依据《宁夏回族自治区生态功能区划》，拟建线路涉及“</w:t>
      </w:r>
      <w:r>
        <w:rPr>
          <w:rFonts w:hint="default" w:ascii="Times New Roman" w:hAnsi="Times New Roman" w:eastAsia="宋体" w:cs="Times New Roman"/>
          <w:color w:val="auto"/>
          <w:kern w:val="2"/>
          <w:sz w:val="24"/>
          <w:szCs w:val="24"/>
          <w:highlight w:val="none"/>
          <w:lang w:val="en-US" w:eastAsia="zh-CN" w:bidi="ar-SA"/>
        </w:rPr>
        <w:t>2-1葫芦河两侧梁峁丘陵强度水土流失治理生态功能区</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和“I2-2葫芦河干支流河谷节灌农田生态功能区”</w:t>
      </w:r>
      <w:r>
        <w:rPr>
          <w:rFonts w:hint="default" w:ascii="Times New Roman" w:hAnsi="Times New Roman" w:eastAsia="宋体" w:cs="Times New Roman"/>
          <w:color w:val="auto"/>
          <w:sz w:val="24"/>
          <w:szCs w:val="24"/>
          <w:highlight w:val="none"/>
          <w:lang w:val="en-US" w:eastAsia="zh-CN"/>
        </w:rPr>
        <w:t>。拟建线路所涉及的宁夏回族自治区生态功能区见表3.3-2。</w:t>
      </w:r>
    </w:p>
    <w:p w14:paraId="196F88A2">
      <w:pPr>
        <w:spacing w:line="360" w:lineRule="auto"/>
        <w:jc w:val="center"/>
        <w:rPr>
          <w:rFonts w:hint="default" w:ascii="Times New Roman" w:hAnsi="Times New Roman" w:eastAsia="黑体" w:cs="Times New Roman"/>
          <w:b/>
          <w:color w:val="auto"/>
          <w:kern w:val="2"/>
          <w:sz w:val="24"/>
          <w:szCs w:val="24"/>
          <w:highlight w:val="none"/>
          <w:lang w:val="en-US" w:eastAsia="zh-CN" w:bidi="ar-SA"/>
        </w:rPr>
      </w:pPr>
      <w:r>
        <w:rPr>
          <w:rFonts w:hint="default" w:ascii="Times New Roman" w:hAnsi="Times New Roman" w:eastAsia="黑体" w:cs="Times New Roman"/>
          <w:b/>
          <w:color w:val="auto"/>
          <w:kern w:val="2"/>
          <w:sz w:val="24"/>
          <w:szCs w:val="24"/>
          <w:highlight w:val="none"/>
          <w:lang w:val="en-US" w:eastAsia="zh-CN" w:bidi="ar-SA"/>
        </w:rPr>
        <w:t>表3.3-2  工程涉及宁夏生态功能区划一览表</w:t>
      </w:r>
    </w:p>
    <w:tbl>
      <w:tblPr>
        <w:tblStyle w:val="28"/>
        <w:tblW w:w="88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7"/>
        <w:gridCol w:w="945"/>
        <w:gridCol w:w="1555"/>
        <w:gridCol w:w="5595"/>
      </w:tblGrid>
      <w:tr w14:paraId="5A28F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tblHeader/>
          <w:jc w:val="center"/>
        </w:trPr>
        <w:tc>
          <w:tcPr>
            <w:tcW w:w="757" w:type="dxa"/>
            <w:tcBorders>
              <w:tl2br w:val="nil"/>
              <w:tr2bl w:val="nil"/>
            </w:tcBorders>
            <w:noWrap/>
            <w:tcMar>
              <w:top w:w="15" w:type="dxa"/>
              <w:left w:w="15" w:type="dxa"/>
              <w:bottom w:w="0" w:type="dxa"/>
              <w:right w:w="15" w:type="dxa"/>
            </w:tcMar>
            <w:vAlign w:val="center"/>
          </w:tcPr>
          <w:p w14:paraId="65E570D0">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一级区</w:t>
            </w:r>
          </w:p>
        </w:tc>
        <w:tc>
          <w:tcPr>
            <w:tcW w:w="945" w:type="dxa"/>
            <w:tcBorders>
              <w:tl2br w:val="nil"/>
              <w:tr2bl w:val="nil"/>
            </w:tcBorders>
            <w:noWrap w:val="0"/>
            <w:vAlign w:val="center"/>
          </w:tcPr>
          <w:p w14:paraId="3333D3B6">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二级区</w:t>
            </w:r>
          </w:p>
        </w:tc>
        <w:tc>
          <w:tcPr>
            <w:tcW w:w="1555" w:type="dxa"/>
            <w:tcBorders>
              <w:tl2br w:val="nil"/>
              <w:tr2bl w:val="nil"/>
            </w:tcBorders>
            <w:noWrap/>
            <w:tcMar>
              <w:top w:w="15" w:type="dxa"/>
              <w:left w:w="15" w:type="dxa"/>
              <w:bottom w:w="0" w:type="dxa"/>
              <w:right w:w="15" w:type="dxa"/>
            </w:tcMar>
            <w:vAlign w:val="center"/>
          </w:tcPr>
          <w:p w14:paraId="5F44505A">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功能区代号</w:t>
            </w:r>
          </w:p>
          <w:p w14:paraId="61721D5D">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及名称</w:t>
            </w:r>
          </w:p>
        </w:tc>
        <w:tc>
          <w:tcPr>
            <w:tcW w:w="5595" w:type="dxa"/>
            <w:tcBorders>
              <w:tl2br w:val="nil"/>
              <w:tr2bl w:val="nil"/>
            </w:tcBorders>
            <w:noWrap/>
            <w:tcMar>
              <w:top w:w="15" w:type="dxa"/>
              <w:left w:w="15" w:type="dxa"/>
              <w:bottom w:w="0" w:type="dxa"/>
              <w:right w:w="15" w:type="dxa"/>
            </w:tcMar>
            <w:vAlign w:val="center"/>
          </w:tcPr>
          <w:p w14:paraId="4B2E8E57">
            <w:pPr>
              <w:widowControl w:val="0"/>
              <w:pBdr>
                <w:top w:val="none" w:color="auto" w:sz="0" w:space="1"/>
                <w:left w:val="none" w:color="auto" w:sz="0" w:space="4"/>
                <w:bottom w:val="none" w:color="auto" w:sz="0" w:space="1"/>
                <w:right w:val="none" w:color="auto" w:sz="0" w:space="4"/>
              </w:pBdr>
              <w:kinsoku/>
              <w:overflowPunct/>
              <w:bidi w:val="0"/>
              <w:snapToGrid w:val="0"/>
              <w:spacing w:line="240" w:lineRule="auto"/>
              <w:ind w:left="-105" w:leftChars="-50" w:right="-105" w:rightChars="-5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主要生态特点、问题及措施</w:t>
            </w:r>
          </w:p>
        </w:tc>
      </w:tr>
      <w:tr w14:paraId="0C76D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757" w:type="dxa"/>
            <w:vMerge w:val="restart"/>
            <w:tcBorders>
              <w:tl2br w:val="nil"/>
              <w:tr2bl w:val="nil"/>
            </w:tcBorders>
            <w:noWrap/>
            <w:tcMar>
              <w:top w:w="15" w:type="dxa"/>
              <w:left w:w="15" w:type="dxa"/>
              <w:bottom w:w="0" w:type="dxa"/>
              <w:right w:w="15" w:type="dxa"/>
            </w:tcMar>
            <w:vAlign w:val="center"/>
          </w:tcPr>
          <w:p w14:paraId="735B014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zh-CN" w:eastAsia="zh-CN" w:bidi="ar-SA"/>
              </w:rPr>
              <w:t>南部黄土丘陵水土流失区</w:t>
            </w:r>
          </w:p>
        </w:tc>
        <w:tc>
          <w:tcPr>
            <w:tcW w:w="945" w:type="dxa"/>
            <w:vMerge w:val="restart"/>
            <w:tcBorders>
              <w:tl2br w:val="nil"/>
              <w:tr2bl w:val="nil"/>
            </w:tcBorders>
            <w:noWrap w:val="0"/>
            <w:vAlign w:val="center"/>
          </w:tcPr>
          <w:p w14:paraId="554508E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r>
              <w:rPr>
                <w:rFonts w:hint="default" w:ascii="Times New Roman" w:hAnsi="Times New Roman" w:eastAsia="宋体" w:cs="Times New Roman"/>
                <w:color w:val="auto"/>
                <w:kern w:val="2"/>
                <w:sz w:val="21"/>
                <w:szCs w:val="24"/>
                <w:highlight w:val="none"/>
                <w:lang w:val="zh-CN" w:eastAsia="zh-CN" w:bidi="ar-SA"/>
              </w:rPr>
              <w:t xml:space="preserve">葫芦河流 </w:t>
            </w:r>
          </w:p>
          <w:p w14:paraId="3087FDC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r>
              <w:rPr>
                <w:rFonts w:hint="default" w:ascii="Times New Roman" w:hAnsi="Times New Roman" w:eastAsia="宋体" w:cs="Times New Roman"/>
                <w:color w:val="auto"/>
                <w:kern w:val="2"/>
                <w:sz w:val="21"/>
                <w:szCs w:val="24"/>
                <w:highlight w:val="none"/>
                <w:lang w:val="zh-CN" w:eastAsia="zh-CN" w:bidi="ar-SA"/>
              </w:rPr>
              <w:t xml:space="preserve">域牧农林 </w:t>
            </w:r>
          </w:p>
          <w:p w14:paraId="0988CA7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r>
              <w:rPr>
                <w:rFonts w:hint="default" w:ascii="Times New Roman" w:hAnsi="Times New Roman" w:eastAsia="宋体" w:cs="Times New Roman"/>
                <w:color w:val="auto"/>
                <w:kern w:val="2"/>
                <w:sz w:val="21"/>
                <w:szCs w:val="24"/>
                <w:highlight w:val="none"/>
                <w:lang w:val="zh-CN" w:eastAsia="zh-CN" w:bidi="ar-SA"/>
              </w:rPr>
              <w:t>生态亚区</w:t>
            </w:r>
          </w:p>
          <w:p w14:paraId="417C90A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p>
        </w:tc>
        <w:tc>
          <w:tcPr>
            <w:tcW w:w="1555" w:type="dxa"/>
            <w:tcBorders>
              <w:tl2br w:val="nil"/>
              <w:tr2bl w:val="nil"/>
            </w:tcBorders>
            <w:noWrap/>
            <w:tcMar>
              <w:top w:w="15" w:type="dxa"/>
              <w:left w:w="15" w:type="dxa"/>
              <w:bottom w:w="0" w:type="dxa"/>
              <w:right w:w="15" w:type="dxa"/>
            </w:tcMar>
            <w:vAlign w:val="center"/>
          </w:tcPr>
          <w:p w14:paraId="435C38B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I</w:t>
            </w:r>
            <w:r>
              <w:rPr>
                <w:rFonts w:hint="default" w:ascii="Times New Roman" w:hAnsi="Times New Roman" w:eastAsia="宋体" w:cs="Times New Roman"/>
                <w:color w:val="auto"/>
                <w:kern w:val="2"/>
                <w:sz w:val="21"/>
                <w:szCs w:val="24"/>
                <w:highlight w:val="none"/>
                <w:lang w:val="en-US" w:eastAsia="zh-CN" w:bidi="ar-SA"/>
              </w:rPr>
              <w:t>2-1葫芦河两侧梁峁丘陵强度水土流失治理生态功能区</w:t>
            </w:r>
          </w:p>
        </w:tc>
        <w:tc>
          <w:tcPr>
            <w:tcW w:w="5595" w:type="dxa"/>
            <w:tcBorders>
              <w:tl2br w:val="nil"/>
              <w:tr2bl w:val="nil"/>
            </w:tcBorders>
            <w:noWrap/>
            <w:tcMar>
              <w:top w:w="15" w:type="dxa"/>
              <w:left w:w="15" w:type="dxa"/>
              <w:bottom w:w="0" w:type="dxa"/>
              <w:right w:w="15" w:type="dxa"/>
            </w:tcMar>
            <w:vAlign w:val="center"/>
          </w:tcPr>
          <w:p w14:paraId="4C39900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其地貌为典型的黄土梁峁丘陵，地形破碎，沟壑纵横，水土流失相当严重。本区属于强度水土流失区，年侵蚀模数6000t/km2以上，治理的措施是：坚决退耕还林还草，增加植被覆盖，加强小流域综合治理，建立健全该区的复合生态系统。</w:t>
            </w:r>
          </w:p>
        </w:tc>
      </w:tr>
      <w:tr w14:paraId="45A77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5" w:hRule="atLeast"/>
          <w:jc w:val="center"/>
        </w:trPr>
        <w:tc>
          <w:tcPr>
            <w:tcW w:w="757" w:type="dxa"/>
            <w:vMerge w:val="continue"/>
            <w:tcBorders>
              <w:tl2br w:val="nil"/>
              <w:tr2bl w:val="nil"/>
            </w:tcBorders>
            <w:noWrap/>
            <w:tcMar>
              <w:top w:w="15" w:type="dxa"/>
              <w:left w:w="15" w:type="dxa"/>
              <w:bottom w:w="0" w:type="dxa"/>
              <w:right w:w="15" w:type="dxa"/>
            </w:tcMar>
            <w:vAlign w:val="center"/>
          </w:tcPr>
          <w:p w14:paraId="0F20DBA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p>
        </w:tc>
        <w:tc>
          <w:tcPr>
            <w:tcW w:w="945" w:type="dxa"/>
            <w:vMerge w:val="continue"/>
            <w:tcBorders>
              <w:tl2br w:val="nil"/>
              <w:tr2bl w:val="nil"/>
            </w:tcBorders>
            <w:noWrap w:val="0"/>
            <w:vAlign w:val="center"/>
          </w:tcPr>
          <w:p w14:paraId="77AD0B4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p>
        </w:tc>
        <w:tc>
          <w:tcPr>
            <w:tcW w:w="1555" w:type="dxa"/>
            <w:tcBorders>
              <w:tl2br w:val="nil"/>
              <w:tr2bl w:val="nil"/>
            </w:tcBorders>
            <w:noWrap/>
            <w:tcMar>
              <w:top w:w="15" w:type="dxa"/>
              <w:left w:w="15" w:type="dxa"/>
              <w:bottom w:w="0" w:type="dxa"/>
              <w:right w:w="15" w:type="dxa"/>
            </w:tcMar>
            <w:vAlign w:val="center"/>
          </w:tcPr>
          <w:p w14:paraId="6E40FD3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zh-CN" w:eastAsia="zh-CN" w:bidi="ar-SA"/>
              </w:rPr>
            </w:pPr>
            <w:r>
              <w:rPr>
                <w:rFonts w:hint="default" w:ascii="Times New Roman" w:hAnsi="Times New Roman" w:eastAsia="宋体" w:cs="Times New Roman"/>
                <w:color w:val="auto"/>
                <w:kern w:val="2"/>
                <w:sz w:val="21"/>
                <w:szCs w:val="24"/>
                <w:highlight w:val="none"/>
                <w:lang w:val="en-US" w:eastAsia="zh-CN" w:bidi="ar-SA"/>
              </w:rPr>
              <w:t>I2-2葫芦河干支流河谷节灌农田生态功能区</w:t>
            </w:r>
          </w:p>
        </w:tc>
        <w:tc>
          <w:tcPr>
            <w:tcW w:w="5595" w:type="dxa"/>
            <w:tcBorders>
              <w:tl2br w:val="nil"/>
              <w:tr2bl w:val="nil"/>
            </w:tcBorders>
            <w:noWrap/>
            <w:tcMar>
              <w:top w:w="15" w:type="dxa"/>
              <w:left w:w="15" w:type="dxa"/>
              <w:bottom w:w="0" w:type="dxa"/>
              <w:right w:w="15" w:type="dxa"/>
            </w:tcMar>
            <w:vAlign w:val="center"/>
          </w:tcPr>
          <w:p w14:paraId="25A9DFF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生态功能区内的支流有数十条，主要发源于六盘山，另外还有葫芦河支流、滥泥河上游的大小堰塞湖，河谷平原区土壤多为新积土，土质肥沃，灌溉条件较好。土壤盐渍化是其生态敏感问题。本区需实施节水灌溉，搞好川地基本农田建设，缩小灌面，推行先进的节水措施；调整种植结构，合理安排粮作、经济、饲料比例，全面发展农牧业、林草业，建立健全河谷川道区农田生态系统。</w:t>
            </w:r>
          </w:p>
        </w:tc>
      </w:tr>
    </w:tbl>
    <w:p w14:paraId="61C69F6E">
      <w:pPr>
        <w:keepNext/>
        <w:keepLines/>
        <w:widowControl w:val="0"/>
        <w:bidi w:val="0"/>
        <w:spacing w:beforeLines="0" w:beforeAutospacing="0" w:afterLines="0" w:afterAutospacing="0" w:line="360" w:lineRule="auto"/>
        <w:ind w:firstLine="0"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w:t>
      </w:r>
      <w:r>
        <w:rPr>
          <w:rFonts w:hint="eastAsia" w:cs="Times New Roman"/>
          <w:b/>
          <w:color w:val="auto"/>
          <w:kern w:val="2"/>
          <w:sz w:val="24"/>
          <w:szCs w:val="24"/>
          <w:highlight w:val="none"/>
          <w:lang w:val="en-US" w:eastAsia="zh-CN" w:bidi="ar-SA"/>
        </w:rPr>
        <w:t>1</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项目区主要的生态问题</w:t>
      </w:r>
    </w:p>
    <w:p w14:paraId="1383FAE9">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全国生态状况调查评估技术规范-生态问题评估》（HJ1174-2021），生态问题是由于人类活动和自然条件变化引起的自然生态系统退化及由此衍生的不良生态环境效应，包括水土流失、土地沙化、石漠化、生态系统退化等，其中生态系统退化包括森林退化、草地退化和湿地退化。根据对拟建沿线的现场考察和资料分析，项目区目前主要的生态问题为：</w:t>
      </w:r>
    </w:p>
    <w:p w14:paraId="5D87A68F">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（1）水土流失问题</w:t>
      </w:r>
    </w:p>
    <w:p w14:paraId="738A267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水利部办公厅关于印发《全国水土保持规划国家级水土流失重点预防区和重点治理区复核划分成果》的通知（办水保〔2013〕188号）、《宁夏回族自治区水土保持总体规划（2016-2030年）》的相关规定，项目位于子午岭-六盘山国家级水土流失重点预防区和省级水土流失重点预防保护区。</w:t>
      </w:r>
    </w:p>
    <w:p w14:paraId="31D57131">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生产建设项目水土流失防治标准》（GB50434-2018）、《宁夏回族自治区2024年水土保持公报》、《土壤侵蚀分类分级标准》（SL190-2007），结合类似工程经验，确定本工程项目区土壤侵蚀类型为轻度水蚀，隆德县施工区原地貌侵蚀模数为2300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·a，容许土壤流失量为1000t/km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w:t>
      </w:r>
    </w:p>
    <w:p w14:paraId="2EDE79E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（2）生态系统退化问题</w:t>
      </w:r>
    </w:p>
    <w:p w14:paraId="19BD455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依据《黄河流域六盘山生态功能区（宁夏段）山水林田湖草沙一体化保护和修复工程项目执行方案》（固政办发〔2023〕40号），六盘山生态功能区的重点生态问题是：生态系统稳定性不强，存在较大生态退化风险；局部地区水土流失严重，威胁黄河安全；林草群落结构不合理，水源涵养功能不足；河流湿地生态功能退化，对下游供水保障能力降低；农业基础设施薄弱，乡村生态保障体系不完善；生态基础设施建设不足。</w:t>
      </w:r>
    </w:p>
    <w:p w14:paraId="5A1E6FFB">
      <w:pPr>
        <w:keepNext/>
        <w:keepLines/>
        <w:widowControl w:val="0"/>
        <w:bidi w:val="0"/>
        <w:spacing w:beforeLines="0" w:beforeAutospacing="0" w:afterLines="0" w:afterAutospacing="0" w:line="360" w:lineRule="auto"/>
        <w:ind w:firstLine="0"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3.3.</w:t>
      </w:r>
      <w:r>
        <w:rPr>
          <w:rFonts w:hint="eastAsia" w:cs="Times New Roman"/>
          <w:b/>
          <w:color w:val="auto"/>
          <w:kern w:val="2"/>
          <w:sz w:val="24"/>
          <w:szCs w:val="24"/>
          <w:highlight w:val="none"/>
          <w:lang w:val="en-US" w:eastAsia="zh-CN" w:bidi="ar-SA"/>
        </w:rPr>
        <w:t>1</w:t>
      </w:r>
      <w:r>
        <w:rPr>
          <w:rFonts w:hint="default" w:ascii="Times New Roman" w:hAnsi="Times New Roman" w:eastAsia="宋体" w:cs="Times New Roman"/>
          <w:b/>
          <w:color w:val="auto"/>
          <w:kern w:val="2"/>
          <w:sz w:val="24"/>
          <w:szCs w:val="24"/>
          <w:highlight w:val="none"/>
          <w:lang w:val="en-US" w:eastAsia="zh-CN" w:bidi="ar-SA"/>
        </w:rPr>
        <w:t>.4项目与生态功能区划的协调性分析</w:t>
      </w:r>
    </w:p>
    <w:p w14:paraId="77E0841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本项目所涉及全国生态功能区主要为土壤保持重要区，涉及的宁夏生态功能区为黄土丘陵水土流失区，其主要生态环境问题是水土流失，导致泥沙淤积水库，库容减小，农田有效灌溉保障率下降等。</w:t>
      </w:r>
    </w:p>
    <w:p w14:paraId="0A15CBF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不属于高污染工业项目。根据输电工程的项目特点，本项目的影响范围主要为塔基开挖的间断式影响，此类影响相对较小。项目设计选线阶段，通过多次优化线路路径，减少穿越生态敏感区线路长度，从根本上降低对区域生态系统的影响，另外输电线路仅塔基为永久占地，且大部分塔基采用挖孔桩基础，工程损毁植被面积较小，植被生物量损失较小，对动物生境占用影响较小，施工结束后对临时占地进行植被恢复。项目整体上对植被破坏、水土流失及生物多样性维护等生态功能的影响较小。</w:t>
      </w:r>
    </w:p>
    <w:p w14:paraId="5FC9F3F0">
      <w:pPr>
        <w:spacing w:line="360" w:lineRule="auto"/>
        <w:ind w:firstLine="480" w:firstLineChars="20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因此，本项目在严格执行水土保持和生态恢复措施的前提下不会对所在生态功能区生态环境产生较大影响。本工程与生态功能区划整体协调</w:t>
      </w:r>
      <w:r>
        <w:rPr>
          <w:rFonts w:hint="eastAsia" w:cs="Times New Roman"/>
          <w:color w:val="auto"/>
          <w:sz w:val="24"/>
          <w:highlight w:val="none"/>
          <w:lang w:val="en-US" w:eastAsia="zh-CN"/>
        </w:rPr>
        <w:t>。</w:t>
      </w:r>
    </w:p>
    <w:p w14:paraId="1A971DC3">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3.3.2</w:t>
      </w:r>
      <w:r>
        <w:rPr>
          <w:rFonts w:hint="default" w:ascii="Times New Roman" w:hAnsi="Times New Roman" w:eastAsia="宋体" w:cs="Times New Roman"/>
          <w:b/>
          <w:color w:val="auto"/>
          <w:kern w:val="2"/>
          <w:sz w:val="24"/>
          <w:szCs w:val="24"/>
          <w:highlight w:val="none"/>
          <w:lang w:val="en-US" w:eastAsia="zh-CN" w:bidi="ar-SA"/>
        </w:rPr>
        <w:t>土地利用现状</w:t>
      </w:r>
    </w:p>
    <w:p w14:paraId="45F1910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按照《环境影响评价技术导则生态影响》（HJ19-2022）要求，通过判读遥感影像及现场场校核，评价范围内土地利用现状调查是在卫片解译的基础上，参考《土地利用现状分类》（GB/T21010-2017）中有关分类标准，结合现有资料，并结合土壤、地貌等因子进行综合分析，本报告将土地利用格局的拼块类型分为耕地、林地、</w:t>
      </w:r>
      <w:r>
        <w:rPr>
          <w:rFonts w:hint="eastAsia" w:ascii="Times New Roman" w:hAnsi="Times New Roman" w:eastAsia="宋体" w:cs="Times New Roman"/>
          <w:color w:val="auto"/>
          <w:sz w:val="24"/>
          <w:highlight w:val="none"/>
          <w:lang w:val="en-US" w:eastAsia="zh-CN"/>
        </w:rPr>
        <w:t>园地、</w:t>
      </w:r>
      <w:r>
        <w:rPr>
          <w:rFonts w:hint="default" w:ascii="Times New Roman" w:hAnsi="Times New Roman" w:eastAsia="宋体" w:cs="Times New Roman"/>
          <w:color w:val="auto"/>
          <w:sz w:val="24"/>
          <w:highlight w:val="none"/>
          <w:lang w:val="en-US" w:eastAsia="zh-CN"/>
        </w:rPr>
        <w:t>草地、住宅用地、</w:t>
      </w:r>
      <w:r>
        <w:rPr>
          <w:rFonts w:hint="eastAsia" w:ascii="Times New Roman" w:hAnsi="Times New Roman" w:eastAsia="宋体" w:cs="Times New Roman"/>
          <w:color w:val="auto"/>
          <w:sz w:val="24"/>
          <w:highlight w:val="none"/>
          <w:lang w:val="en-US" w:eastAsia="zh-CN"/>
        </w:rPr>
        <w:t>工矿用地、</w:t>
      </w:r>
      <w:r>
        <w:rPr>
          <w:rFonts w:hint="default" w:ascii="Times New Roman" w:hAnsi="Times New Roman" w:eastAsia="宋体" w:cs="Times New Roman"/>
          <w:color w:val="auto"/>
          <w:sz w:val="24"/>
          <w:highlight w:val="none"/>
          <w:lang w:val="en-US" w:eastAsia="zh-CN"/>
        </w:rPr>
        <w:t>公共管理与公共服务用地、特殊用地、交通运输用地、商业服务业用地</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水域及水利设施用地和其他用地</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val="en-US" w:eastAsia="zh-CN"/>
        </w:rPr>
        <w:t>种一级类型。工程评价区土地利用现状见表</w:t>
      </w:r>
      <w:r>
        <w:rPr>
          <w:rFonts w:hint="eastAsia" w:ascii="Times New Roman" w:hAnsi="Times New Roman" w:eastAsia="宋体" w:cs="Times New Roman"/>
          <w:color w:val="auto"/>
          <w:sz w:val="24"/>
          <w:highlight w:val="none"/>
          <w:lang w:val="en-US" w:eastAsia="zh-CN"/>
        </w:rPr>
        <w:t>3.3</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14:paraId="48D92EB8">
      <w:pPr>
        <w:spacing w:line="360" w:lineRule="auto"/>
        <w:jc w:val="center"/>
        <w:rPr>
          <w:rFonts w:hint="default" w:ascii="Times New Roman" w:hAnsi="Times New Roman" w:eastAsia="宋体" w:cs="Times New Roman"/>
          <w:b/>
          <w:bCs/>
          <w:color w:val="auto"/>
          <w:sz w:val="22"/>
          <w:szCs w:val="22"/>
          <w:highlight w:val="none"/>
          <w:lang w:val="en-US" w:eastAsia="zh-CN"/>
        </w:rPr>
      </w:pPr>
      <w:r>
        <w:rPr>
          <w:rFonts w:hint="eastAsia" w:ascii="Times New Roman" w:hAnsi="Times New Roman" w:eastAsia="黑体" w:cs="Times New Roman"/>
          <w:b/>
          <w:color w:val="auto"/>
          <w:kern w:val="2"/>
          <w:sz w:val="24"/>
          <w:szCs w:val="24"/>
          <w:highlight w:val="none"/>
          <w:lang w:val="en-US" w:eastAsia="zh-CN" w:bidi="ar-SA"/>
        </w:rPr>
        <w:t>表3.3-3  评价区土地利用现状统计表</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5"/>
        <w:gridCol w:w="1481"/>
        <w:gridCol w:w="2453"/>
        <w:gridCol w:w="1666"/>
        <w:gridCol w:w="2284"/>
      </w:tblGrid>
      <w:tr w14:paraId="1BCD85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blHeader/>
        </w:trPr>
        <w:tc>
          <w:tcPr>
            <w:tcW w:w="372" w:type="pct"/>
            <w:vMerge w:val="restart"/>
            <w:tcBorders>
              <w:tl2br w:val="nil"/>
              <w:tr2bl w:val="nil"/>
            </w:tcBorders>
            <w:shd w:val="clear" w:color="auto" w:fill="auto"/>
            <w:noWrap/>
            <w:vAlign w:val="center"/>
          </w:tcPr>
          <w:p w14:paraId="3D12E72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308" w:type="pct"/>
            <w:gridSpan w:val="2"/>
            <w:tcBorders>
              <w:tl2br w:val="nil"/>
              <w:tr2bl w:val="nil"/>
            </w:tcBorders>
            <w:shd w:val="clear" w:color="auto" w:fill="auto"/>
            <w:noWrap/>
            <w:vAlign w:val="center"/>
          </w:tcPr>
          <w:p w14:paraId="4BAFA0F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土地利用类型</w:t>
            </w:r>
          </w:p>
        </w:tc>
        <w:tc>
          <w:tcPr>
            <w:tcW w:w="2318" w:type="pct"/>
            <w:gridSpan w:val="2"/>
            <w:tcBorders>
              <w:tl2br w:val="nil"/>
              <w:tr2bl w:val="nil"/>
            </w:tcBorders>
            <w:shd w:val="clear" w:color="auto" w:fill="auto"/>
            <w:noWrap/>
            <w:vAlign w:val="center"/>
          </w:tcPr>
          <w:p w14:paraId="289CB5C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评价区</w:t>
            </w:r>
          </w:p>
        </w:tc>
      </w:tr>
      <w:tr w14:paraId="5263E3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blHeader/>
        </w:trPr>
        <w:tc>
          <w:tcPr>
            <w:tcW w:w="372" w:type="pct"/>
            <w:vMerge w:val="continue"/>
            <w:tcBorders>
              <w:tl2br w:val="nil"/>
              <w:tr2bl w:val="nil"/>
            </w:tcBorders>
            <w:shd w:val="clear" w:color="auto" w:fill="auto"/>
            <w:noWrap/>
            <w:vAlign w:val="center"/>
          </w:tcPr>
          <w:p w14:paraId="6A53308E">
            <w:pPr>
              <w:spacing w:line="240" w:lineRule="auto"/>
              <w:jc w:val="center"/>
              <w:rPr>
                <w:rFonts w:hint="default" w:ascii="Times New Roman" w:hAnsi="Times New Roman" w:eastAsia="宋体" w:cs="Times New Roman"/>
                <w:b/>
                <w:bCs/>
                <w:i w:val="0"/>
                <w:iCs w:val="0"/>
                <w:color w:val="000000"/>
                <w:sz w:val="21"/>
                <w:szCs w:val="21"/>
                <w:u w:val="none"/>
              </w:rPr>
            </w:pPr>
          </w:p>
        </w:tc>
        <w:tc>
          <w:tcPr>
            <w:tcW w:w="869" w:type="pct"/>
            <w:tcBorders>
              <w:tl2br w:val="nil"/>
              <w:tr2bl w:val="nil"/>
            </w:tcBorders>
            <w:shd w:val="clear" w:color="auto" w:fill="auto"/>
            <w:noWrap/>
            <w:vAlign w:val="center"/>
          </w:tcPr>
          <w:p w14:paraId="0FE6771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一级类</w:t>
            </w:r>
          </w:p>
        </w:tc>
        <w:tc>
          <w:tcPr>
            <w:tcW w:w="1439" w:type="pct"/>
            <w:tcBorders>
              <w:tl2br w:val="nil"/>
              <w:tr2bl w:val="nil"/>
            </w:tcBorders>
            <w:shd w:val="clear" w:color="auto" w:fill="auto"/>
            <w:noWrap/>
            <w:vAlign w:val="center"/>
          </w:tcPr>
          <w:p w14:paraId="76F7807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二级类</w:t>
            </w:r>
          </w:p>
        </w:tc>
        <w:tc>
          <w:tcPr>
            <w:tcW w:w="977" w:type="pct"/>
            <w:tcBorders>
              <w:tl2br w:val="nil"/>
              <w:tr2bl w:val="nil"/>
            </w:tcBorders>
            <w:shd w:val="clear" w:color="auto" w:fill="auto"/>
            <w:noWrap/>
            <w:vAlign w:val="center"/>
          </w:tcPr>
          <w:p w14:paraId="43C53A5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面积（hm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1340" w:type="pct"/>
            <w:tcBorders>
              <w:tl2br w:val="nil"/>
              <w:tr2bl w:val="nil"/>
            </w:tcBorders>
            <w:shd w:val="clear" w:color="auto" w:fill="auto"/>
            <w:vAlign w:val="center"/>
          </w:tcPr>
          <w:p w14:paraId="505E07B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占总面积比例（</w:t>
            </w:r>
            <w:r>
              <w:rPr>
                <w:rStyle w:val="61"/>
                <w:rFonts w:hint="default" w:ascii="Times New Roman" w:hAnsi="Times New Roman" w:eastAsia="宋体" w:cs="Times New Roman"/>
                <w:b/>
                <w:bCs/>
                <w:sz w:val="21"/>
                <w:szCs w:val="21"/>
                <w:lang w:val="en-US" w:eastAsia="zh-CN" w:bidi="ar"/>
              </w:rPr>
              <w:t>%</w:t>
            </w:r>
            <w:r>
              <w:rPr>
                <w:rStyle w:val="62"/>
                <w:rFonts w:hint="default" w:ascii="Times New Roman" w:hAnsi="Times New Roman" w:eastAsia="宋体" w:cs="Times New Roman"/>
                <w:b/>
                <w:bCs/>
                <w:sz w:val="21"/>
                <w:szCs w:val="21"/>
                <w:lang w:val="en-US" w:eastAsia="zh-CN" w:bidi="ar"/>
              </w:rPr>
              <w:t>）</w:t>
            </w:r>
          </w:p>
        </w:tc>
      </w:tr>
      <w:tr w14:paraId="2C7F8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22F051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69" w:type="pct"/>
            <w:tcBorders>
              <w:tl2br w:val="nil"/>
              <w:tr2bl w:val="nil"/>
            </w:tcBorders>
            <w:shd w:val="clear" w:color="auto" w:fill="auto"/>
            <w:noWrap/>
            <w:vAlign w:val="center"/>
          </w:tcPr>
          <w:p w14:paraId="7EA412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耕地</w:t>
            </w:r>
          </w:p>
        </w:tc>
        <w:tc>
          <w:tcPr>
            <w:tcW w:w="1439" w:type="pct"/>
            <w:tcBorders>
              <w:tl2br w:val="nil"/>
              <w:tr2bl w:val="nil"/>
            </w:tcBorders>
            <w:shd w:val="clear" w:color="auto" w:fill="auto"/>
            <w:noWrap/>
            <w:vAlign w:val="center"/>
          </w:tcPr>
          <w:p w14:paraId="21C232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旱地  </w:t>
            </w:r>
          </w:p>
        </w:tc>
        <w:tc>
          <w:tcPr>
            <w:tcW w:w="977" w:type="pct"/>
            <w:tcBorders>
              <w:tl2br w:val="nil"/>
              <w:tr2bl w:val="nil"/>
            </w:tcBorders>
            <w:shd w:val="clear" w:color="auto" w:fill="auto"/>
            <w:noWrap/>
            <w:vAlign w:val="center"/>
          </w:tcPr>
          <w:p w14:paraId="4E73DB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701.88 </w:t>
            </w:r>
          </w:p>
        </w:tc>
        <w:tc>
          <w:tcPr>
            <w:tcW w:w="1340" w:type="pct"/>
            <w:tcBorders>
              <w:tl2br w:val="nil"/>
              <w:tr2bl w:val="nil"/>
            </w:tcBorders>
            <w:shd w:val="clear" w:color="auto" w:fill="auto"/>
            <w:noWrap/>
            <w:vAlign w:val="center"/>
          </w:tcPr>
          <w:p w14:paraId="2608D4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62.73 </w:t>
            </w:r>
          </w:p>
        </w:tc>
      </w:tr>
      <w:tr w14:paraId="63ED6E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4C9E20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69" w:type="pct"/>
            <w:vMerge w:val="restart"/>
            <w:tcBorders>
              <w:tl2br w:val="nil"/>
              <w:tr2bl w:val="nil"/>
            </w:tcBorders>
            <w:shd w:val="clear" w:color="auto" w:fill="auto"/>
            <w:noWrap/>
            <w:vAlign w:val="center"/>
          </w:tcPr>
          <w:p w14:paraId="4516EA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林地</w:t>
            </w:r>
          </w:p>
        </w:tc>
        <w:tc>
          <w:tcPr>
            <w:tcW w:w="1439" w:type="pct"/>
            <w:tcBorders>
              <w:tl2br w:val="nil"/>
              <w:tr2bl w:val="nil"/>
            </w:tcBorders>
            <w:shd w:val="clear" w:color="auto" w:fill="auto"/>
            <w:noWrap/>
            <w:vAlign w:val="center"/>
          </w:tcPr>
          <w:p w14:paraId="33421D4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乔木林地  </w:t>
            </w:r>
          </w:p>
        </w:tc>
        <w:tc>
          <w:tcPr>
            <w:tcW w:w="977" w:type="pct"/>
            <w:tcBorders>
              <w:tl2br w:val="nil"/>
              <w:tr2bl w:val="nil"/>
            </w:tcBorders>
            <w:shd w:val="clear" w:color="auto" w:fill="auto"/>
            <w:noWrap/>
            <w:vAlign w:val="center"/>
          </w:tcPr>
          <w:p w14:paraId="51C67F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69.87 </w:t>
            </w:r>
          </w:p>
        </w:tc>
        <w:tc>
          <w:tcPr>
            <w:tcW w:w="1340" w:type="pct"/>
            <w:tcBorders>
              <w:tl2br w:val="nil"/>
              <w:tr2bl w:val="nil"/>
            </w:tcBorders>
            <w:shd w:val="clear" w:color="auto" w:fill="auto"/>
            <w:noWrap/>
            <w:vAlign w:val="center"/>
          </w:tcPr>
          <w:p w14:paraId="61C12D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6.24 </w:t>
            </w:r>
          </w:p>
        </w:tc>
      </w:tr>
      <w:tr w14:paraId="67BAF6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6E78EB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69" w:type="pct"/>
            <w:vMerge w:val="continue"/>
            <w:tcBorders>
              <w:tl2br w:val="nil"/>
              <w:tr2bl w:val="nil"/>
            </w:tcBorders>
            <w:shd w:val="clear" w:color="auto" w:fill="auto"/>
            <w:noWrap/>
            <w:vAlign w:val="center"/>
          </w:tcPr>
          <w:p w14:paraId="22F1F90A">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630FFD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灌木林地  </w:t>
            </w:r>
          </w:p>
        </w:tc>
        <w:tc>
          <w:tcPr>
            <w:tcW w:w="977" w:type="pct"/>
            <w:tcBorders>
              <w:tl2br w:val="nil"/>
              <w:tr2bl w:val="nil"/>
            </w:tcBorders>
            <w:shd w:val="clear" w:color="auto" w:fill="auto"/>
            <w:noWrap/>
            <w:vAlign w:val="center"/>
          </w:tcPr>
          <w:p w14:paraId="7C3C8C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19.28 </w:t>
            </w:r>
          </w:p>
        </w:tc>
        <w:tc>
          <w:tcPr>
            <w:tcW w:w="1340" w:type="pct"/>
            <w:tcBorders>
              <w:tl2br w:val="nil"/>
              <w:tr2bl w:val="nil"/>
            </w:tcBorders>
            <w:shd w:val="clear" w:color="auto" w:fill="auto"/>
            <w:noWrap/>
            <w:vAlign w:val="center"/>
          </w:tcPr>
          <w:p w14:paraId="77ADB6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1.72 </w:t>
            </w:r>
          </w:p>
        </w:tc>
      </w:tr>
      <w:tr w14:paraId="52261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4290D2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69" w:type="pct"/>
            <w:vMerge w:val="continue"/>
            <w:tcBorders>
              <w:tl2br w:val="nil"/>
              <w:tr2bl w:val="nil"/>
            </w:tcBorders>
            <w:shd w:val="clear" w:color="auto" w:fill="auto"/>
            <w:noWrap/>
            <w:vAlign w:val="center"/>
          </w:tcPr>
          <w:p w14:paraId="4A181F35">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2726B8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其他林地  </w:t>
            </w:r>
          </w:p>
        </w:tc>
        <w:tc>
          <w:tcPr>
            <w:tcW w:w="977" w:type="pct"/>
            <w:tcBorders>
              <w:tl2br w:val="nil"/>
              <w:tr2bl w:val="nil"/>
            </w:tcBorders>
            <w:shd w:val="clear" w:color="auto" w:fill="auto"/>
            <w:noWrap/>
            <w:vAlign w:val="center"/>
          </w:tcPr>
          <w:p w14:paraId="6B9C19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179.04 </w:t>
            </w:r>
          </w:p>
        </w:tc>
        <w:tc>
          <w:tcPr>
            <w:tcW w:w="1340" w:type="pct"/>
            <w:tcBorders>
              <w:tl2br w:val="nil"/>
              <w:tr2bl w:val="nil"/>
            </w:tcBorders>
            <w:shd w:val="clear" w:color="auto" w:fill="auto"/>
            <w:noWrap/>
            <w:vAlign w:val="center"/>
          </w:tcPr>
          <w:p w14:paraId="209721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16.00 </w:t>
            </w:r>
          </w:p>
        </w:tc>
      </w:tr>
      <w:tr w14:paraId="69EE9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0B1C21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69" w:type="pct"/>
            <w:vMerge w:val="restart"/>
            <w:tcBorders>
              <w:tl2br w:val="nil"/>
              <w:tr2bl w:val="nil"/>
            </w:tcBorders>
            <w:shd w:val="clear" w:color="auto" w:fill="auto"/>
            <w:noWrap/>
            <w:vAlign w:val="center"/>
          </w:tcPr>
          <w:p w14:paraId="0D75E4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草地</w:t>
            </w:r>
          </w:p>
        </w:tc>
        <w:tc>
          <w:tcPr>
            <w:tcW w:w="1439" w:type="pct"/>
            <w:tcBorders>
              <w:tl2br w:val="nil"/>
              <w:tr2bl w:val="nil"/>
            </w:tcBorders>
            <w:shd w:val="clear" w:color="auto" w:fill="auto"/>
            <w:noWrap/>
            <w:vAlign w:val="center"/>
          </w:tcPr>
          <w:p w14:paraId="1691C5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天然牧草地  </w:t>
            </w:r>
          </w:p>
        </w:tc>
        <w:tc>
          <w:tcPr>
            <w:tcW w:w="977" w:type="pct"/>
            <w:tcBorders>
              <w:tl2br w:val="nil"/>
              <w:tr2bl w:val="nil"/>
            </w:tcBorders>
            <w:shd w:val="clear" w:color="auto" w:fill="auto"/>
            <w:noWrap/>
            <w:vAlign w:val="center"/>
          </w:tcPr>
          <w:p w14:paraId="10B3B4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3.36 </w:t>
            </w:r>
          </w:p>
        </w:tc>
        <w:tc>
          <w:tcPr>
            <w:tcW w:w="1340" w:type="pct"/>
            <w:tcBorders>
              <w:tl2br w:val="nil"/>
              <w:tr2bl w:val="nil"/>
            </w:tcBorders>
            <w:shd w:val="clear" w:color="auto" w:fill="auto"/>
            <w:noWrap/>
            <w:vAlign w:val="center"/>
          </w:tcPr>
          <w:p w14:paraId="2736FD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0.30 </w:t>
            </w:r>
          </w:p>
        </w:tc>
      </w:tr>
      <w:tr w14:paraId="340231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270EEF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69" w:type="pct"/>
            <w:vMerge w:val="continue"/>
            <w:tcBorders>
              <w:tl2br w:val="nil"/>
              <w:tr2bl w:val="nil"/>
            </w:tcBorders>
            <w:shd w:val="clear" w:color="auto" w:fill="auto"/>
            <w:noWrap/>
            <w:vAlign w:val="center"/>
          </w:tcPr>
          <w:p w14:paraId="735E064B">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721383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人工牧草地</w:t>
            </w:r>
          </w:p>
        </w:tc>
        <w:tc>
          <w:tcPr>
            <w:tcW w:w="977" w:type="pct"/>
            <w:tcBorders>
              <w:tl2br w:val="nil"/>
              <w:tr2bl w:val="nil"/>
            </w:tcBorders>
            <w:shd w:val="clear" w:color="auto" w:fill="auto"/>
            <w:noWrap/>
            <w:vAlign w:val="center"/>
          </w:tcPr>
          <w:p w14:paraId="68A352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8.37 </w:t>
            </w:r>
          </w:p>
        </w:tc>
        <w:tc>
          <w:tcPr>
            <w:tcW w:w="1340" w:type="pct"/>
            <w:tcBorders>
              <w:tl2br w:val="nil"/>
              <w:tr2bl w:val="nil"/>
            </w:tcBorders>
            <w:shd w:val="clear" w:color="auto" w:fill="auto"/>
            <w:noWrap/>
            <w:vAlign w:val="center"/>
          </w:tcPr>
          <w:p w14:paraId="316E07B3">
            <w:pPr>
              <w:spacing w:line="240" w:lineRule="auto"/>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0.75</w:t>
            </w:r>
          </w:p>
        </w:tc>
      </w:tr>
      <w:tr w14:paraId="1E29E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6B7B02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69" w:type="pct"/>
            <w:vMerge w:val="continue"/>
            <w:tcBorders>
              <w:tl2br w:val="nil"/>
              <w:tr2bl w:val="nil"/>
            </w:tcBorders>
            <w:shd w:val="clear" w:color="auto" w:fill="auto"/>
            <w:noWrap/>
            <w:vAlign w:val="center"/>
          </w:tcPr>
          <w:p w14:paraId="5C4B085C">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78E1D7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其他草地  </w:t>
            </w:r>
          </w:p>
        </w:tc>
        <w:tc>
          <w:tcPr>
            <w:tcW w:w="977" w:type="pct"/>
            <w:tcBorders>
              <w:tl2br w:val="nil"/>
              <w:tr2bl w:val="nil"/>
            </w:tcBorders>
            <w:shd w:val="clear" w:color="auto" w:fill="auto"/>
            <w:noWrap/>
            <w:vAlign w:val="center"/>
          </w:tcPr>
          <w:p w14:paraId="7A2C12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78.88 </w:t>
            </w:r>
          </w:p>
        </w:tc>
        <w:tc>
          <w:tcPr>
            <w:tcW w:w="1340" w:type="pct"/>
            <w:tcBorders>
              <w:tl2br w:val="nil"/>
              <w:tr2bl w:val="nil"/>
            </w:tcBorders>
            <w:shd w:val="clear" w:color="auto" w:fill="auto"/>
            <w:noWrap/>
            <w:vAlign w:val="center"/>
          </w:tcPr>
          <w:p w14:paraId="286730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7.05 </w:t>
            </w:r>
          </w:p>
        </w:tc>
      </w:tr>
      <w:tr w14:paraId="3E052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1F737D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69" w:type="pct"/>
            <w:tcBorders>
              <w:tl2br w:val="nil"/>
              <w:tr2bl w:val="nil"/>
            </w:tcBorders>
            <w:shd w:val="clear" w:color="auto" w:fill="auto"/>
            <w:noWrap/>
            <w:vAlign w:val="center"/>
          </w:tcPr>
          <w:p w14:paraId="63CA79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住宅用地</w:t>
            </w:r>
          </w:p>
        </w:tc>
        <w:tc>
          <w:tcPr>
            <w:tcW w:w="1439" w:type="pct"/>
            <w:tcBorders>
              <w:tl2br w:val="nil"/>
              <w:tr2bl w:val="nil"/>
            </w:tcBorders>
            <w:shd w:val="clear" w:color="auto" w:fill="auto"/>
            <w:noWrap/>
            <w:vAlign w:val="center"/>
          </w:tcPr>
          <w:p w14:paraId="06BC5A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农村宅基地  </w:t>
            </w:r>
          </w:p>
        </w:tc>
        <w:tc>
          <w:tcPr>
            <w:tcW w:w="977" w:type="pct"/>
            <w:tcBorders>
              <w:tl2br w:val="nil"/>
              <w:tr2bl w:val="nil"/>
            </w:tcBorders>
            <w:shd w:val="clear" w:color="auto" w:fill="auto"/>
            <w:noWrap/>
            <w:vAlign w:val="center"/>
          </w:tcPr>
          <w:p w14:paraId="5C3C87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11.93 </w:t>
            </w:r>
          </w:p>
        </w:tc>
        <w:tc>
          <w:tcPr>
            <w:tcW w:w="1340" w:type="pct"/>
            <w:tcBorders>
              <w:tl2br w:val="nil"/>
              <w:tr2bl w:val="nil"/>
            </w:tcBorders>
            <w:shd w:val="clear" w:color="auto" w:fill="auto"/>
            <w:noWrap/>
            <w:vAlign w:val="center"/>
          </w:tcPr>
          <w:p w14:paraId="36359A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1.07 </w:t>
            </w:r>
          </w:p>
        </w:tc>
      </w:tr>
      <w:tr w14:paraId="22EC2A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39DA2F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69" w:type="pct"/>
            <w:tcBorders>
              <w:tl2br w:val="nil"/>
              <w:tr2bl w:val="nil"/>
            </w:tcBorders>
            <w:shd w:val="clear" w:color="auto" w:fill="auto"/>
            <w:noWrap/>
            <w:vAlign w:val="center"/>
          </w:tcPr>
          <w:p w14:paraId="4DAA6F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特殊用地</w:t>
            </w:r>
          </w:p>
        </w:tc>
        <w:tc>
          <w:tcPr>
            <w:tcW w:w="1439" w:type="pct"/>
            <w:tcBorders>
              <w:tl2br w:val="nil"/>
              <w:tr2bl w:val="nil"/>
            </w:tcBorders>
            <w:shd w:val="clear" w:color="auto" w:fill="auto"/>
            <w:noWrap/>
            <w:vAlign w:val="center"/>
          </w:tcPr>
          <w:p w14:paraId="43209D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特殊用地</w:t>
            </w:r>
          </w:p>
        </w:tc>
        <w:tc>
          <w:tcPr>
            <w:tcW w:w="977" w:type="pct"/>
            <w:tcBorders>
              <w:tl2br w:val="nil"/>
              <w:tr2bl w:val="nil"/>
            </w:tcBorders>
            <w:shd w:val="clear" w:color="auto" w:fill="auto"/>
            <w:noWrap/>
            <w:vAlign w:val="center"/>
          </w:tcPr>
          <w:p w14:paraId="428443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0.99 </w:t>
            </w:r>
          </w:p>
        </w:tc>
        <w:tc>
          <w:tcPr>
            <w:tcW w:w="1340" w:type="pct"/>
            <w:tcBorders>
              <w:tl2br w:val="nil"/>
              <w:tr2bl w:val="nil"/>
            </w:tcBorders>
            <w:shd w:val="clear" w:color="auto" w:fill="auto"/>
            <w:noWrap/>
            <w:vAlign w:val="center"/>
          </w:tcPr>
          <w:p w14:paraId="608B74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r>
      <w:tr w14:paraId="420C2E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3AC08D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69" w:type="pct"/>
            <w:vMerge w:val="restart"/>
            <w:tcBorders>
              <w:tl2br w:val="nil"/>
              <w:tr2bl w:val="nil"/>
            </w:tcBorders>
            <w:shd w:val="clear" w:color="auto" w:fill="auto"/>
            <w:vAlign w:val="center"/>
          </w:tcPr>
          <w:p w14:paraId="7EF15F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公用管理与公共服务用地</w:t>
            </w:r>
          </w:p>
        </w:tc>
        <w:tc>
          <w:tcPr>
            <w:tcW w:w="1439" w:type="pct"/>
            <w:tcBorders>
              <w:tl2br w:val="nil"/>
              <w:tr2bl w:val="nil"/>
            </w:tcBorders>
            <w:shd w:val="clear" w:color="auto" w:fill="auto"/>
            <w:noWrap/>
            <w:vAlign w:val="center"/>
          </w:tcPr>
          <w:p w14:paraId="47B69A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公用设施用地  </w:t>
            </w:r>
          </w:p>
        </w:tc>
        <w:tc>
          <w:tcPr>
            <w:tcW w:w="977" w:type="pct"/>
            <w:tcBorders>
              <w:tl2br w:val="nil"/>
              <w:tr2bl w:val="nil"/>
            </w:tcBorders>
            <w:shd w:val="clear" w:color="auto" w:fill="auto"/>
            <w:noWrap/>
            <w:vAlign w:val="center"/>
          </w:tcPr>
          <w:p w14:paraId="0EAE6D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1340" w:type="pct"/>
            <w:tcBorders>
              <w:tl2br w:val="nil"/>
              <w:tr2bl w:val="nil"/>
            </w:tcBorders>
            <w:shd w:val="clear" w:color="auto" w:fill="auto"/>
            <w:noWrap/>
            <w:vAlign w:val="center"/>
          </w:tcPr>
          <w:p w14:paraId="469141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r>
      <w:tr w14:paraId="10CAAF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7934D3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69" w:type="pct"/>
            <w:vMerge w:val="continue"/>
            <w:tcBorders>
              <w:tl2br w:val="nil"/>
              <w:tr2bl w:val="nil"/>
            </w:tcBorders>
            <w:shd w:val="clear" w:color="auto" w:fill="auto"/>
            <w:vAlign w:val="center"/>
          </w:tcPr>
          <w:p w14:paraId="4433A7F2">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48F8C1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机关团体新闻出版用地  </w:t>
            </w:r>
          </w:p>
        </w:tc>
        <w:tc>
          <w:tcPr>
            <w:tcW w:w="977" w:type="pct"/>
            <w:tcBorders>
              <w:tl2br w:val="nil"/>
              <w:tr2bl w:val="nil"/>
            </w:tcBorders>
            <w:shd w:val="clear" w:color="auto" w:fill="auto"/>
            <w:noWrap/>
            <w:vAlign w:val="center"/>
          </w:tcPr>
          <w:p w14:paraId="51D12D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0.41 </w:t>
            </w:r>
          </w:p>
        </w:tc>
        <w:tc>
          <w:tcPr>
            <w:tcW w:w="1340" w:type="pct"/>
            <w:tcBorders>
              <w:tl2br w:val="nil"/>
              <w:tr2bl w:val="nil"/>
            </w:tcBorders>
            <w:shd w:val="clear" w:color="auto" w:fill="auto"/>
            <w:noWrap/>
            <w:vAlign w:val="center"/>
          </w:tcPr>
          <w:p w14:paraId="20C4DE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r>
      <w:tr w14:paraId="1C90BC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7D61C4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69" w:type="pct"/>
            <w:vMerge w:val="continue"/>
            <w:tcBorders>
              <w:tl2br w:val="nil"/>
              <w:tr2bl w:val="nil"/>
            </w:tcBorders>
            <w:shd w:val="clear" w:color="auto" w:fill="auto"/>
            <w:vAlign w:val="center"/>
          </w:tcPr>
          <w:p w14:paraId="513C680E">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622070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科教文卫用地  </w:t>
            </w:r>
          </w:p>
        </w:tc>
        <w:tc>
          <w:tcPr>
            <w:tcW w:w="977" w:type="pct"/>
            <w:tcBorders>
              <w:tl2br w:val="nil"/>
              <w:tr2bl w:val="nil"/>
            </w:tcBorders>
            <w:shd w:val="clear" w:color="auto" w:fill="auto"/>
            <w:noWrap/>
            <w:vAlign w:val="center"/>
          </w:tcPr>
          <w:p w14:paraId="24A589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0.09 </w:t>
            </w:r>
          </w:p>
        </w:tc>
        <w:tc>
          <w:tcPr>
            <w:tcW w:w="1340" w:type="pct"/>
            <w:tcBorders>
              <w:tl2br w:val="nil"/>
              <w:tr2bl w:val="nil"/>
            </w:tcBorders>
            <w:shd w:val="clear" w:color="auto" w:fill="auto"/>
            <w:noWrap/>
            <w:vAlign w:val="center"/>
          </w:tcPr>
          <w:p w14:paraId="0D1741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14:paraId="1AE76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4B9C65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869" w:type="pct"/>
            <w:vMerge w:val="restart"/>
            <w:tcBorders>
              <w:tl2br w:val="nil"/>
              <w:tr2bl w:val="nil"/>
            </w:tcBorders>
            <w:shd w:val="clear" w:color="auto" w:fill="auto"/>
            <w:noWrap/>
            <w:vAlign w:val="center"/>
          </w:tcPr>
          <w:p w14:paraId="454FA6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交通运输用地</w:t>
            </w:r>
          </w:p>
        </w:tc>
        <w:tc>
          <w:tcPr>
            <w:tcW w:w="1439" w:type="pct"/>
            <w:tcBorders>
              <w:tl2br w:val="nil"/>
              <w:tr2bl w:val="nil"/>
            </w:tcBorders>
            <w:shd w:val="clear" w:color="auto" w:fill="auto"/>
            <w:noWrap/>
            <w:vAlign w:val="center"/>
          </w:tcPr>
          <w:p w14:paraId="18465C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城镇村道路用地  </w:t>
            </w:r>
          </w:p>
        </w:tc>
        <w:tc>
          <w:tcPr>
            <w:tcW w:w="977" w:type="pct"/>
            <w:tcBorders>
              <w:tl2br w:val="nil"/>
              <w:tr2bl w:val="nil"/>
            </w:tcBorders>
            <w:shd w:val="clear" w:color="auto" w:fill="auto"/>
            <w:noWrap/>
            <w:vAlign w:val="center"/>
          </w:tcPr>
          <w:p w14:paraId="508DE9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0.71 </w:t>
            </w:r>
          </w:p>
        </w:tc>
        <w:tc>
          <w:tcPr>
            <w:tcW w:w="1340" w:type="pct"/>
            <w:tcBorders>
              <w:tl2br w:val="nil"/>
              <w:tr2bl w:val="nil"/>
            </w:tcBorders>
            <w:shd w:val="clear" w:color="auto" w:fill="auto"/>
            <w:noWrap/>
            <w:vAlign w:val="center"/>
          </w:tcPr>
          <w:p w14:paraId="25CBC4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0.06 </w:t>
            </w:r>
          </w:p>
        </w:tc>
      </w:tr>
      <w:tr w14:paraId="53D1C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65CD2F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69" w:type="pct"/>
            <w:vMerge w:val="continue"/>
            <w:tcBorders>
              <w:tl2br w:val="nil"/>
              <w:tr2bl w:val="nil"/>
            </w:tcBorders>
            <w:shd w:val="clear" w:color="auto" w:fill="auto"/>
            <w:noWrap/>
            <w:vAlign w:val="center"/>
          </w:tcPr>
          <w:p w14:paraId="6DCAD7CF">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4D79A3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公路用地  </w:t>
            </w:r>
          </w:p>
        </w:tc>
        <w:tc>
          <w:tcPr>
            <w:tcW w:w="977" w:type="pct"/>
            <w:tcBorders>
              <w:tl2br w:val="nil"/>
              <w:tr2bl w:val="nil"/>
            </w:tcBorders>
            <w:shd w:val="clear" w:color="auto" w:fill="auto"/>
            <w:noWrap/>
            <w:vAlign w:val="center"/>
          </w:tcPr>
          <w:p w14:paraId="682885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6.64 </w:t>
            </w:r>
          </w:p>
        </w:tc>
        <w:tc>
          <w:tcPr>
            <w:tcW w:w="1340" w:type="pct"/>
            <w:tcBorders>
              <w:tl2br w:val="nil"/>
              <w:tr2bl w:val="nil"/>
            </w:tcBorders>
            <w:shd w:val="clear" w:color="auto" w:fill="auto"/>
            <w:noWrap/>
            <w:vAlign w:val="center"/>
          </w:tcPr>
          <w:p w14:paraId="455344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0.59 </w:t>
            </w:r>
          </w:p>
        </w:tc>
      </w:tr>
      <w:tr w14:paraId="5D7EC3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019B1F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69" w:type="pct"/>
            <w:vMerge w:val="continue"/>
            <w:tcBorders>
              <w:tl2br w:val="nil"/>
              <w:tr2bl w:val="nil"/>
            </w:tcBorders>
            <w:shd w:val="clear" w:color="auto" w:fill="auto"/>
            <w:noWrap/>
            <w:vAlign w:val="center"/>
          </w:tcPr>
          <w:p w14:paraId="6D99C54E">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7B0E2C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农村道路  </w:t>
            </w:r>
          </w:p>
        </w:tc>
        <w:tc>
          <w:tcPr>
            <w:tcW w:w="977" w:type="pct"/>
            <w:tcBorders>
              <w:tl2br w:val="nil"/>
              <w:tr2bl w:val="nil"/>
            </w:tcBorders>
            <w:shd w:val="clear" w:color="auto" w:fill="auto"/>
            <w:noWrap/>
            <w:vAlign w:val="center"/>
          </w:tcPr>
          <w:p w14:paraId="618115A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24.31 </w:t>
            </w:r>
          </w:p>
        </w:tc>
        <w:tc>
          <w:tcPr>
            <w:tcW w:w="1340" w:type="pct"/>
            <w:tcBorders>
              <w:tl2br w:val="nil"/>
              <w:tr2bl w:val="nil"/>
            </w:tcBorders>
            <w:shd w:val="clear" w:color="auto" w:fill="auto"/>
            <w:noWrap/>
            <w:vAlign w:val="center"/>
          </w:tcPr>
          <w:p w14:paraId="2F7B70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2.17 </w:t>
            </w:r>
          </w:p>
        </w:tc>
      </w:tr>
      <w:tr w14:paraId="24590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1E60F6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869" w:type="pct"/>
            <w:vMerge w:val="restart"/>
            <w:tcBorders>
              <w:tl2br w:val="nil"/>
              <w:tr2bl w:val="nil"/>
            </w:tcBorders>
            <w:shd w:val="clear" w:color="auto" w:fill="auto"/>
            <w:vAlign w:val="center"/>
          </w:tcPr>
          <w:p w14:paraId="0AD3AD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水域及水利设施用地</w:t>
            </w:r>
          </w:p>
        </w:tc>
        <w:tc>
          <w:tcPr>
            <w:tcW w:w="1439" w:type="pct"/>
            <w:tcBorders>
              <w:tl2br w:val="nil"/>
              <w:tr2bl w:val="nil"/>
            </w:tcBorders>
            <w:shd w:val="clear" w:color="auto" w:fill="auto"/>
            <w:noWrap/>
            <w:vAlign w:val="center"/>
          </w:tcPr>
          <w:p w14:paraId="73ECC8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水工建筑用地  </w:t>
            </w:r>
          </w:p>
        </w:tc>
        <w:tc>
          <w:tcPr>
            <w:tcW w:w="977" w:type="pct"/>
            <w:tcBorders>
              <w:tl2br w:val="nil"/>
              <w:tr2bl w:val="nil"/>
            </w:tcBorders>
            <w:shd w:val="clear" w:color="auto" w:fill="auto"/>
            <w:noWrap/>
            <w:vAlign w:val="center"/>
          </w:tcPr>
          <w:p w14:paraId="2898BF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1.22 </w:t>
            </w:r>
          </w:p>
        </w:tc>
        <w:tc>
          <w:tcPr>
            <w:tcW w:w="1340" w:type="pct"/>
            <w:tcBorders>
              <w:tl2br w:val="nil"/>
              <w:tr2bl w:val="nil"/>
            </w:tcBorders>
            <w:shd w:val="clear" w:color="auto" w:fill="auto"/>
            <w:noWrap/>
            <w:vAlign w:val="center"/>
          </w:tcPr>
          <w:p w14:paraId="55BCEA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0.11 </w:t>
            </w:r>
          </w:p>
        </w:tc>
      </w:tr>
      <w:tr w14:paraId="6E9ADC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457035D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869" w:type="pct"/>
            <w:vMerge w:val="continue"/>
            <w:tcBorders>
              <w:tl2br w:val="nil"/>
              <w:tr2bl w:val="nil"/>
            </w:tcBorders>
            <w:shd w:val="clear" w:color="auto" w:fill="auto"/>
            <w:vAlign w:val="center"/>
          </w:tcPr>
          <w:p w14:paraId="25C04687">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522725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水库水面  </w:t>
            </w:r>
          </w:p>
        </w:tc>
        <w:tc>
          <w:tcPr>
            <w:tcW w:w="977" w:type="pct"/>
            <w:tcBorders>
              <w:tl2br w:val="nil"/>
              <w:tr2bl w:val="nil"/>
            </w:tcBorders>
            <w:shd w:val="clear" w:color="auto" w:fill="auto"/>
            <w:noWrap/>
            <w:vAlign w:val="center"/>
          </w:tcPr>
          <w:p w14:paraId="41229B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1340" w:type="pct"/>
            <w:tcBorders>
              <w:tl2br w:val="nil"/>
              <w:tr2bl w:val="nil"/>
            </w:tcBorders>
            <w:shd w:val="clear" w:color="auto" w:fill="auto"/>
            <w:noWrap/>
            <w:vAlign w:val="center"/>
          </w:tcPr>
          <w:p w14:paraId="4629FA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0.56 </w:t>
            </w:r>
          </w:p>
        </w:tc>
      </w:tr>
      <w:tr w14:paraId="38A7B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0CA58F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869" w:type="pct"/>
            <w:vMerge w:val="continue"/>
            <w:tcBorders>
              <w:tl2br w:val="nil"/>
              <w:tr2bl w:val="nil"/>
            </w:tcBorders>
            <w:shd w:val="clear" w:color="auto" w:fill="auto"/>
            <w:vAlign w:val="center"/>
          </w:tcPr>
          <w:p w14:paraId="0489A191">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53CDAF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坑塘水面  </w:t>
            </w:r>
          </w:p>
        </w:tc>
        <w:tc>
          <w:tcPr>
            <w:tcW w:w="977" w:type="pct"/>
            <w:tcBorders>
              <w:tl2br w:val="nil"/>
              <w:tr2bl w:val="nil"/>
            </w:tcBorders>
            <w:shd w:val="clear" w:color="auto" w:fill="auto"/>
            <w:noWrap/>
            <w:vAlign w:val="center"/>
          </w:tcPr>
          <w:p w14:paraId="4B7E7D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0.26 </w:t>
            </w:r>
          </w:p>
        </w:tc>
        <w:tc>
          <w:tcPr>
            <w:tcW w:w="1340" w:type="pct"/>
            <w:tcBorders>
              <w:tl2br w:val="nil"/>
              <w:tr2bl w:val="nil"/>
            </w:tcBorders>
            <w:shd w:val="clear" w:color="auto" w:fill="auto"/>
            <w:noWrap/>
            <w:vAlign w:val="center"/>
          </w:tcPr>
          <w:p w14:paraId="2578DF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r>
      <w:tr w14:paraId="702729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1C4C1E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69" w:type="pct"/>
            <w:vMerge w:val="restart"/>
            <w:tcBorders>
              <w:tl2br w:val="nil"/>
              <w:tr2bl w:val="nil"/>
            </w:tcBorders>
            <w:shd w:val="clear" w:color="auto" w:fill="auto"/>
            <w:noWrap/>
            <w:vAlign w:val="center"/>
          </w:tcPr>
          <w:p w14:paraId="5DD848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其他土地</w:t>
            </w:r>
          </w:p>
        </w:tc>
        <w:tc>
          <w:tcPr>
            <w:tcW w:w="1439" w:type="pct"/>
            <w:tcBorders>
              <w:tl2br w:val="nil"/>
              <w:tr2bl w:val="nil"/>
            </w:tcBorders>
            <w:shd w:val="clear" w:color="auto" w:fill="auto"/>
            <w:noWrap/>
            <w:vAlign w:val="center"/>
          </w:tcPr>
          <w:p w14:paraId="288AC6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裸土地  </w:t>
            </w:r>
          </w:p>
        </w:tc>
        <w:tc>
          <w:tcPr>
            <w:tcW w:w="977" w:type="pct"/>
            <w:tcBorders>
              <w:tl2br w:val="nil"/>
              <w:tr2bl w:val="nil"/>
            </w:tcBorders>
            <w:shd w:val="clear" w:color="auto" w:fill="auto"/>
            <w:noWrap/>
            <w:vAlign w:val="center"/>
          </w:tcPr>
          <w:p w14:paraId="0A9A49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c>
          <w:tcPr>
            <w:tcW w:w="1340" w:type="pct"/>
            <w:tcBorders>
              <w:tl2br w:val="nil"/>
              <w:tr2bl w:val="nil"/>
            </w:tcBorders>
            <w:shd w:val="clear" w:color="auto" w:fill="auto"/>
            <w:noWrap/>
            <w:vAlign w:val="center"/>
          </w:tcPr>
          <w:p w14:paraId="2197B9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r>
      <w:tr w14:paraId="173D1C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72" w:type="pct"/>
            <w:tcBorders>
              <w:tl2br w:val="nil"/>
              <w:tr2bl w:val="nil"/>
            </w:tcBorders>
            <w:shd w:val="clear" w:color="auto" w:fill="auto"/>
            <w:noWrap/>
            <w:vAlign w:val="center"/>
          </w:tcPr>
          <w:p w14:paraId="76F890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869" w:type="pct"/>
            <w:vMerge w:val="continue"/>
            <w:tcBorders>
              <w:tl2br w:val="nil"/>
              <w:tr2bl w:val="nil"/>
            </w:tcBorders>
            <w:shd w:val="clear" w:color="auto" w:fill="auto"/>
            <w:noWrap/>
            <w:vAlign w:val="center"/>
          </w:tcPr>
          <w:p w14:paraId="7AD06FA1">
            <w:pPr>
              <w:spacing w:line="240" w:lineRule="auto"/>
              <w:jc w:val="center"/>
              <w:rPr>
                <w:rFonts w:hint="default" w:ascii="Times New Roman" w:hAnsi="Times New Roman" w:eastAsia="宋体" w:cs="Times New Roman"/>
                <w:i w:val="0"/>
                <w:iCs w:val="0"/>
                <w:color w:val="000000"/>
                <w:sz w:val="21"/>
                <w:szCs w:val="21"/>
                <w:u w:val="none"/>
              </w:rPr>
            </w:pPr>
          </w:p>
        </w:tc>
        <w:tc>
          <w:tcPr>
            <w:tcW w:w="1439" w:type="pct"/>
            <w:tcBorders>
              <w:tl2br w:val="nil"/>
              <w:tr2bl w:val="nil"/>
            </w:tcBorders>
            <w:shd w:val="clear" w:color="auto" w:fill="auto"/>
            <w:noWrap/>
            <w:vAlign w:val="center"/>
          </w:tcPr>
          <w:p w14:paraId="08811F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设施农用地</w:t>
            </w:r>
          </w:p>
        </w:tc>
        <w:tc>
          <w:tcPr>
            <w:tcW w:w="977" w:type="pct"/>
            <w:tcBorders>
              <w:tl2br w:val="nil"/>
              <w:tr2bl w:val="nil"/>
            </w:tcBorders>
            <w:shd w:val="clear" w:color="auto" w:fill="auto"/>
            <w:noWrap/>
            <w:vAlign w:val="center"/>
          </w:tcPr>
          <w:p w14:paraId="7D6A0C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5.39 </w:t>
            </w:r>
          </w:p>
        </w:tc>
        <w:tc>
          <w:tcPr>
            <w:tcW w:w="1340" w:type="pct"/>
            <w:tcBorders>
              <w:tl2br w:val="nil"/>
              <w:tr2bl w:val="nil"/>
            </w:tcBorders>
            <w:shd w:val="clear" w:color="auto" w:fill="auto"/>
            <w:noWrap/>
            <w:vAlign w:val="center"/>
          </w:tcPr>
          <w:p w14:paraId="5516A8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0.48 </w:t>
            </w:r>
          </w:p>
        </w:tc>
      </w:tr>
      <w:tr w14:paraId="518AF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2681" w:type="pct"/>
            <w:gridSpan w:val="3"/>
            <w:tcBorders>
              <w:tl2br w:val="nil"/>
              <w:tr2bl w:val="nil"/>
            </w:tcBorders>
            <w:shd w:val="clear" w:color="auto" w:fill="auto"/>
            <w:noWrap/>
            <w:vAlign w:val="center"/>
          </w:tcPr>
          <w:p w14:paraId="1231F7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977" w:type="pct"/>
            <w:tcBorders>
              <w:tl2br w:val="nil"/>
              <w:tr2bl w:val="nil"/>
            </w:tcBorders>
            <w:shd w:val="clear" w:color="auto" w:fill="auto"/>
            <w:noWrap/>
            <w:vAlign w:val="center"/>
          </w:tcPr>
          <w:p w14:paraId="4ED184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1118.98 </w:t>
            </w:r>
          </w:p>
        </w:tc>
        <w:tc>
          <w:tcPr>
            <w:tcW w:w="1340" w:type="pct"/>
            <w:tcBorders>
              <w:tl2br w:val="nil"/>
              <w:tr2bl w:val="nil"/>
            </w:tcBorders>
            <w:shd w:val="clear" w:color="auto" w:fill="auto"/>
            <w:noWrap/>
            <w:vAlign w:val="center"/>
          </w:tcPr>
          <w:p w14:paraId="6760638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100.00 </w:t>
            </w:r>
          </w:p>
        </w:tc>
      </w:tr>
    </w:tbl>
    <w:p w14:paraId="058F99F5">
      <w:pPr>
        <w:pStyle w:val="8"/>
        <w:spacing w:after="0" w:line="360" w:lineRule="auto"/>
        <w:ind w:left="0" w:leftChars="0" w:firstLine="480" w:firstLineChars="200"/>
        <w:rPr>
          <w:rFonts w:hint="default" w:ascii="Times New Roman" w:hAnsi="Times New Roman" w:eastAsia="宋体" w:cs="Times New Roman"/>
          <w:color w:val="auto"/>
          <w:kern w:val="0"/>
          <w:sz w:val="24"/>
          <w:szCs w:val="24"/>
          <w:highlight w:val="yellow"/>
          <w:lang w:val="en-US" w:eastAsia="zh-CN" w:bidi="ar"/>
        </w:rPr>
      </w:pPr>
      <w:r>
        <w:rPr>
          <w:rFonts w:hint="default" w:ascii="Times New Roman" w:hAnsi="Times New Roman" w:eastAsia="宋体" w:cs="Times New Roman"/>
          <w:color w:val="auto"/>
          <w:kern w:val="0"/>
          <w:sz w:val="24"/>
          <w:szCs w:val="24"/>
          <w:highlight w:val="none"/>
          <w:lang w:val="en-US" w:eastAsia="zh-CN" w:bidi="ar"/>
        </w:rPr>
        <w:t>由上表可知，</w:t>
      </w:r>
      <w:r>
        <w:rPr>
          <w:rFonts w:hint="default" w:ascii="Times New Roman" w:hAnsi="Times New Roman" w:cs="Times New Roman"/>
          <w:color w:val="auto"/>
          <w:sz w:val="24"/>
          <w:highlight w:val="none"/>
        </w:rPr>
        <w:t>评价区</w:t>
      </w:r>
      <w:r>
        <w:rPr>
          <w:rFonts w:hint="eastAsia" w:cs="Times New Roman"/>
          <w:color w:val="auto"/>
          <w:sz w:val="24"/>
          <w:highlight w:val="none"/>
          <w:lang w:val="en-US" w:eastAsia="zh-CN"/>
        </w:rPr>
        <w:t>土地利用</w:t>
      </w:r>
      <w:r>
        <w:rPr>
          <w:rFonts w:hint="default" w:ascii="Times New Roman" w:hAnsi="Times New Roman" w:cs="Times New Roman"/>
          <w:color w:val="auto"/>
          <w:sz w:val="24"/>
          <w:highlight w:val="none"/>
        </w:rPr>
        <w:t>类型面积最大的是</w:t>
      </w:r>
      <w:r>
        <w:rPr>
          <w:rFonts w:hint="eastAsia" w:cs="Times New Roman"/>
          <w:color w:val="auto"/>
          <w:sz w:val="24"/>
          <w:highlight w:val="none"/>
          <w:lang w:val="en-US" w:eastAsia="zh-CN"/>
        </w:rPr>
        <w:t>旱地</w:t>
      </w:r>
      <w:r>
        <w:rPr>
          <w:rFonts w:hint="default" w:ascii="Times New Roman" w:hAnsi="Times New Roman" w:cs="Times New Roman"/>
          <w:color w:val="auto"/>
          <w:sz w:val="24"/>
          <w:highlight w:val="none"/>
        </w:rPr>
        <w:t>，面积为</w:t>
      </w:r>
      <w:r>
        <w:rPr>
          <w:rFonts w:hint="eastAsia" w:cs="Times New Roman"/>
          <w:color w:val="auto"/>
          <w:sz w:val="24"/>
          <w:highlight w:val="none"/>
          <w:lang w:val="en-US" w:eastAsia="zh-CN"/>
        </w:rPr>
        <w:t>701.88</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，占评价区总面积的比例</w:t>
      </w:r>
      <w:r>
        <w:rPr>
          <w:rFonts w:hint="eastAsia" w:cs="Times New Roman"/>
          <w:color w:val="auto"/>
          <w:sz w:val="24"/>
          <w:highlight w:val="none"/>
          <w:lang w:val="en-US" w:eastAsia="zh-CN"/>
        </w:rPr>
        <w:t>62.73</w:t>
      </w:r>
      <w:r>
        <w:rPr>
          <w:rFonts w:hint="default" w:ascii="Times New Roman" w:hAnsi="Times New Roman" w:cs="Times New Roman"/>
          <w:color w:val="auto"/>
          <w:sz w:val="24"/>
          <w:highlight w:val="none"/>
        </w:rPr>
        <w:t>%，其次为</w:t>
      </w:r>
      <w:r>
        <w:rPr>
          <w:rFonts w:hint="eastAsia" w:cs="Times New Roman"/>
          <w:i w:val="0"/>
          <w:color w:val="auto"/>
          <w:kern w:val="0"/>
          <w:sz w:val="24"/>
          <w:szCs w:val="24"/>
          <w:highlight w:val="none"/>
          <w:u w:val="none"/>
          <w:lang w:val="en-US" w:eastAsia="zh-CN" w:bidi="ar"/>
        </w:rPr>
        <w:t>其他林地</w:t>
      </w:r>
      <w:r>
        <w:rPr>
          <w:rFonts w:hint="default" w:ascii="Times New Roman" w:hAnsi="Times New Roman" w:cs="Times New Roman"/>
          <w:i w:val="0"/>
          <w:color w:val="auto"/>
          <w:kern w:val="0"/>
          <w:sz w:val="24"/>
          <w:szCs w:val="24"/>
          <w:highlight w:val="none"/>
          <w:u w:val="none"/>
          <w:lang w:val="en-US" w:eastAsia="zh-CN" w:bidi="ar"/>
        </w:rPr>
        <w:t>，</w:t>
      </w:r>
      <w:r>
        <w:rPr>
          <w:rFonts w:hint="eastAsia" w:cs="Times New Roman"/>
          <w:color w:val="auto"/>
          <w:sz w:val="24"/>
          <w:highlight w:val="none"/>
          <w:lang w:val="en-US" w:eastAsia="zh-CN"/>
        </w:rPr>
        <w:t>面积</w:t>
      </w:r>
      <w:r>
        <w:rPr>
          <w:rFonts w:hint="default" w:ascii="Times New Roman" w:hAnsi="Times New Roman" w:cs="Times New Roman"/>
          <w:color w:val="auto"/>
          <w:sz w:val="24"/>
          <w:highlight w:val="none"/>
        </w:rPr>
        <w:t>为179.04hm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，占评价区总面积比例的</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，其他类型面积都很小，</w:t>
      </w:r>
      <w:r>
        <w:rPr>
          <w:rFonts w:hint="default" w:ascii="Times New Roman" w:hAnsi="Times New Roman" w:cs="Times New Roman"/>
          <w:color w:val="auto"/>
          <w:sz w:val="24"/>
          <w:highlight w:val="none"/>
        </w:rPr>
        <w:t>占评价区总面积比例</w:t>
      </w:r>
      <w:r>
        <w:rPr>
          <w:rFonts w:hint="eastAsia" w:ascii="Times New Roman" w:hAnsi="Times New Roman" w:cs="Times New Roman"/>
          <w:color w:val="auto"/>
          <w:sz w:val="24"/>
          <w:highlight w:val="none"/>
          <w:lang w:eastAsia="zh-CN"/>
        </w:rPr>
        <w:t>均在</w:t>
      </w:r>
      <w:r>
        <w:rPr>
          <w:rFonts w:hint="eastAsia" w:ascii="Times New Roman" w:hAnsi="Times New Roman" w:cs="Times New Roman"/>
          <w:color w:val="auto"/>
          <w:sz w:val="24"/>
          <w:highlight w:val="none"/>
          <w:lang w:val="en-US" w:eastAsia="zh-CN"/>
        </w:rPr>
        <w:t>10%以内</w:t>
      </w:r>
      <w:r>
        <w:rPr>
          <w:rFonts w:hint="default" w:ascii="Times New Roman" w:hAnsi="Times New Roman" w:cs="Times New Roman"/>
          <w:color w:val="auto"/>
          <w:sz w:val="24"/>
          <w:highlight w:val="none"/>
          <w:lang w:eastAsia="zh-CN"/>
        </w:rPr>
        <w:t>。</w:t>
      </w:r>
    </w:p>
    <w:p w14:paraId="4FD63664">
      <w:pPr>
        <w:keepNext/>
        <w:keepLines/>
        <w:widowControl w:val="0"/>
        <w:bidi w:val="0"/>
        <w:spacing w:beforeLines="0" w:beforeAutospacing="0" w:afterLines="0" w:afterAutospacing="0" w:line="360" w:lineRule="auto"/>
        <w:ind w:firstLine="0" w:firstLineChars="0"/>
        <w:jc w:val="left"/>
        <w:outlineLvl w:val="2"/>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3.3.3植被现状</w:t>
      </w:r>
    </w:p>
    <w:p w14:paraId="2A5665BD">
      <w:pPr>
        <w:keepNext/>
        <w:keepLines/>
        <w:widowControl w:val="0"/>
        <w:bidi w:val="0"/>
        <w:spacing w:beforeLines="0" w:beforeAutospacing="0" w:afterLines="0" w:afterAutospacing="0" w:line="360" w:lineRule="auto"/>
        <w:ind w:firstLine="0" w:firstLineChars="0"/>
        <w:jc w:val="both"/>
        <w:outlineLvl w:val="3"/>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3.3.3.1植被类型</w:t>
      </w:r>
    </w:p>
    <w:p w14:paraId="4EE8AA80">
      <w:pPr>
        <w:bidi w:val="0"/>
        <w:spacing w:line="360" w:lineRule="auto"/>
        <w:ind w:firstLine="480" w:firstLineChars="200"/>
        <w:rPr>
          <w:rFonts w:hint="default"/>
          <w:lang w:val="en-US" w:eastAsia="zh-CN"/>
        </w:rPr>
      </w:pPr>
      <w:r>
        <w:rPr>
          <w:rFonts w:hint="default" w:ascii="Times New Roman" w:hAnsi="Times New Roman" w:eastAsia="宋体" w:cs="Times New Roman"/>
          <w:color w:val="auto"/>
          <w:sz w:val="24"/>
          <w:szCs w:val="24"/>
          <w:highlight w:val="none"/>
          <w:lang w:val="en-US" w:eastAsia="zh-CN"/>
        </w:rPr>
        <w:t>对</w:t>
      </w:r>
      <w:r>
        <w:rPr>
          <w:rFonts w:hint="default" w:ascii="Times New Roman" w:hAnsi="Times New Roman" w:cs="Times New Roman"/>
          <w:sz w:val="24"/>
          <w:szCs w:val="24"/>
          <w:lang w:val="en-US" w:eastAsia="zh-CN"/>
        </w:rPr>
        <w:t>评价范围遥感影像数据进行解译及现场调查，得到评价区植被类型图。评价区域内主要的植被类型为林地，总面积265.57hm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，占评价区域总面积的23.73%，沿输变电线路两侧分布；评价区域内自然植被为草地，主要为针茅群系、芒草群系，总面积90.61hm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，占评价区总面积的8.10%；以玉米、小麦为主的农田植被面积为701.86hm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，占评价区总面积的62.72%，在整个评价区均有分布。本项目评价区域植被类型见表3.3-4。</w:t>
      </w:r>
    </w:p>
    <w:p w14:paraId="3EADCB06">
      <w:pPr>
        <w:spacing w:line="360" w:lineRule="auto"/>
        <w:jc w:val="center"/>
        <w:rPr>
          <w:rFonts w:hint="default" w:ascii="Times New Roman" w:hAnsi="Times New Roman" w:eastAsia="宋体" w:cs="Times New Roman"/>
          <w:b/>
          <w:bCs/>
          <w:color w:val="000000"/>
          <w:kern w:val="0"/>
          <w:highlight w:val="none"/>
          <w:lang w:bidi="ar"/>
        </w:rPr>
      </w:pPr>
      <w:r>
        <w:rPr>
          <w:rFonts w:hint="eastAsia" w:ascii="Times New Roman" w:hAnsi="Times New Roman" w:eastAsia="黑体" w:cs="Times New Roman"/>
          <w:b/>
          <w:color w:val="auto"/>
          <w:kern w:val="2"/>
          <w:sz w:val="24"/>
          <w:szCs w:val="24"/>
          <w:highlight w:val="none"/>
          <w:lang w:val="en-US" w:eastAsia="zh-CN" w:bidi="ar-SA"/>
        </w:rPr>
        <w:t>表3.3-4  评价区内植物群落调查结果统计表</w:t>
      </w:r>
    </w:p>
    <w:tbl>
      <w:tblPr>
        <w:tblStyle w:val="28"/>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72"/>
        <w:gridCol w:w="1247"/>
        <w:gridCol w:w="2734"/>
        <w:gridCol w:w="1081"/>
        <w:gridCol w:w="955"/>
        <w:gridCol w:w="949"/>
      </w:tblGrid>
      <w:tr w14:paraId="0B228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99" w:type="dxa"/>
            <w:tcBorders>
              <w:tl2br w:val="nil"/>
              <w:tr2bl w:val="nil"/>
            </w:tcBorders>
            <w:noWrap w:val="0"/>
            <w:vAlign w:val="center"/>
          </w:tcPr>
          <w:p w14:paraId="1916B684">
            <w:pPr>
              <w:spacing w:line="240" w:lineRule="auto"/>
              <w:ind w:left="-12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植被型组</w:t>
            </w:r>
          </w:p>
        </w:tc>
        <w:tc>
          <w:tcPr>
            <w:tcW w:w="772" w:type="dxa"/>
            <w:tcBorders>
              <w:tl2br w:val="nil"/>
              <w:tr2bl w:val="nil"/>
            </w:tcBorders>
            <w:noWrap w:val="0"/>
            <w:vAlign w:val="center"/>
          </w:tcPr>
          <w:p w14:paraId="5112CABA">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植被型</w:t>
            </w:r>
          </w:p>
        </w:tc>
        <w:tc>
          <w:tcPr>
            <w:tcW w:w="1247" w:type="dxa"/>
            <w:tcBorders>
              <w:tl2br w:val="nil"/>
              <w:tr2bl w:val="nil"/>
            </w:tcBorders>
            <w:noWrap w:val="0"/>
            <w:vAlign w:val="center"/>
          </w:tcPr>
          <w:p w14:paraId="1217CBCB">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群系</w:t>
            </w:r>
          </w:p>
        </w:tc>
        <w:tc>
          <w:tcPr>
            <w:tcW w:w="2734" w:type="dxa"/>
            <w:tcBorders>
              <w:tl2br w:val="nil"/>
              <w:tr2bl w:val="nil"/>
            </w:tcBorders>
            <w:noWrap w:val="0"/>
            <w:vAlign w:val="center"/>
          </w:tcPr>
          <w:p w14:paraId="1D8D823D">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群系植被</w:t>
            </w:r>
          </w:p>
        </w:tc>
        <w:tc>
          <w:tcPr>
            <w:tcW w:w="1081" w:type="dxa"/>
            <w:tcBorders>
              <w:tl2br w:val="nil"/>
              <w:tr2bl w:val="nil"/>
            </w:tcBorders>
            <w:noWrap w:val="0"/>
            <w:vAlign w:val="center"/>
          </w:tcPr>
          <w:p w14:paraId="417B9A03">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分布地点</w:t>
            </w:r>
          </w:p>
        </w:tc>
        <w:tc>
          <w:tcPr>
            <w:tcW w:w="955" w:type="dxa"/>
            <w:tcBorders>
              <w:tl2br w:val="nil"/>
              <w:tr2bl w:val="nil"/>
            </w:tcBorders>
            <w:noWrap w:val="0"/>
            <w:vAlign w:val="center"/>
          </w:tcPr>
          <w:p w14:paraId="0AFA64AD">
            <w:pPr>
              <w:spacing w:line="240" w:lineRule="auto"/>
              <w:ind w:leftChars="0" w:right="0" w:rightChars="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面积（hm</w:t>
            </w:r>
            <w:r>
              <w:rPr>
                <w:rFonts w:hint="default" w:ascii="Times New Roman" w:hAnsi="Times New Roman" w:cs="Times New Roman"/>
                <w:b/>
                <w:color w:val="auto"/>
                <w:sz w:val="21"/>
                <w:szCs w:val="21"/>
                <w:highlight w:val="none"/>
                <w:vertAlign w:val="superscript"/>
              </w:rPr>
              <w:t>2</w:t>
            </w:r>
            <w:r>
              <w:rPr>
                <w:rFonts w:hint="default" w:ascii="Times New Roman" w:hAnsi="Times New Roman" w:cs="Times New Roman"/>
                <w:b/>
                <w:color w:val="auto"/>
                <w:sz w:val="21"/>
                <w:szCs w:val="21"/>
                <w:highlight w:val="none"/>
              </w:rPr>
              <w:t>）</w:t>
            </w:r>
          </w:p>
        </w:tc>
        <w:tc>
          <w:tcPr>
            <w:tcW w:w="949" w:type="dxa"/>
            <w:tcBorders>
              <w:tl2br w:val="nil"/>
              <w:tr2bl w:val="nil"/>
            </w:tcBorders>
            <w:noWrap w:val="0"/>
            <w:vAlign w:val="center"/>
          </w:tcPr>
          <w:p w14:paraId="1FA1B4ED">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lang w:eastAsia="zh-CN"/>
              </w:rPr>
              <w:t>备注</w:t>
            </w:r>
          </w:p>
        </w:tc>
      </w:tr>
      <w:tr w14:paraId="5C572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8" w:type="dxa"/>
            <w:gridSpan w:val="6"/>
            <w:tcBorders>
              <w:tl2br w:val="nil"/>
              <w:tr2bl w:val="nil"/>
            </w:tcBorders>
            <w:noWrap w:val="0"/>
            <w:vAlign w:val="center"/>
          </w:tcPr>
          <w:p w14:paraId="79D4AD84">
            <w:pPr>
              <w:spacing w:line="240" w:lineRule="auto"/>
              <w:ind w:leftChars="0" w:right="0" w:rightChars="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自然植被</w:t>
            </w:r>
          </w:p>
        </w:tc>
        <w:tc>
          <w:tcPr>
            <w:tcW w:w="949" w:type="dxa"/>
            <w:tcBorders>
              <w:tl2br w:val="nil"/>
              <w:tr2bl w:val="nil"/>
            </w:tcBorders>
            <w:noWrap w:val="0"/>
            <w:vAlign w:val="center"/>
          </w:tcPr>
          <w:p w14:paraId="7F652080">
            <w:pPr>
              <w:spacing w:line="240" w:lineRule="auto"/>
              <w:ind w:left="-120" w:leftChars="0" w:right="0" w:rightChars="0" w:firstLine="0" w:firstLineChars="0"/>
              <w:jc w:val="center"/>
              <w:rPr>
                <w:rFonts w:hint="default" w:ascii="Times New Roman" w:hAnsi="Times New Roman" w:cs="Times New Roman"/>
                <w:color w:val="auto"/>
                <w:sz w:val="21"/>
                <w:szCs w:val="21"/>
                <w:highlight w:val="none"/>
              </w:rPr>
            </w:pPr>
          </w:p>
        </w:tc>
      </w:tr>
      <w:tr w14:paraId="0BCD6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699" w:type="dxa"/>
            <w:tcBorders>
              <w:tl2br w:val="nil"/>
              <w:tr2bl w:val="nil"/>
            </w:tcBorders>
            <w:noWrap w:val="0"/>
            <w:vAlign w:val="center"/>
          </w:tcPr>
          <w:p w14:paraId="14ADC54A">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草原</w:t>
            </w:r>
          </w:p>
        </w:tc>
        <w:tc>
          <w:tcPr>
            <w:tcW w:w="772" w:type="dxa"/>
            <w:tcBorders>
              <w:tl2br w:val="nil"/>
              <w:tr2bl w:val="nil"/>
            </w:tcBorders>
            <w:noWrap w:val="0"/>
            <w:vAlign w:val="center"/>
          </w:tcPr>
          <w:p w14:paraId="16ED326F">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草原</w:t>
            </w:r>
          </w:p>
        </w:tc>
        <w:tc>
          <w:tcPr>
            <w:tcW w:w="1247" w:type="dxa"/>
            <w:tcBorders>
              <w:tl2br w:val="nil"/>
              <w:tr2bl w:val="nil"/>
            </w:tcBorders>
            <w:noWrap w:val="0"/>
            <w:vAlign w:val="center"/>
          </w:tcPr>
          <w:p w14:paraId="0DC201A6">
            <w:pPr>
              <w:spacing w:line="240" w:lineRule="auto"/>
              <w:ind w:leftChars="0" w:right="0" w:righ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针茅</w:t>
            </w:r>
            <w:r>
              <w:rPr>
                <w:rFonts w:hint="default" w:ascii="Times New Roman" w:hAnsi="Times New Roman" w:cs="Times New Roman"/>
                <w:color w:val="auto"/>
                <w:kern w:val="0"/>
                <w:sz w:val="21"/>
                <w:szCs w:val="21"/>
                <w:highlight w:val="none"/>
              </w:rPr>
              <w:t>群系</w:t>
            </w:r>
          </w:p>
          <w:p w14:paraId="2EDA8C7C">
            <w:pPr>
              <w:spacing w:line="240" w:lineRule="auto"/>
              <w:ind w:leftChars="0" w:right="0" w:righ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芒草群系</w:t>
            </w:r>
          </w:p>
        </w:tc>
        <w:tc>
          <w:tcPr>
            <w:tcW w:w="2734" w:type="dxa"/>
            <w:tcBorders>
              <w:tl2br w:val="nil"/>
              <w:tr2bl w:val="nil"/>
            </w:tcBorders>
            <w:noWrap w:val="0"/>
            <w:vAlign w:val="center"/>
          </w:tcPr>
          <w:p w14:paraId="6E0B82B4">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短花针茅、长芒草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百里香、</w:t>
            </w:r>
            <w:r>
              <w:rPr>
                <w:rFonts w:hint="default" w:ascii="Times New Roman" w:hAnsi="Times New Roman" w:cs="Times New Roman"/>
                <w:color w:val="auto"/>
                <w:kern w:val="0"/>
                <w:sz w:val="21"/>
                <w:szCs w:val="21"/>
                <w:highlight w:val="none"/>
                <w:lang w:val="en-US" w:eastAsia="zh-CN"/>
              </w:rPr>
              <w:t>猪毛蒿</w:t>
            </w:r>
            <w:r>
              <w:rPr>
                <w:rFonts w:hint="default" w:ascii="Times New Roman" w:hAnsi="Times New Roman" w:cs="Times New Roman"/>
                <w:color w:val="auto"/>
                <w:sz w:val="21"/>
                <w:szCs w:val="21"/>
                <w:highlight w:val="none"/>
              </w:rPr>
              <w:t>、铁杆蒿、冰草</w:t>
            </w:r>
          </w:p>
        </w:tc>
        <w:tc>
          <w:tcPr>
            <w:tcW w:w="1081" w:type="dxa"/>
            <w:tcBorders>
              <w:tl2br w:val="nil"/>
              <w:tr2bl w:val="nil"/>
            </w:tcBorders>
            <w:noWrap w:val="0"/>
            <w:vAlign w:val="center"/>
          </w:tcPr>
          <w:p w14:paraId="61C48AFA">
            <w:pPr>
              <w:spacing w:line="240" w:lineRule="auto"/>
              <w:ind w:left="-12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沿线均有分布</w:t>
            </w:r>
          </w:p>
        </w:tc>
        <w:tc>
          <w:tcPr>
            <w:tcW w:w="955" w:type="dxa"/>
            <w:tcBorders>
              <w:tl2br w:val="nil"/>
              <w:tr2bl w:val="nil"/>
            </w:tcBorders>
            <w:shd w:val="clear" w:color="auto" w:fill="auto"/>
            <w:noWrap w:val="0"/>
            <w:vAlign w:val="center"/>
          </w:tcPr>
          <w:p w14:paraId="101158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90.61 </w:t>
            </w:r>
          </w:p>
        </w:tc>
        <w:tc>
          <w:tcPr>
            <w:tcW w:w="949" w:type="dxa"/>
            <w:tcBorders>
              <w:tl2br w:val="nil"/>
              <w:tr2bl w:val="nil"/>
            </w:tcBorders>
            <w:noWrap w:val="0"/>
            <w:vAlign w:val="center"/>
          </w:tcPr>
          <w:p w14:paraId="29AC70FA">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r w14:paraId="61BEF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8" w:type="dxa"/>
            <w:gridSpan w:val="6"/>
            <w:tcBorders>
              <w:tl2br w:val="nil"/>
              <w:tr2bl w:val="nil"/>
            </w:tcBorders>
            <w:noWrap w:val="0"/>
            <w:vAlign w:val="center"/>
          </w:tcPr>
          <w:p w14:paraId="4265B7D1">
            <w:pPr>
              <w:spacing w:line="240" w:lineRule="auto"/>
              <w:ind w:left="-12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人工植被</w:t>
            </w:r>
          </w:p>
        </w:tc>
        <w:tc>
          <w:tcPr>
            <w:tcW w:w="949" w:type="dxa"/>
            <w:tcBorders>
              <w:tl2br w:val="nil"/>
              <w:tr2bl w:val="nil"/>
            </w:tcBorders>
            <w:noWrap w:val="0"/>
            <w:vAlign w:val="center"/>
          </w:tcPr>
          <w:p w14:paraId="56E81D15">
            <w:pPr>
              <w:spacing w:line="240" w:lineRule="auto"/>
              <w:ind w:left="-120" w:leftChars="0" w:right="0" w:rightChars="0" w:firstLine="0" w:firstLineChars="0"/>
              <w:jc w:val="center"/>
              <w:rPr>
                <w:rFonts w:hint="default" w:ascii="Times New Roman" w:hAnsi="Times New Roman" w:cs="Times New Roman"/>
                <w:color w:val="auto"/>
                <w:sz w:val="21"/>
                <w:szCs w:val="21"/>
                <w:highlight w:val="none"/>
              </w:rPr>
            </w:pPr>
          </w:p>
        </w:tc>
      </w:tr>
      <w:tr w14:paraId="3E057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1" w:type="dxa"/>
            <w:gridSpan w:val="2"/>
            <w:vMerge w:val="restart"/>
            <w:tcBorders>
              <w:tl2br w:val="nil"/>
              <w:tr2bl w:val="nil"/>
            </w:tcBorders>
            <w:noWrap w:val="0"/>
            <w:vAlign w:val="center"/>
          </w:tcPr>
          <w:p w14:paraId="78E2E85D">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人工林</w:t>
            </w:r>
          </w:p>
        </w:tc>
        <w:tc>
          <w:tcPr>
            <w:tcW w:w="1247" w:type="dxa"/>
            <w:tcBorders>
              <w:tl2br w:val="nil"/>
              <w:tr2bl w:val="nil"/>
            </w:tcBorders>
            <w:noWrap w:val="0"/>
            <w:vAlign w:val="center"/>
          </w:tcPr>
          <w:p w14:paraId="0E070BB3">
            <w:pPr>
              <w:keepNext w:val="0"/>
              <w:keepLines w:val="0"/>
              <w:widowControl/>
              <w:suppressLineNumbers w:val="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杨树、柳树</w:t>
            </w:r>
          </w:p>
        </w:tc>
        <w:tc>
          <w:tcPr>
            <w:tcW w:w="2734" w:type="dxa"/>
            <w:tcBorders>
              <w:tl2br w:val="nil"/>
              <w:tr2bl w:val="nil"/>
            </w:tcBorders>
            <w:noWrap w:val="0"/>
            <w:vAlign w:val="center"/>
          </w:tcPr>
          <w:p w14:paraId="4DAA64A4">
            <w:pPr>
              <w:spacing w:line="240" w:lineRule="auto"/>
              <w:ind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杨树、柳树、</w:t>
            </w:r>
            <w:r>
              <w:rPr>
                <w:rFonts w:hint="default" w:ascii="Times New Roman" w:hAnsi="Times New Roman" w:cs="Times New Roman"/>
                <w:color w:val="auto"/>
                <w:sz w:val="21"/>
                <w:szCs w:val="21"/>
                <w:highlight w:val="none"/>
              </w:rPr>
              <w:t>短花针茅</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冰草</w:t>
            </w:r>
          </w:p>
        </w:tc>
        <w:tc>
          <w:tcPr>
            <w:tcW w:w="1081" w:type="dxa"/>
            <w:tcBorders>
              <w:tl2br w:val="nil"/>
              <w:tr2bl w:val="nil"/>
            </w:tcBorders>
            <w:noWrap w:val="0"/>
            <w:vAlign w:val="center"/>
          </w:tcPr>
          <w:p w14:paraId="3DEF08B2">
            <w:pPr>
              <w:spacing w:line="240" w:lineRule="auto"/>
              <w:ind w:left="-12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评价区</w:t>
            </w:r>
            <w:r>
              <w:rPr>
                <w:rFonts w:hint="eastAsia" w:cs="Times New Roman"/>
                <w:color w:val="auto"/>
                <w:sz w:val="21"/>
                <w:szCs w:val="21"/>
                <w:highlight w:val="none"/>
                <w:lang w:val="en-US" w:eastAsia="zh-CN"/>
              </w:rPr>
              <w:t>东</w:t>
            </w:r>
            <w:r>
              <w:rPr>
                <w:rFonts w:hint="default" w:ascii="Times New Roman" w:hAnsi="Times New Roman" w:cs="Times New Roman"/>
                <w:color w:val="auto"/>
                <w:sz w:val="21"/>
                <w:szCs w:val="21"/>
                <w:highlight w:val="none"/>
                <w:lang w:val="en-US" w:eastAsia="zh-CN"/>
              </w:rPr>
              <w:t>部</w:t>
            </w:r>
          </w:p>
        </w:tc>
        <w:tc>
          <w:tcPr>
            <w:tcW w:w="955" w:type="dxa"/>
            <w:tcBorders>
              <w:tl2br w:val="nil"/>
              <w:tr2bl w:val="nil"/>
            </w:tcBorders>
            <w:noWrap w:val="0"/>
            <w:vAlign w:val="center"/>
          </w:tcPr>
          <w:p w14:paraId="2C7955A2">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101.36 </w:t>
            </w:r>
          </w:p>
        </w:tc>
        <w:tc>
          <w:tcPr>
            <w:tcW w:w="949" w:type="dxa"/>
            <w:tcBorders>
              <w:tl2br w:val="nil"/>
              <w:tr2bl w:val="nil"/>
            </w:tcBorders>
            <w:noWrap w:val="0"/>
            <w:vAlign w:val="center"/>
          </w:tcPr>
          <w:p w14:paraId="691D67F2">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r w14:paraId="0FF54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1" w:type="dxa"/>
            <w:gridSpan w:val="2"/>
            <w:vMerge w:val="continue"/>
            <w:tcBorders>
              <w:tl2br w:val="nil"/>
              <w:tr2bl w:val="nil"/>
            </w:tcBorders>
            <w:noWrap w:val="0"/>
            <w:vAlign w:val="center"/>
          </w:tcPr>
          <w:p w14:paraId="7173EB9A">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p>
        </w:tc>
        <w:tc>
          <w:tcPr>
            <w:tcW w:w="1247" w:type="dxa"/>
            <w:tcBorders>
              <w:tl2br w:val="nil"/>
              <w:tr2bl w:val="nil"/>
            </w:tcBorders>
            <w:noWrap w:val="0"/>
            <w:vAlign w:val="center"/>
          </w:tcPr>
          <w:p w14:paraId="1EE41957">
            <w:pPr>
              <w:keepNext w:val="0"/>
              <w:keepLines w:val="0"/>
              <w:widowControl/>
              <w:suppressLineNumbers w:val="0"/>
              <w:jc w:val="lef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山桃、山杏</w:t>
            </w:r>
          </w:p>
        </w:tc>
        <w:tc>
          <w:tcPr>
            <w:tcW w:w="2734" w:type="dxa"/>
            <w:tcBorders>
              <w:tl2br w:val="nil"/>
              <w:tr2bl w:val="nil"/>
            </w:tcBorders>
            <w:noWrap w:val="0"/>
            <w:vAlign w:val="center"/>
          </w:tcPr>
          <w:p w14:paraId="080FF2CC">
            <w:pPr>
              <w:spacing w:line="240" w:lineRule="auto"/>
              <w:ind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山桃、山杏</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针茅、</w:t>
            </w:r>
            <w:r>
              <w:rPr>
                <w:rFonts w:hint="default" w:ascii="Times New Roman" w:hAnsi="Times New Roman" w:cs="Times New Roman"/>
                <w:color w:val="auto"/>
                <w:kern w:val="0"/>
                <w:sz w:val="21"/>
                <w:szCs w:val="21"/>
                <w:highlight w:val="none"/>
                <w:lang w:eastAsia="zh-CN"/>
              </w:rPr>
              <w:t>冰草</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百里香、、</w:t>
            </w:r>
            <w:r>
              <w:rPr>
                <w:rFonts w:hint="default" w:ascii="Times New Roman" w:hAnsi="Times New Roman" w:cs="Times New Roman"/>
                <w:color w:val="auto"/>
                <w:kern w:val="0"/>
                <w:sz w:val="21"/>
                <w:szCs w:val="21"/>
                <w:highlight w:val="none"/>
                <w:lang w:val="en-US" w:eastAsia="zh-CN"/>
              </w:rPr>
              <w:t>猪毛蒿</w:t>
            </w:r>
          </w:p>
        </w:tc>
        <w:tc>
          <w:tcPr>
            <w:tcW w:w="1081" w:type="dxa"/>
            <w:tcBorders>
              <w:tl2br w:val="nil"/>
              <w:tr2bl w:val="nil"/>
            </w:tcBorders>
            <w:noWrap w:val="0"/>
            <w:vAlign w:val="center"/>
          </w:tcPr>
          <w:p w14:paraId="2E6C20EE">
            <w:pPr>
              <w:spacing w:line="240" w:lineRule="auto"/>
              <w:ind w:left="-12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评价区</w:t>
            </w:r>
            <w:r>
              <w:rPr>
                <w:rFonts w:hint="eastAsia" w:cs="Times New Roman"/>
                <w:color w:val="auto"/>
                <w:sz w:val="21"/>
                <w:szCs w:val="21"/>
                <w:highlight w:val="none"/>
                <w:lang w:val="en-US" w:eastAsia="zh-CN"/>
              </w:rPr>
              <w:t>东</w:t>
            </w:r>
            <w:r>
              <w:rPr>
                <w:rFonts w:hint="default" w:ascii="Times New Roman" w:hAnsi="Times New Roman" w:cs="Times New Roman"/>
                <w:color w:val="auto"/>
                <w:sz w:val="21"/>
                <w:szCs w:val="21"/>
                <w:highlight w:val="none"/>
                <w:lang w:val="en-US" w:eastAsia="zh-CN"/>
              </w:rPr>
              <w:t>部</w:t>
            </w:r>
          </w:p>
        </w:tc>
        <w:tc>
          <w:tcPr>
            <w:tcW w:w="955" w:type="dxa"/>
            <w:tcBorders>
              <w:tl2br w:val="nil"/>
              <w:tr2bl w:val="nil"/>
            </w:tcBorders>
            <w:noWrap w:val="0"/>
            <w:vAlign w:val="center"/>
          </w:tcPr>
          <w:p w14:paraId="50FE8E5D">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44.50 </w:t>
            </w:r>
          </w:p>
        </w:tc>
        <w:tc>
          <w:tcPr>
            <w:tcW w:w="949" w:type="dxa"/>
            <w:tcBorders>
              <w:tl2br w:val="nil"/>
              <w:tr2bl w:val="nil"/>
            </w:tcBorders>
            <w:noWrap w:val="0"/>
            <w:vAlign w:val="center"/>
          </w:tcPr>
          <w:p w14:paraId="1E866FE4">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r w14:paraId="64DE7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1" w:type="dxa"/>
            <w:gridSpan w:val="2"/>
            <w:vMerge w:val="continue"/>
            <w:tcBorders>
              <w:tl2br w:val="nil"/>
              <w:tr2bl w:val="nil"/>
            </w:tcBorders>
            <w:noWrap w:val="0"/>
            <w:vAlign w:val="center"/>
          </w:tcPr>
          <w:p w14:paraId="6A195A58">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p>
        </w:tc>
        <w:tc>
          <w:tcPr>
            <w:tcW w:w="1247" w:type="dxa"/>
            <w:tcBorders>
              <w:tl2br w:val="nil"/>
              <w:tr2bl w:val="nil"/>
            </w:tcBorders>
            <w:noWrap w:val="0"/>
            <w:vAlign w:val="center"/>
          </w:tcPr>
          <w:p w14:paraId="71249F75">
            <w:pPr>
              <w:keepNext w:val="0"/>
              <w:keepLines w:val="0"/>
              <w:widowControl/>
              <w:suppressLineNumbers w:val="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山桃、云杉</w:t>
            </w:r>
          </w:p>
        </w:tc>
        <w:tc>
          <w:tcPr>
            <w:tcW w:w="2734" w:type="dxa"/>
            <w:tcBorders>
              <w:tl2br w:val="nil"/>
              <w:tr2bl w:val="nil"/>
            </w:tcBorders>
            <w:noWrap w:val="0"/>
            <w:vAlign w:val="center"/>
          </w:tcPr>
          <w:p w14:paraId="67310417">
            <w:pPr>
              <w:spacing w:line="240" w:lineRule="auto"/>
              <w:ind w:leftChars="0" w:right="0" w:righ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山桃、云杉</w:t>
            </w:r>
            <w:r>
              <w:rPr>
                <w:rFonts w:hint="default"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eastAsia="zh-CN"/>
              </w:rPr>
              <w:t>柠条锦鸡儿、</w:t>
            </w:r>
            <w:r>
              <w:rPr>
                <w:rFonts w:hint="default" w:ascii="Times New Roman" w:hAnsi="Times New Roman" w:cs="Times New Roman"/>
                <w:color w:val="auto"/>
                <w:kern w:val="0"/>
                <w:sz w:val="21"/>
                <w:szCs w:val="21"/>
                <w:highlight w:val="none"/>
                <w:lang w:val="en-US" w:eastAsia="zh-CN"/>
              </w:rPr>
              <w:t>针茅、</w:t>
            </w:r>
            <w:r>
              <w:rPr>
                <w:rFonts w:hint="default" w:ascii="Times New Roman" w:hAnsi="Times New Roman" w:cs="Times New Roman"/>
                <w:color w:val="auto"/>
                <w:kern w:val="0"/>
                <w:sz w:val="21"/>
                <w:szCs w:val="21"/>
                <w:highlight w:val="none"/>
                <w:lang w:eastAsia="zh-CN"/>
              </w:rPr>
              <w:t>百里香、</w:t>
            </w:r>
            <w:r>
              <w:rPr>
                <w:rFonts w:hint="default" w:ascii="Times New Roman" w:hAnsi="Times New Roman" w:cs="Times New Roman"/>
                <w:color w:val="auto"/>
                <w:kern w:val="0"/>
                <w:sz w:val="21"/>
                <w:szCs w:val="21"/>
                <w:highlight w:val="none"/>
                <w:lang w:val="en-US" w:eastAsia="zh-CN"/>
              </w:rPr>
              <w:t>猪毛蒿</w:t>
            </w:r>
          </w:p>
        </w:tc>
        <w:tc>
          <w:tcPr>
            <w:tcW w:w="1081" w:type="dxa"/>
            <w:tcBorders>
              <w:tl2br w:val="nil"/>
              <w:tr2bl w:val="nil"/>
            </w:tcBorders>
            <w:noWrap w:val="0"/>
            <w:vAlign w:val="center"/>
          </w:tcPr>
          <w:p w14:paraId="21990F3D">
            <w:pPr>
              <w:spacing w:line="240" w:lineRule="auto"/>
              <w:ind w:left="-12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评价区</w:t>
            </w:r>
            <w:r>
              <w:rPr>
                <w:rFonts w:hint="eastAsia" w:cs="Times New Roman"/>
                <w:color w:val="auto"/>
                <w:sz w:val="21"/>
                <w:szCs w:val="21"/>
                <w:highlight w:val="none"/>
                <w:lang w:val="en-US" w:eastAsia="zh-CN"/>
              </w:rPr>
              <w:t>东</w:t>
            </w:r>
            <w:r>
              <w:rPr>
                <w:rFonts w:hint="default" w:ascii="Times New Roman" w:hAnsi="Times New Roman" w:cs="Times New Roman"/>
                <w:color w:val="auto"/>
                <w:sz w:val="21"/>
                <w:szCs w:val="21"/>
                <w:highlight w:val="none"/>
                <w:lang w:val="en-US" w:eastAsia="zh-CN"/>
              </w:rPr>
              <w:t>部</w:t>
            </w:r>
          </w:p>
        </w:tc>
        <w:tc>
          <w:tcPr>
            <w:tcW w:w="955" w:type="dxa"/>
            <w:tcBorders>
              <w:tl2br w:val="nil"/>
              <w:tr2bl w:val="nil"/>
            </w:tcBorders>
            <w:noWrap w:val="0"/>
            <w:vAlign w:val="center"/>
          </w:tcPr>
          <w:p w14:paraId="7E2C55D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100.43 </w:t>
            </w:r>
          </w:p>
        </w:tc>
        <w:tc>
          <w:tcPr>
            <w:tcW w:w="949" w:type="dxa"/>
            <w:tcBorders>
              <w:tl2br w:val="nil"/>
              <w:tr2bl w:val="nil"/>
            </w:tcBorders>
            <w:noWrap w:val="0"/>
            <w:vAlign w:val="center"/>
          </w:tcPr>
          <w:p w14:paraId="34C584C5">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r w14:paraId="1DB2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471" w:type="dxa"/>
            <w:gridSpan w:val="2"/>
            <w:vMerge w:val="continue"/>
            <w:tcBorders>
              <w:tl2br w:val="nil"/>
              <w:tr2bl w:val="nil"/>
            </w:tcBorders>
            <w:noWrap w:val="0"/>
            <w:vAlign w:val="center"/>
          </w:tcPr>
          <w:p w14:paraId="4649EE89">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p>
        </w:tc>
        <w:tc>
          <w:tcPr>
            <w:tcW w:w="1247" w:type="dxa"/>
            <w:tcBorders>
              <w:tl2br w:val="nil"/>
              <w:tr2bl w:val="nil"/>
            </w:tcBorders>
            <w:noWrap w:val="0"/>
            <w:vAlign w:val="center"/>
          </w:tcPr>
          <w:p w14:paraId="1FDC3177">
            <w:pPr>
              <w:keepNext w:val="0"/>
              <w:keepLines w:val="0"/>
              <w:widowControl/>
              <w:suppressLineNumbers w:val="0"/>
              <w:jc w:val="left"/>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柠条、沙棘</w:t>
            </w:r>
          </w:p>
        </w:tc>
        <w:tc>
          <w:tcPr>
            <w:tcW w:w="2734" w:type="dxa"/>
            <w:tcBorders>
              <w:tl2br w:val="nil"/>
              <w:tr2bl w:val="nil"/>
            </w:tcBorders>
            <w:noWrap w:val="0"/>
            <w:vAlign w:val="center"/>
          </w:tcPr>
          <w:p w14:paraId="4A650B3B">
            <w:pPr>
              <w:spacing w:line="240" w:lineRule="auto"/>
              <w:ind w:leftChars="0" w:right="0" w:rightChars="0" w:firstLine="0" w:firstLineChars="0"/>
              <w:jc w:val="both"/>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柠条、沙棘</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0"/>
                <w:sz w:val="21"/>
                <w:szCs w:val="21"/>
                <w:lang w:val="en-US" w:eastAsia="zh-CN"/>
              </w:rPr>
              <w:t>针茅、</w:t>
            </w:r>
            <w:r>
              <w:rPr>
                <w:rFonts w:hint="default" w:ascii="Times New Roman" w:hAnsi="Times New Roman" w:cs="Times New Roman"/>
                <w:color w:val="auto"/>
                <w:kern w:val="0"/>
                <w:sz w:val="21"/>
                <w:szCs w:val="21"/>
                <w:highlight w:val="none"/>
                <w:lang w:eastAsia="zh-CN"/>
              </w:rPr>
              <w:t>百里香、</w:t>
            </w:r>
            <w:r>
              <w:rPr>
                <w:rFonts w:hint="default" w:ascii="Times New Roman" w:hAnsi="Times New Roman" w:cs="Times New Roman"/>
                <w:color w:val="auto"/>
                <w:kern w:val="0"/>
                <w:sz w:val="21"/>
                <w:szCs w:val="21"/>
                <w:highlight w:val="none"/>
                <w:lang w:val="en-US" w:eastAsia="zh-CN"/>
              </w:rPr>
              <w:t>猪毛蒿</w:t>
            </w:r>
          </w:p>
        </w:tc>
        <w:tc>
          <w:tcPr>
            <w:tcW w:w="1081" w:type="dxa"/>
            <w:tcBorders>
              <w:tl2br w:val="nil"/>
              <w:tr2bl w:val="nil"/>
            </w:tcBorders>
            <w:noWrap w:val="0"/>
            <w:vAlign w:val="center"/>
          </w:tcPr>
          <w:p w14:paraId="5EF18762">
            <w:pPr>
              <w:spacing w:line="240" w:lineRule="auto"/>
              <w:ind w:left="-120" w:leftChars="0" w:right="0" w:rightChars="0" w:firstLine="0" w:firstLineChars="0"/>
              <w:jc w:val="center"/>
              <w:rPr>
                <w:rFonts w:hint="default" w:ascii="Times New Roman" w:hAnsi="Times New Roman" w:eastAsia="宋体" w:cs="Times New Roman"/>
                <w:color w:val="auto"/>
                <w:kern w:val="0"/>
                <w:sz w:val="21"/>
                <w:szCs w:val="21"/>
                <w:highlight w:val="none"/>
                <w:lang w:val="zh-CN" w:eastAsia="zh-CN"/>
              </w:rPr>
            </w:pPr>
            <w:r>
              <w:rPr>
                <w:rFonts w:hint="default" w:ascii="Times New Roman" w:hAnsi="Times New Roman" w:eastAsia="宋体" w:cs="Times New Roman"/>
                <w:color w:val="auto"/>
                <w:kern w:val="0"/>
                <w:sz w:val="21"/>
                <w:szCs w:val="21"/>
                <w:highlight w:val="none"/>
                <w:lang w:val="zh-CN" w:eastAsia="zh-CN"/>
              </w:rPr>
              <w:t>评价区</w:t>
            </w:r>
            <w:r>
              <w:rPr>
                <w:rFonts w:hint="eastAsia" w:eastAsia="宋体" w:cs="Times New Roman"/>
                <w:color w:val="auto"/>
                <w:kern w:val="0"/>
                <w:sz w:val="21"/>
                <w:szCs w:val="21"/>
                <w:highlight w:val="none"/>
                <w:lang w:val="en-US" w:eastAsia="zh-CN"/>
              </w:rPr>
              <w:t>西</w:t>
            </w:r>
            <w:r>
              <w:rPr>
                <w:rFonts w:hint="default" w:ascii="Times New Roman" w:hAnsi="Times New Roman" w:eastAsia="宋体" w:cs="Times New Roman"/>
                <w:color w:val="auto"/>
                <w:kern w:val="0"/>
                <w:sz w:val="21"/>
                <w:szCs w:val="21"/>
                <w:highlight w:val="none"/>
                <w:lang w:val="en-US" w:eastAsia="zh-CN"/>
              </w:rPr>
              <w:t>部</w:t>
            </w:r>
          </w:p>
        </w:tc>
        <w:tc>
          <w:tcPr>
            <w:tcW w:w="955" w:type="dxa"/>
            <w:tcBorders>
              <w:tl2br w:val="nil"/>
              <w:tr2bl w:val="nil"/>
            </w:tcBorders>
            <w:noWrap w:val="0"/>
            <w:vAlign w:val="center"/>
          </w:tcPr>
          <w:p w14:paraId="6184D67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19.28 </w:t>
            </w:r>
          </w:p>
        </w:tc>
        <w:tc>
          <w:tcPr>
            <w:tcW w:w="949" w:type="dxa"/>
            <w:tcBorders>
              <w:tl2br w:val="nil"/>
              <w:tr2bl w:val="nil"/>
            </w:tcBorders>
            <w:noWrap w:val="0"/>
            <w:vAlign w:val="center"/>
          </w:tcPr>
          <w:p w14:paraId="79DE4067">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r w14:paraId="404B0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1" w:type="dxa"/>
            <w:gridSpan w:val="2"/>
            <w:tcBorders>
              <w:tl2br w:val="nil"/>
              <w:tr2bl w:val="nil"/>
            </w:tcBorders>
            <w:noWrap w:val="0"/>
            <w:vAlign w:val="center"/>
          </w:tcPr>
          <w:p w14:paraId="3B27F92C">
            <w:pPr>
              <w:spacing w:line="240" w:lineRule="auto"/>
              <w:ind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农田植被</w:t>
            </w:r>
          </w:p>
        </w:tc>
        <w:tc>
          <w:tcPr>
            <w:tcW w:w="1247" w:type="dxa"/>
            <w:tcBorders>
              <w:tl2br w:val="nil"/>
              <w:tr2bl w:val="nil"/>
            </w:tcBorders>
            <w:noWrap w:val="0"/>
            <w:vAlign w:val="center"/>
          </w:tcPr>
          <w:p w14:paraId="17581E2B">
            <w:pPr>
              <w:spacing w:line="240" w:lineRule="auto"/>
              <w:ind w:leftChars="0" w:right="0" w:rightChars="0"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玉米</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小麦</w:t>
            </w:r>
            <w:r>
              <w:rPr>
                <w:rFonts w:hint="default" w:ascii="Times New Roman" w:hAnsi="Times New Roman" w:cs="Times New Roman"/>
                <w:color w:val="auto"/>
                <w:kern w:val="0"/>
                <w:sz w:val="21"/>
                <w:szCs w:val="21"/>
                <w:highlight w:val="none"/>
              </w:rPr>
              <w:t>群系</w:t>
            </w:r>
          </w:p>
        </w:tc>
        <w:tc>
          <w:tcPr>
            <w:tcW w:w="2734" w:type="dxa"/>
            <w:tcBorders>
              <w:tl2br w:val="nil"/>
              <w:tr2bl w:val="nil"/>
            </w:tcBorders>
            <w:noWrap w:val="0"/>
            <w:vAlign w:val="center"/>
          </w:tcPr>
          <w:p w14:paraId="0FB0587B">
            <w:pPr>
              <w:spacing w:line="240" w:lineRule="auto"/>
              <w:ind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玉米</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玉米</w:t>
            </w:r>
          </w:p>
        </w:tc>
        <w:tc>
          <w:tcPr>
            <w:tcW w:w="1081" w:type="dxa"/>
            <w:tcBorders>
              <w:tl2br w:val="nil"/>
              <w:tr2bl w:val="nil"/>
            </w:tcBorders>
            <w:noWrap w:val="0"/>
            <w:vAlign w:val="center"/>
          </w:tcPr>
          <w:p w14:paraId="5C1F7855">
            <w:pPr>
              <w:spacing w:line="240" w:lineRule="auto"/>
              <w:ind w:left="-12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沿线均有分布</w:t>
            </w:r>
          </w:p>
        </w:tc>
        <w:tc>
          <w:tcPr>
            <w:tcW w:w="955" w:type="dxa"/>
            <w:tcBorders>
              <w:tl2br w:val="nil"/>
              <w:tr2bl w:val="nil"/>
            </w:tcBorders>
            <w:noWrap w:val="0"/>
            <w:vAlign w:val="center"/>
          </w:tcPr>
          <w:p w14:paraId="74F6F89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701.86 </w:t>
            </w:r>
          </w:p>
        </w:tc>
        <w:tc>
          <w:tcPr>
            <w:tcW w:w="949" w:type="dxa"/>
            <w:tcBorders>
              <w:tl2br w:val="nil"/>
              <w:tr2bl w:val="nil"/>
            </w:tcBorders>
            <w:noWrap w:val="0"/>
            <w:vAlign w:val="center"/>
          </w:tcPr>
          <w:p w14:paraId="3DD13426">
            <w:pPr>
              <w:spacing w:line="240" w:lineRule="auto"/>
              <w:ind w:left="-120" w:leftChars="0" w:right="0" w:rightChars="0" w:firstLine="0" w:firstLineChars="0"/>
              <w:jc w:val="center"/>
              <w:rPr>
                <w:rFonts w:hint="default" w:ascii="Times New Roman" w:hAnsi="Times New Roman" w:cs="Times New Roman"/>
                <w:color w:val="auto"/>
                <w:sz w:val="21"/>
                <w:szCs w:val="21"/>
                <w:highlight w:val="none"/>
                <w:lang w:val="en-US" w:eastAsia="zh-CN"/>
              </w:rPr>
            </w:pPr>
          </w:p>
        </w:tc>
      </w:tr>
    </w:tbl>
    <w:p w14:paraId="34672C20">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sz w:val="24"/>
          <w:szCs w:val="24"/>
          <w:lang w:val="en-US" w:eastAsia="zh-CN"/>
        </w:rPr>
        <w:t>根据现场调查、查阅资料文献等，评价区内多数植物为当地常见种且分布范围较广，未发现《国家重点保护野生植物名录》（2021年）和《宁夏回族自治区重点保护野生植物名录（第一批）》中的重点保护野生植物，主要野生植被见表3.3-5。</w:t>
      </w:r>
    </w:p>
    <w:p w14:paraId="00E635F6">
      <w:pPr>
        <w:widowControl/>
        <w:spacing w:line="360" w:lineRule="auto"/>
        <w:jc w:val="center"/>
        <w:rPr>
          <w:rFonts w:hint="default" w:ascii="Times New Roman" w:hAnsi="Times New Roman" w:eastAsia="宋体" w:cs="Times New Roman"/>
          <w:b/>
          <w:bCs/>
          <w:color w:val="000000"/>
          <w:kern w:val="0"/>
          <w:highlight w:val="none"/>
          <w:lang w:bidi="ar"/>
        </w:rPr>
      </w:pPr>
      <w:r>
        <w:rPr>
          <w:rFonts w:hint="default" w:ascii="Times New Roman" w:hAnsi="Times New Roman" w:eastAsia="黑体" w:cs="Times New Roman"/>
          <w:b/>
          <w:bCs/>
          <w:color w:val="000000"/>
          <w:kern w:val="0"/>
          <w:sz w:val="24"/>
          <w:szCs w:val="24"/>
          <w:highlight w:val="none"/>
          <w:lang w:bidi="ar"/>
        </w:rPr>
        <w:t>表</w:t>
      </w:r>
      <w:r>
        <w:rPr>
          <w:rFonts w:hint="default" w:ascii="Times New Roman" w:hAnsi="Times New Roman" w:eastAsia="黑体" w:cs="Times New Roman"/>
          <w:b/>
          <w:bCs/>
          <w:sz w:val="24"/>
          <w:szCs w:val="24"/>
          <w:lang w:val="en-US" w:eastAsia="zh-CN"/>
        </w:rPr>
        <w:t>3.3-5</w:t>
      </w:r>
      <w:r>
        <w:rPr>
          <w:rFonts w:hint="default" w:ascii="Times New Roman" w:hAnsi="Times New Roman" w:eastAsia="黑体" w:cs="Times New Roman"/>
          <w:b/>
          <w:bCs/>
          <w:color w:val="000000"/>
          <w:kern w:val="0"/>
          <w:sz w:val="24"/>
          <w:szCs w:val="24"/>
          <w:highlight w:val="none"/>
          <w:lang w:val="en-US" w:eastAsia="zh-CN" w:bidi="ar"/>
        </w:rPr>
        <w:t xml:space="preserve">  </w:t>
      </w:r>
      <w:r>
        <w:rPr>
          <w:rFonts w:hint="default" w:ascii="Times New Roman" w:hAnsi="Times New Roman" w:eastAsia="黑体" w:cs="Times New Roman"/>
          <w:b/>
          <w:bCs/>
          <w:color w:val="000000"/>
          <w:kern w:val="0"/>
          <w:sz w:val="24"/>
          <w:szCs w:val="24"/>
          <w:highlight w:val="none"/>
          <w:lang w:bidi="ar"/>
        </w:rPr>
        <w:t>评价区主要野生植被调查结果统计表</w:t>
      </w:r>
    </w:p>
    <w:tbl>
      <w:tblPr>
        <w:tblStyle w:val="28"/>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640"/>
        <w:gridCol w:w="1604"/>
        <w:gridCol w:w="3821"/>
      </w:tblGrid>
      <w:tr w14:paraId="7AA95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457" w:type="dxa"/>
            <w:tcBorders>
              <w:tl2br w:val="nil"/>
              <w:tr2bl w:val="nil"/>
            </w:tcBorders>
            <w:noWrap w:val="0"/>
            <w:vAlign w:val="center"/>
          </w:tcPr>
          <w:p w14:paraId="7BEF7896">
            <w:pPr>
              <w:pStyle w:val="50"/>
              <w:widowControl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科</w:t>
            </w:r>
          </w:p>
        </w:tc>
        <w:tc>
          <w:tcPr>
            <w:tcW w:w="1640" w:type="dxa"/>
            <w:tcBorders>
              <w:tl2br w:val="nil"/>
              <w:tr2bl w:val="nil"/>
            </w:tcBorders>
            <w:noWrap w:val="0"/>
            <w:vAlign w:val="center"/>
          </w:tcPr>
          <w:p w14:paraId="1D45C0AB">
            <w:pPr>
              <w:pStyle w:val="50"/>
              <w:widowControl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属</w:t>
            </w:r>
          </w:p>
        </w:tc>
        <w:tc>
          <w:tcPr>
            <w:tcW w:w="1604" w:type="dxa"/>
            <w:tcBorders>
              <w:tl2br w:val="nil"/>
              <w:tr2bl w:val="nil"/>
            </w:tcBorders>
            <w:noWrap w:val="0"/>
            <w:vAlign w:val="center"/>
          </w:tcPr>
          <w:p w14:paraId="318FEEA8">
            <w:pPr>
              <w:pStyle w:val="50"/>
              <w:widowControl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植物名称</w:t>
            </w:r>
          </w:p>
        </w:tc>
        <w:tc>
          <w:tcPr>
            <w:tcW w:w="3821" w:type="dxa"/>
            <w:tcBorders>
              <w:tl2br w:val="nil"/>
              <w:tr2bl w:val="nil"/>
            </w:tcBorders>
            <w:noWrap w:val="0"/>
            <w:vAlign w:val="center"/>
          </w:tcPr>
          <w:p w14:paraId="4EFB641F">
            <w:pPr>
              <w:pStyle w:val="50"/>
              <w:widowControl w:val="0"/>
              <w:adjustRightInd/>
              <w:snapToGrid/>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拉丁学名</w:t>
            </w:r>
          </w:p>
        </w:tc>
      </w:tr>
      <w:tr w14:paraId="7010B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restart"/>
            <w:tcBorders>
              <w:tl2br w:val="nil"/>
              <w:tr2bl w:val="nil"/>
            </w:tcBorders>
            <w:noWrap w:val="0"/>
            <w:vAlign w:val="center"/>
          </w:tcPr>
          <w:p w14:paraId="38686357">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松科</w:t>
            </w:r>
          </w:p>
        </w:tc>
        <w:tc>
          <w:tcPr>
            <w:tcW w:w="1640" w:type="dxa"/>
            <w:tcBorders>
              <w:tl2br w:val="nil"/>
              <w:tr2bl w:val="nil"/>
            </w:tcBorders>
            <w:noWrap w:val="0"/>
            <w:vAlign w:val="center"/>
          </w:tcPr>
          <w:p w14:paraId="261D769F">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云杉属</w:t>
            </w:r>
          </w:p>
        </w:tc>
        <w:tc>
          <w:tcPr>
            <w:tcW w:w="1604" w:type="dxa"/>
            <w:tcBorders>
              <w:tl2br w:val="nil"/>
              <w:tr2bl w:val="nil"/>
            </w:tcBorders>
            <w:noWrap w:val="0"/>
            <w:vAlign w:val="center"/>
          </w:tcPr>
          <w:p w14:paraId="28FE5D8A">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云杉</w:t>
            </w:r>
          </w:p>
        </w:tc>
        <w:tc>
          <w:tcPr>
            <w:tcW w:w="3821" w:type="dxa"/>
            <w:tcBorders>
              <w:tl2br w:val="nil"/>
              <w:tr2bl w:val="nil"/>
            </w:tcBorders>
            <w:noWrap w:val="0"/>
            <w:vAlign w:val="center"/>
          </w:tcPr>
          <w:p w14:paraId="52C67E83">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Picea asperata</w:t>
            </w:r>
            <w:r>
              <w:rPr>
                <w:rFonts w:hint="default" w:ascii="Times New Roman" w:hAnsi="Times New Roman" w:eastAsia="宋体" w:cs="Times New Roman"/>
                <w:b w:val="0"/>
                <w:bCs/>
                <w:i w:val="0"/>
                <w:caps w:val="0"/>
                <w:color w:val="auto"/>
                <w:spacing w:val="0"/>
                <w:sz w:val="21"/>
                <w:szCs w:val="21"/>
                <w:highlight w:val="none"/>
                <w:shd w:val="clear" w:color="auto" w:fill="FFFFFF"/>
              </w:rPr>
              <w:t>Mast.</w:t>
            </w:r>
          </w:p>
        </w:tc>
      </w:tr>
      <w:tr w14:paraId="391F3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1868CD11">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tcBorders>
              <w:tl2br w:val="nil"/>
              <w:tr2bl w:val="nil"/>
            </w:tcBorders>
            <w:noWrap w:val="0"/>
            <w:vAlign w:val="center"/>
          </w:tcPr>
          <w:p w14:paraId="20BABDF7">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松属</w:t>
            </w:r>
          </w:p>
        </w:tc>
        <w:tc>
          <w:tcPr>
            <w:tcW w:w="1604" w:type="dxa"/>
            <w:tcBorders>
              <w:tl2br w:val="nil"/>
              <w:tr2bl w:val="nil"/>
            </w:tcBorders>
            <w:noWrap w:val="0"/>
            <w:vAlign w:val="center"/>
          </w:tcPr>
          <w:p w14:paraId="3CFE6E99">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kern w:val="0"/>
                <w:sz w:val="21"/>
                <w:szCs w:val="21"/>
                <w:highlight w:val="none"/>
                <w:lang w:val="en-US" w:eastAsia="zh-CN"/>
              </w:rPr>
              <w:t>油</w:t>
            </w:r>
            <w:r>
              <w:rPr>
                <w:rFonts w:hint="default" w:ascii="Times New Roman" w:hAnsi="Times New Roman" w:eastAsia="宋体" w:cs="Times New Roman"/>
                <w:b w:val="0"/>
                <w:bCs/>
                <w:color w:val="auto"/>
                <w:kern w:val="0"/>
                <w:sz w:val="21"/>
                <w:szCs w:val="21"/>
                <w:highlight w:val="none"/>
                <w:lang w:val="en-US" w:eastAsia="zh-CN"/>
              </w:rPr>
              <w:t>松</w:t>
            </w:r>
          </w:p>
        </w:tc>
        <w:tc>
          <w:tcPr>
            <w:tcW w:w="3821" w:type="dxa"/>
            <w:tcBorders>
              <w:tl2br w:val="nil"/>
              <w:tr2bl w:val="nil"/>
            </w:tcBorders>
            <w:noWrap w:val="0"/>
            <w:vAlign w:val="center"/>
          </w:tcPr>
          <w:p w14:paraId="13916A23">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Pinus tabuliformis Carrière</w:t>
            </w:r>
          </w:p>
        </w:tc>
      </w:tr>
      <w:tr w14:paraId="164DE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restart"/>
            <w:tcBorders>
              <w:tl2br w:val="nil"/>
              <w:tr2bl w:val="nil"/>
            </w:tcBorders>
            <w:noWrap w:val="0"/>
            <w:vAlign w:val="center"/>
          </w:tcPr>
          <w:p w14:paraId="6410BE36">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rPr>
            </w:pPr>
            <w:r>
              <w:rPr>
                <w:rFonts w:hint="default" w:ascii="Times New Roman" w:hAnsi="Times New Roman" w:eastAsia="宋体" w:cs="Times New Roman"/>
                <w:b w:val="0"/>
                <w:bCs/>
                <w:i w:val="0"/>
                <w:caps w:val="0"/>
                <w:color w:val="auto"/>
                <w:spacing w:val="0"/>
                <w:sz w:val="21"/>
                <w:szCs w:val="21"/>
                <w:highlight w:val="none"/>
                <w:shd w:val="clear" w:color="auto" w:fill="FFFFFF"/>
              </w:rPr>
              <w:t>蔷薇科</w:t>
            </w:r>
          </w:p>
        </w:tc>
        <w:tc>
          <w:tcPr>
            <w:tcW w:w="1640" w:type="dxa"/>
            <w:tcBorders>
              <w:tl2br w:val="nil"/>
              <w:tr2bl w:val="nil"/>
            </w:tcBorders>
            <w:noWrap w:val="0"/>
            <w:vAlign w:val="center"/>
          </w:tcPr>
          <w:p w14:paraId="36D98FCF">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lang w:val="en-US" w:eastAsia="zh-CN"/>
              </w:rPr>
            </w:pPr>
            <w:r>
              <w:rPr>
                <w:rFonts w:hint="default" w:ascii="Times New Roman" w:hAnsi="Times New Roman" w:eastAsia="宋体" w:cs="Times New Roman"/>
                <w:b w:val="0"/>
                <w:bCs/>
                <w:i w:val="0"/>
                <w:caps w:val="0"/>
                <w:color w:val="auto"/>
                <w:spacing w:val="0"/>
                <w:sz w:val="21"/>
                <w:szCs w:val="21"/>
                <w:highlight w:val="none"/>
                <w:shd w:val="clear" w:color="auto" w:fill="FFFFFF"/>
                <w:lang w:val="en-US" w:eastAsia="zh-CN"/>
              </w:rPr>
              <w:t>杏属</w:t>
            </w:r>
          </w:p>
        </w:tc>
        <w:tc>
          <w:tcPr>
            <w:tcW w:w="1604" w:type="dxa"/>
            <w:tcBorders>
              <w:tl2br w:val="nil"/>
              <w:tr2bl w:val="nil"/>
            </w:tcBorders>
            <w:noWrap w:val="0"/>
            <w:vAlign w:val="center"/>
          </w:tcPr>
          <w:p w14:paraId="4BC7F719">
            <w:pPr>
              <w:pStyle w:val="50"/>
              <w:widowControl w:val="0"/>
              <w:adjustRightInd/>
              <w:snapToGrid/>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山杏</w:t>
            </w:r>
          </w:p>
        </w:tc>
        <w:tc>
          <w:tcPr>
            <w:tcW w:w="3821" w:type="dxa"/>
            <w:tcBorders>
              <w:tl2br w:val="nil"/>
              <w:tr2bl w:val="nil"/>
            </w:tcBorders>
            <w:noWrap w:val="0"/>
            <w:vAlign w:val="center"/>
          </w:tcPr>
          <w:p w14:paraId="2783F94F">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Prunus sibirica</w:t>
            </w:r>
            <w:r>
              <w:rPr>
                <w:rFonts w:hint="default" w:ascii="Times New Roman" w:hAnsi="Times New Roman" w:eastAsia="宋体" w:cs="Times New Roman"/>
                <w:b w:val="0"/>
                <w:bCs/>
                <w:i w:val="0"/>
                <w:caps w:val="0"/>
                <w:color w:val="auto"/>
                <w:spacing w:val="0"/>
                <w:sz w:val="21"/>
                <w:szCs w:val="21"/>
                <w:highlight w:val="none"/>
                <w:shd w:val="clear" w:color="auto" w:fill="FFFFFF"/>
              </w:rPr>
              <w:t>L.</w:t>
            </w:r>
          </w:p>
        </w:tc>
      </w:tr>
      <w:tr w14:paraId="51B71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278A0910">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1640" w:type="dxa"/>
            <w:tcBorders>
              <w:tl2br w:val="nil"/>
              <w:tr2bl w:val="nil"/>
            </w:tcBorders>
            <w:noWrap w:val="0"/>
            <w:vAlign w:val="center"/>
          </w:tcPr>
          <w:p w14:paraId="43A4591E">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lang w:val="en-US" w:eastAsia="zh-CN"/>
              </w:rPr>
            </w:pPr>
            <w:r>
              <w:rPr>
                <w:rFonts w:hint="default" w:ascii="Times New Roman" w:hAnsi="Times New Roman" w:eastAsia="宋体" w:cs="Times New Roman"/>
                <w:b w:val="0"/>
                <w:bCs/>
                <w:i w:val="0"/>
                <w:caps w:val="0"/>
                <w:color w:val="auto"/>
                <w:spacing w:val="0"/>
                <w:sz w:val="21"/>
                <w:szCs w:val="21"/>
                <w:highlight w:val="none"/>
                <w:shd w:val="clear" w:color="auto" w:fill="FFFFFF"/>
              </w:rPr>
              <w:t>李属</w:t>
            </w:r>
          </w:p>
        </w:tc>
        <w:tc>
          <w:tcPr>
            <w:tcW w:w="1604" w:type="dxa"/>
            <w:tcBorders>
              <w:tl2br w:val="nil"/>
              <w:tr2bl w:val="nil"/>
            </w:tcBorders>
            <w:noWrap w:val="0"/>
            <w:vAlign w:val="center"/>
          </w:tcPr>
          <w:p w14:paraId="71208C71">
            <w:pPr>
              <w:pStyle w:val="50"/>
              <w:widowControl w:val="0"/>
              <w:adjustRightInd/>
              <w:snapToGrid/>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i w:val="0"/>
                <w:caps w:val="0"/>
                <w:color w:val="auto"/>
                <w:spacing w:val="0"/>
                <w:sz w:val="21"/>
                <w:szCs w:val="21"/>
                <w:highlight w:val="none"/>
                <w:shd w:val="clear" w:color="auto" w:fill="FFFFFF"/>
              </w:rPr>
              <w:t>山桃</w:t>
            </w:r>
          </w:p>
        </w:tc>
        <w:tc>
          <w:tcPr>
            <w:tcW w:w="3821" w:type="dxa"/>
            <w:tcBorders>
              <w:tl2br w:val="nil"/>
              <w:tr2bl w:val="nil"/>
            </w:tcBorders>
            <w:noWrap w:val="0"/>
            <w:vAlign w:val="center"/>
          </w:tcPr>
          <w:p w14:paraId="19026DC5">
            <w:pPr>
              <w:pStyle w:val="50"/>
              <w:widowControl w:val="0"/>
              <w:adjustRightInd/>
              <w:snapToGrid/>
              <w:spacing w:line="240" w:lineRule="auto"/>
              <w:jc w:val="center"/>
              <w:textAlignment w:val="auto"/>
              <w:rPr>
                <w:rFonts w:hint="default" w:ascii="Times New Roman" w:hAnsi="Times New Roman" w:eastAsia="宋体" w:cs="Times New Roman"/>
                <w:b w:val="0"/>
                <w:bCs/>
                <w:i/>
                <w:caps w:val="0"/>
                <w:color w:val="auto"/>
                <w:spacing w:val="0"/>
                <w:sz w:val="21"/>
                <w:szCs w:val="21"/>
                <w:highlight w:val="none"/>
                <w:shd w:val="clear" w:color="auto" w:fill="FFFFFF"/>
              </w:rPr>
            </w:pPr>
            <w:r>
              <w:rPr>
                <w:rFonts w:hint="default" w:ascii="Times New Roman" w:hAnsi="Times New Roman" w:eastAsia="宋体" w:cs="Times New Roman"/>
                <w:b w:val="0"/>
                <w:bCs/>
                <w:i/>
                <w:caps w:val="0"/>
                <w:color w:val="auto"/>
                <w:spacing w:val="0"/>
                <w:sz w:val="21"/>
                <w:szCs w:val="21"/>
                <w:highlight w:val="none"/>
                <w:shd w:val="clear" w:color="auto" w:fill="FFFFFF"/>
              </w:rPr>
              <w:t>Prunus davidiana</w:t>
            </w:r>
            <w:r>
              <w:rPr>
                <w:rFonts w:hint="default" w:ascii="Times New Roman" w:hAnsi="Times New Roman" w:eastAsia="宋体" w:cs="Times New Roman"/>
                <w:b w:val="0"/>
                <w:bCs/>
                <w:i w:val="0"/>
                <w:caps w:val="0"/>
                <w:color w:val="auto"/>
                <w:spacing w:val="0"/>
                <w:sz w:val="21"/>
                <w:szCs w:val="21"/>
                <w:highlight w:val="none"/>
                <w:shd w:val="clear" w:color="auto" w:fill="FFFFFF"/>
              </w:rPr>
              <w:t>(Carrière) Franch.</w:t>
            </w:r>
          </w:p>
        </w:tc>
      </w:tr>
      <w:tr w14:paraId="72076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6038218D">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rPr>
            </w:pPr>
          </w:p>
        </w:tc>
        <w:tc>
          <w:tcPr>
            <w:tcW w:w="1640" w:type="dxa"/>
            <w:tcBorders>
              <w:tl2br w:val="nil"/>
              <w:tr2bl w:val="nil"/>
            </w:tcBorders>
            <w:noWrap w:val="0"/>
            <w:vAlign w:val="center"/>
          </w:tcPr>
          <w:p w14:paraId="282BE553">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rPr>
            </w:pPr>
            <w:r>
              <w:rPr>
                <w:rFonts w:hint="default" w:ascii="Times New Roman" w:hAnsi="Times New Roman" w:eastAsia="宋体" w:cs="Times New Roman"/>
                <w:b w:val="0"/>
                <w:bCs/>
                <w:i w:val="0"/>
                <w:caps w:val="0"/>
                <w:color w:val="auto"/>
                <w:spacing w:val="0"/>
                <w:sz w:val="21"/>
                <w:szCs w:val="21"/>
                <w:highlight w:val="none"/>
                <w:shd w:val="clear" w:color="auto" w:fill="FFFFFF"/>
              </w:rPr>
              <w:t>委陵菜属</w:t>
            </w:r>
          </w:p>
        </w:tc>
        <w:tc>
          <w:tcPr>
            <w:tcW w:w="1604" w:type="dxa"/>
            <w:tcBorders>
              <w:tl2br w:val="nil"/>
              <w:tr2bl w:val="nil"/>
            </w:tcBorders>
            <w:noWrap w:val="0"/>
            <w:vAlign w:val="center"/>
          </w:tcPr>
          <w:p w14:paraId="56601F46">
            <w:pPr>
              <w:pStyle w:val="50"/>
              <w:widowControl w:val="0"/>
              <w:adjustRightInd/>
              <w:snapToGrid/>
              <w:spacing w:line="240" w:lineRule="auto"/>
              <w:jc w:val="center"/>
              <w:textAlignment w:val="auto"/>
              <w:rPr>
                <w:rFonts w:hint="default" w:ascii="Times New Roman" w:hAnsi="Times New Roman" w:eastAsia="宋体" w:cs="Times New Roman"/>
                <w:b w:val="0"/>
                <w:bCs/>
                <w:i w:val="0"/>
                <w:caps w:val="0"/>
                <w:color w:val="auto"/>
                <w:spacing w:val="0"/>
                <w:sz w:val="21"/>
                <w:szCs w:val="21"/>
                <w:highlight w:val="none"/>
                <w:shd w:val="clear" w:color="auto" w:fill="FFFFFF"/>
              </w:rPr>
            </w:pPr>
            <w:r>
              <w:rPr>
                <w:rFonts w:hint="default" w:ascii="Times New Roman" w:hAnsi="Times New Roman" w:eastAsia="宋体" w:cs="Times New Roman"/>
                <w:b w:val="0"/>
                <w:bCs/>
                <w:i w:val="0"/>
                <w:caps w:val="0"/>
                <w:color w:val="auto"/>
                <w:spacing w:val="0"/>
                <w:sz w:val="21"/>
                <w:szCs w:val="21"/>
                <w:highlight w:val="none"/>
                <w:shd w:val="clear" w:color="auto" w:fill="FFFFFF"/>
              </w:rPr>
              <w:t>委陵菜</w:t>
            </w:r>
          </w:p>
        </w:tc>
        <w:tc>
          <w:tcPr>
            <w:tcW w:w="3821" w:type="dxa"/>
            <w:tcBorders>
              <w:tl2br w:val="nil"/>
              <w:tr2bl w:val="nil"/>
            </w:tcBorders>
            <w:noWrap w:val="0"/>
            <w:vAlign w:val="center"/>
          </w:tcPr>
          <w:p w14:paraId="429CA62B">
            <w:pPr>
              <w:pStyle w:val="50"/>
              <w:widowControl w:val="0"/>
              <w:adjustRightInd/>
              <w:snapToGrid/>
              <w:spacing w:line="240" w:lineRule="auto"/>
              <w:jc w:val="center"/>
              <w:textAlignment w:val="auto"/>
              <w:rPr>
                <w:rFonts w:hint="default" w:ascii="Times New Roman" w:hAnsi="Times New Roman" w:eastAsia="宋体" w:cs="Times New Roman"/>
                <w:b w:val="0"/>
                <w:bCs/>
                <w:i/>
                <w:caps w:val="0"/>
                <w:color w:val="auto"/>
                <w:spacing w:val="0"/>
                <w:sz w:val="21"/>
                <w:szCs w:val="21"/>
                <w:highlight w:val="none"/>
                <w:shd w:val="clear" w:color="auto" w:fill="FFFFFF"/>
              </w:rPr>
            </w:pPr>
            <w:r>
              <w:rPr>
                <w:rFonts w:hint="default" w:ascii="Times New Roman" w:hAnsi="Times New Roman" w:eastAsia="宋体" w:cs="Times New Roman"/>
                <w:b w:val="0"/>
                <w:bCs/>
                <w:i/>
                <w:caps w:val="0"/>
                <w:color w:val="auto"/>
                <w:spacing w:val="0"/>
                <w:sz w:val="21"/>
                <w:szCs w:val="21"/>
                <w:highlight w:val="none"/>
                <w:shd w:val="clear" w:color="auto" w:fill="FFFFFF"/>
              </w:rPr>
              <w:t>Potentilla chinensis</w:t>
            </w:r>
            <w:r>
              <w:rPr>
                <w:rFonts w:hint="default" w:ascii="Times New Roman" w:hAnsi="Times New Roman" w:eastAsia="宋体" w:cs="Times New Roman"/>
                <w:b w:val="0"/>
                <w:bCs/>
                <w:i w:val="0"/>
                <w:caps w:val="0"/>
                <w:color w:val="auto"/>
                <w:spacing w:val="0"/>
                <w:sz w:val="21"/>
                <w:szCs w:val="21"/>
                <w:highlight w:val="none"/>
                <w:shd w:val="clear" w:color="auto" w:fill="FFFFFF"/>
              </w:rPr>
              <w:t>Ser.</w:t>
            </w:r>
          </w:p>
        </w:tc>
      </w:tr>
      <w:tr w14:paraId="66B51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tcBorders>
              <w:tl2br w:val="nil"/>
              <w:tr2bl w:val="nil"/>
            </w:tcBorders>
            <w:noWrap w:val="0"/>
            <w:vAlign w:val="center"/>
          </w:tcPr>
          <w:p w14:paraId="6982F8F6">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唇形科</w:t>
            </w:r>
          </w:p>
        </w:tc>
        <w:tc>
          <w:tcPr>
            <w:tcW w:w="1640" w:type="dxa"/>
            <w:tcBorders>
              <w:tl2br w:val="nil"/>
              <w:tr2bl w:val="nil"/>
            </w:tcBorders>
            <w:noWrap w:val="0"/>
            <w:vAlign w:val="center"/>
          </w:tcPr>
          <w:p w14:paraId="31394CBC">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百里香属</w:t>
            </w:r>
          </w:p>
        </w:tc>
        <w:tc>
          <w:tcPr>
            <w:tcW w:w="1604" w:type="dxa"/>
            <w:tcBorders>
              <w:tl2br w:val="nil"/>
              <w:tr2bl w:val="nil"/>
            </w:tcBorders>
            <w:noWrap w:val="0"/>
            <w:vAlign w:val="center"/>
          </w:tcPr>
          <w:p w14:paraId="07D126EF">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百里香</w:t>
            </w:r>
          </w:p>
        </w:tc>
        <w:tc>
          <w:tcPr>
            <w:tcW w:w="3821" w:type="dxa"/>
            <w:tcBorders>
              <w:tl2br w:val="nil"/>
              <w:tr2bl w:val="nil"/>
            </w:tcBorders>
            <w:noWrap w:val="0"/>
            <w:vAlign w:val="center"/>
          </w:tcPr>
          <w:p w14:paraId="0118DCF8">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Thymus mongolicus</w:t>
            </w:r>
            <w:r>
              <w:rPr>
                <w:rFonts w:hint="default" w:ascii="Times New Roman" w:hAnsi="Times New Roman" w:eastAsia="宋体" w:cs="Times New Roman"/>
                <w:b w:val="0"/>
                <w:bCs/>
                <w:i w:val="0"/>
                <w:caps w:val="0"/>
                <w:color w:val="auto"/>
                <w:spacing w:val="0"/>
                <w:sz w:val="21"/>
                <w:szCs w:val="21"/>
                <w:highlight w:val="none"/>
                <w:shd w:val="clear" w:color="auto" w:fill="FFFFFF"/>
              </w:rPr>
              <w:t>(Ronniger) Ronniger</w:t>
            </w:r>
          </w:p>
        </w:tc>
      </w:tr>
      <w:tr w14:paraId="7D8E7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restart"/>
            <w:tcBorders>
              <w:tl2br w:val="nil"/>
              <w:tr2bl w:val="nil"/>
            </w:tcBorders>
            <w:noWrap w:val="0"/>
            <w:vAlign w:val="center"/>
          </w:tcPr>
          <w:p w14:paraId="2345F47A">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禾本科</w:t>
            </w:r>
          </w:p>
        </w:tc>
        <w:tc>
          <w:tcPr>
            <w:tcW w:w="1640" w:type="dxa"/>
            <w:tcBorders>
              <w:tl2br w:val="nil"/>
              <w:tr2bl w:val="nil"/>
            </w:tcBorders>
            <w:noWrap w:val="0"/>
            <w:vAlign w:val="center"/>
          </w:tcPr>
          <w:p w14:paraId="448B208A">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针茅属</w:t>
            </w:r>
          </w:p>
        </w:tc>
        <w:tc>
          <w:tcPr>
            <w:tcW w:w="1604" w:type="dxa"/>
            <w:tcBorders>
              <w:tl2br w:val="nil"/>
              <w:tr2bl w:val="nil"/>
            </w:tcBorders>
            <w:noWrap w:val="0"/>
            <w:vAlign w:val="center"/>
          </w:tcPr>
          <w:p w14:paraId="407133FC">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针茅</w:t>
            </w:r>
          </w:p>
        </w:tc>
        <w:tc>
          <w:tcPr>
            <w:tcW w:w="3821" w:type="dxa"/>
            <w:tcBorders>
              <w:tl2br w:val="nil"/>
              <w:tr2bl w:val="nil"/>
            </w:tcBorders>
            <w:noWrap w:val="0"/>
            <w:vAlign w:val="center"/>
          </w:tcPr>
          <w:p w14:paraId="2DE1AAA2">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Stipa capillata L.</w:t>
            </w:r>
          </w:p>
        </w:tc>
      </w:tr>
      <w:tr w14:paraId="2636A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7DC25C7E">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tcBorders>
              <w:tl2br w:val="nil"/>
              <w:tr2bl w:val="nil"/>
            </w:tcBorders>
            <w:noWrap w:val="0"/>
            <w:vAlign w:val="center"/>
          </w:tcPr>
          <w:p w14:paraId="6B80DE09">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冰草属</w:t>
            </w:r>
          </w:p>
        </w:tc>
        <w:tc>
          <w:tcPr>
            <w:tcW w:w="1604" w:type="dxa"/>
            <w:tcBorders>
              <w:tl2br w:val="nil"/>
              <w:tr2bl w:val="nil"/>
            </w:tcBorders>
            <w:noWrap w:val="0"/>
            <w:vAlign w:val="center"/>
          </w:tcPr>
          <w:p w14:paraId="16CD41D6">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冰草</w:t>
            </w:r>
          </w:p>
        </w:tc>
        <w:tc>
          <w:tcPr>
            <w:tcW w:w="3821" w:type="dxa"/>
            <w:tcBorders>
              <w:tl2br w:val="nil"/>
              <w:tr2bl w:val="nil"/>
            </w:tcBorders>
            <w:noWrap w:val="0"/>
            <w:vAlign w:val="center"/>
          </w:tcPr>
          <w:p w14:paraId="1F9C8659">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Agropyron cristatum </w:t>
            </w:r>
            <w:r>
              <w:rPr>
                <w:rFonts w:hint="default" w:ascii="Times New Roman" w:hAnsi="Times New Roman" w:eastAsia="宋体" w:cs="Times New Roman"/>
                <w:b w:val="0"/>
                <w:bCs/>
                <w:i w:val="0"/>
                <w:caps w:val="0"/>
                <w:color w:val="auto"/>
                <w:spacing w:val="0"/>
                <w:sz w:val="21"/>
                <w:szCs w:val="21"/>
                <w:highlight w:val="none"/>
                <w:shd w:val="clear" w:color="auto" w:fill="FFFFFF"/>
              </w:rPr>
              <w:t>(L.) Gaertn.</w:t>
            </w:r>
          </w:p>
        </w:tc>
      </w:tr>
      <w:tr w14:paraId="71FAA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5E3380ED">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tcBorders>
              <w:tl2br w:val="nil"/>
              <w:tr2bl w:val="nil"/>
            </w:tcBorders>
            <w:noWrap w:val="0"/>
            <w:vAlign w:val="center"/>
          </w:tcPr>
          <w:p w14:paraId="35317216">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玉蜀黍属</w:t>
            </w:r>
          </w:p>
        </w:tc>
        <w:tc>
          <w:tcPr>
            <w:tcW w:w="1604" w:type="dxa"/>
            <w:tcBorders>
              <w:tl2br w:val="nil"/>
              <w:tr2bl w:val="nil"/>
            </w:tcBorders>
            <w:noWrap w:val="0"/>
            <w:vAlign w:val="center"/>
          </w:tcPr>
          <w:p w14:paraId="67B8BEF0">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val="0"/>
                <w:caps w:val="0"/>
                <w:color w:val="auto"/>
                <w:spacing w:val="0"/>
                <w:sz w:val="21"/>
                <w:szCs w:val="21"/>
                <w:highlight w:val="none"/>
                <w:shd w:val="clear" w:color="auto" w:fill="FFFFFF"/>
              </w:rPr>
              <w:t>玉蜀黍</w:t>
            </w:r>
            <w:r>
              <w:rPr>
                <w:rFonts w:hint="default" w:ascii="Times New Roman" w:hAnsi="Times New Roman" w:eastAsia="宋体" w:cs="Times New Roman"/>
                <w:b w:val="0"/>
                <w:bCs/>
                <w:i w:val="0"/>
                <w:caps w:val="0"/>
                <w:color w:val="auto"/>
                <w:spacing w:val="0"/>
                <w:sz w:val="21"/>
                <w:szCs w:val="21"/>
                <w:highlight w:val="none"/>
                <w:shd w:val="clear" w:color="auto" w:fill="FFFFFF"/>
                <w:lang w:eastAsia="zh-CN"/>
              </w:rPr>
              <w:t>（</w:t>
            </w:r>
            <w:r>
              <w:rPr>
                <w:rFonts w:hint="default" w:ascii="Times New Roman" w:hAnsi="Times New Roman" w:eastAsia="宋体" w:cs="Times New Roman"/>
                <w:b w:val="0"/>
                <w:bCs/>
                <w:i w:val="0"/>
                <w:caps w:val="0"/>
                <w:color w:val="auto"/>
                <w:spacing w:val="0"/>
                <w:sz w:val="21"/>
                <w:szCs w:val="21"/>
                <w:highlight w:val="none"/>
                <w:shd w:val="clear" w:color="auto" w:fill="FFFFFF"/>
                <w:lang w:val="en-US" w:eastAsia="zh-CN"/>
              </w:rPr>
              <w:t>玉米</w:t>
            </w:r>
            <w:r>
              <w:rPr>
                <w:rFonts w:hint="default" w:ascii="Times New Roman" w:hAnsi="Times New Roman" w:eastAsia="宋体" w:cs="Times New Roman"/>
                <w:b w:val="0"/>
                <w:bCs/>
                <w:i w:val="0"/>
                <w:caps w:val="0"/>
                <w:color w:val="auto"/>
                <w:spacing w:val="0"/>
                <w:sz w:val="21"/>
                <w:szCs w:val="21"/>
                <w:highlight w:val="none"/>
                <w:shd w:val="clear" w:color="auto" w:fill="FFFFFF"/>
                <w:lang w:eastAsia="zh-CN"/>
              </w:rPr>
              <w:t>）</w:t>
            </w:r>
          </w:p>
        </w:tc>
        <w:tc>
          <w:tcPr>
            <w:tcW w:w="3821" w:type="dxa"/>
            <w:tcBorders>
              <w:tl2br w:val="nil"/>
              <w:tr2bl w:val="nil"/>
            </w:tcBorders>
            <w:noWrap w:val="0"/>
            <w:vAlign w:val="center"/>
          </w:tcPr>
          <w:p w14:paraId="21072532">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Zea mays</w:t>
            </w:r>
            <w:r>
              <w:rPr>
                <w:rFonts w:hint="default" w:ascii="Times New Roman" w:hAnsi="Times New Roman" w:eastAsia="宋体" w:cs="Times New Roman"/>
                <w:b w:val="0"/>
                <w:bCs/>
                <w:i w:val="0"/>
                <w:caps w:val="0"/>
                <w:color w:val="auto"/>
                <w:spacing w:val="0"/>
                <w:sz w:val="21"/>
                <w:szCs w:val="21"/>
                <w:highlight w:val="none"/>
                <w:shd w:val="clear" w:color="auto" w:fill="FFFFFF"/>
              </w:rPr>
              <w:t>L.</w:t>
            </w:r>
          </w:p>
        </w:tc>
      </w:tr>
      <w:tr w14:paraId="62A86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199AA53E">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tcBorders>
              <w:tl2br w:val="nil"/>
              <w:tr2bl w:val="nil"/>
            </w:tcBorders>
            <w:noWrap w:val="0"/>
            <w:vAlign w:val="center"/>
          </w:tcPr>
          <w:p w14:paraId="220241AD">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小麦属</w:t>
            </w:r>
          </w:p>
        </w:tc>
        <w:tc>
          <w:tcPr>
            <w:tcW w:w="1604" w:type="dxa"/>
            <w:tcBorders>
              <w:tl2br w:val="nil"/>
              <w:tr2bl w:val="nil"/>
            </w:tcBorders>
            <w:noWrap w:val="0"/>
            <w:vAlign w:val="center"/>
          </w:tcPr>
          <w:p w14:paraId="49EE1632">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小麦</w:t>
            </w:r>
          </w:p>
        </w:tc>
        <w:tc>
          <w:tcPr>
            <w:tcW w:w="3821" w:type="dxa"/>
            <w:tcBorders>
              <w:tl2br w:val="nil"/>
              <w:tr2bl w:val="nil"/>
            </w:tcBorders>
            <w:noWrap w:val="0"/>
            <w:vAlign w:val="center"/>
          </w:tcPr>
          <w:p w14:paraId="736BB127">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Triticum aestivum L.</w:t>
            </w:r>
          </w:p>
        </w:tc>
      </w:tr>
      <w:tr w14:paraId="6564A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70D7A925">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tcBorders>
              <w:tl2br w:val="nil"/>
              <w:tr2bl w:val="nil"/>
            </w:tcBorders>
            <w:noWrap w:val="0"/>
            <w:vAlign w:val="center"/>
          </w:tcPr>
          <w:p w14:paraId="71B01D30">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芒属</w:t>
            </w:r>
          </w:p>
        </w:tc>
        <w:tc>
          <w:tcPr>
            <w:tcW w:w="1604" w:type="dxa"/>
            <w:tcBorders>
              <w:tl2br w:val="nil"/>
              <w:tr2bl w:val="nil"/>
            </w:tcBorders>
            <w:noWrap w:val="0"/>
            <w:vAlign w:val="center"/>
          </w:tcPr>
          <w:p w14:paraId="6B421131">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芒草</w:t>
            </w:r>
          </w:p>
        </w:tc>
        <w:tc>
          <w:tcPr>
            <w:tcW w:w="3821" w:type="dxa"/>
            <w:tcBorders>
              <w:tl2br w:val="nil"/>
              <w:tr2bl w:val="nil"/>
            </w:tcBorders>
            <w:noWrap w:val="0"/>
            <w:vAlign w:val="center"/>
          </w:tcPr>
          <w:p w14:paraId="7F1A7BF4">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Miscanthus</w:t>
            </w:r>
          </w:p>
        </w:tc>
      </w:tr>
      <w:tr w14:paraId="4E077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tcBorders>
              <w:tl2br w:val="nil"/>
              <w:tr2bl w:val="nil"/>
            </w:tcBorders>
            <w:noWrap w:val="0"/>
            <w:vAlign w:val="center"/>
          </w:tcPr>
          <w:p w14:paraId="3762198D">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豆科</w:t>
            </w:r>
          </w:p>
        </w:tc>
        <w:tc>
          <w:tcPr>
            <w:tcW w:w="1640" w:type="dxa"/>
            <w:tcBorders>
              <w:tl2br w:val="nil"/>
              <w:tr2bl w:val="nil"/>
            </w:tcBorders>
            <w:noWrap w:val="0"/>
            <w:vAlign w:val="center"/>
          </w:tcPr>
          <w:p w14:paraId="33E52259">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i w:val="0"/>
                <w:caps w:val="0"/>
                <w:color w:val="auto"/>
                <w:spacing w:val="0"/>
                <w:sz w:val="21"/>
                <w:szCs w:val="21"/>
                <w:highlight w:val="none"/>
                <w:shd w:val="clear" w:color="auto" w:fill="FFFFFF"/>
              </w:rPr>
              <w:t>锦鸡儿属</w:t>
            </w:r>
          </w:p>
        </w:tc>
        <w:tc>
          <w:tcPr>
            <w:tcW w:w="1604" w:type="dxa"/>
            <w:tcBorders>
              <w:tl2br w:val="nil"/>
              <w:tr2bl w:val="nil"/>
            </w:tcBorders>
            <w:noWrap w:val="0"/>
            <w:vAlign w:val="center"/>
          </w:tcPr>
          <w:p w14:paraId="7FBFD903">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i w:val="0"/>
                <w:caps w:val="0"/>
                <w:color w:val="auto"/>
                <w:spacing w:val="0"/>
                <w:sz w:val="21"/>
                <w:szCs w:val="21"/>
                <w:highlight w:val="none"/>
                <w:shd w:val="clear" w:color="auto" w:fill="FFFFFF"/>
                <w:lang w:eastAsia="zh-CN"/>
              </w:rPr>
              <w:t>柠条</w:t>
            </w:r>
            <w:r>
              <w:rPr>
                <w:rFonts w:hint="default" w:ascii="Times New Roman" w:hAnsi="Times New Roman" w:eastAsia="宋体" w:cs="Times New Roman"/>
                <w:b w:val="0"/>
                <w:bCs/>
                <w:i w:val="0"/>
                <w:caps w:val="0"/>
                <w:color w:val="auto"/>
                <w:spacing w:val="0"/>
                <w:sz w:val="21"/>
                <w:szCs w:val="21"/>
                <w:highlight w:val="none"/>
                <w:shd w:val="clear" w:color="auto" w:fill="FFFFFF"/>
              </w:rPr>
              <w:t>锦鸡儿</w:t>
            </w:r>
          </w:p>
        </w:tc>
        <w:tc>
          <w:tcPr>
            <w:tcW w:w="3821" w:type="dxa"/>
            <w:tcBorders>
              <w:tl2br w:val="nil"/>
              <w:tr2bl w:val="nil"/>
            </w:tcBorders>
            <w:noWrap w:val="0"/>
            <w:vAlign w:val="center"/>
          </w:tcPr>
          <w:p w14:paraId="516D8DCD">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aps w:val="0"/>
                <w:color w:val="auto"/>
                <w:spacing w:val="0"/>
                <w:sz w:val="21"/>
                <w:szCs w:val="21"/>
                <w:highlight w:val="none"/>
                <w:shd w:val="clear" w:color="auto" w:fill="FFFFFF"/>
              </w:rPr>
              <w:t>Caragana korshinskii</w:t>
            </w:r>
            <w:r>
              <w:rPr>
                <w:rFonts w:hint="default" w:ascii="Times New Roman" w:hAnsi="Times New Roman" w:eastAsia="宋体" w:cs="Times New Roman"/>
                <w:b w:val="0"/>
                <w:bCs/>
                <w:i w:val="0"/>
                <w:caps w:val="0"/>
                <w:color w:val="auto"/>
                <w:spacing w:val="0"/>
                <w:sz w:val="21"/>
                <w:szCs w:val="21"/>
                <w:highlight w:val="none"/>
                <w:shd w:val="clear" w:color="auto" w:fill="FFFFFF"/>
              </w:rPr>
              <w:t> Kom.</w:t>
            </w:r>
          </w:p>
        </w:tc>
      </w:tr>
      <w:tr w14:paraId="36048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tcBorders>
              <w:tl2br w:val="nil"/>
              <w:tr2bl w:val="nil"/>
            </w:tcBorders>
            <w:noWrap w:val="0"/>
            <w:vAlign w:val="center"/>
          </w:tcPr>
          <w:p w14:paraId="2001484F">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苋科</w:t>
            </w:r>
          </w:p>
        </w:tc>
        <w:tc>
          <w:tcPr>
            <w:tcW w:w="1640" w:type="dxa"/>
            <w:tcBorders>
              <w:tl2br w:val="nil"/>
              <w:tr2bl w:val="nil"/>
            </w:tcBorders>
            <w:noWrap w:val="0"/>
            <w:vAlign w:val="center"/>
          </w:tcPr>
          <w:p w14:paraId="26015D74">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猪毛菜属</w:t>
            </w:r>
          </w:p>
        </w:tc>
        <w:tc>
          <w:tcPr>
            <w:tcW w:w="1604" w:type="dxa"/>
            <w:tcBorders>
              <w:tl2br w:val="nil"/>
              <w:tr2bl w:val="nil"/>
            </w:tcBorders>
            <w:noWrap w:val="0"/>
            <w:vAlign w:val="center"/>
          </w:tcPr>
          <w:p w14:paraId="04B7E454">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猪毛菜</w:t>
            </w:r>
          </w:p>
        </w:tc>
        <w:tc>
          <w:tcPr>
            <w:tcW w:w="3821" w:type="dxa"/>
            <w:tcBorders>
              <w:tl2br w:val="nil"/>
              <w:tr2bl w:val="nil"/>
            </w:tcBorders>
            <w:noWrap w:val="0"/>
            <w:vAlign w:val="center"/>
          </w:tcPr>
          <w:p w14:paraId="037ED3EC">
            <w:pPr>
              <w:pStyle w:val="50"/>
              <w:widowControl w:val="0"/>
              <w:adjustRightInd/>
              <w:snapToGrid/>
              <w:spacing w:line="240" w:lineRule="auto"/>
              <w:ind w:firstLine="0" w:firstLineChars="0"/>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Kali collinum (Pall.) Akhani &amp; Roalson</w:t>
            </w:r>
          </w:p>
        </w:tc>
      </w:tr>
      <w:tr w14:paraId="41B61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restart"/>
            <w:tcBorders>
              <w:tl2br w:val="nil"/>
              <w:tr2bl w:val="nil"/>
            </w:tcBorders>
            <w:noWrap w:val="0"/>
            <w:vAlign w:val="center"/>
          </w:tcPr>
          <w:p w14:paraId="62B49BEA">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菊科</w:t>
            </w:r>
          </w:p>
        </w:tc>
        <w:tc>
          <w:tcPr>
            <w:tcW w:w="1640" w:type="dxa"/>
            <w:vMerge w:val="restart"/>
            <w:tcBorders>
              <w:tl2br w:val="nil"/>
              <w:tr2bl w:val="nil"/>
            </w:tcBorders>
            <w:noWrap w:val="0"/>
            <w:vAlign w:val="center"/>
          </w:tcPr>
          <w:p w14:paraId="4FBCC061">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蒿属</w:t>
            </w:r>
          </w:p>
        </w:tc>
        <w:tc>
          <w:tcPr>
            <w:tcW w:w="1604" w:type="dxa"/>
            <w:tcBorders>
              <w:tl2br w:val="nil"/>
              <w:tr2bl w:val="nil"/>
            </w:tcBorders>
            <w:noWrap w:val="0"/>
            <w:vAlign w:val="center"/>
          </w:tcPr>
          <w:p w14:paraId="1CB80CC7">
            <w:pPr>
              <w:pStyle w:val="50"/>
              <w:widowControl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val="en-US" w:eastAsia="zh-CN"/>
              </w:rPr>
              <w:t>猪毛蒿</w:t>
            </w:r>
          </w:p>
        </w:tc>
        <w:tc>
          <w:tcPr>
            <w:tcW w:w="3821" w:type="dxa"/>
            <w:tcBorders>
              <w:tl2br w:val="nil"/>
              <w:tr2bl w:val="nil"/>
            </w:tcBorders>
            <w:noWrap w:val="0"/>
            <w:vAlign w:val="center"/>
          </w:tcPr>
          <w:p w14:paraId="60440E5B">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Artemisia scoparia Waldst. &amp; Kit</w:t>
            </w:r>
          </w:p>
        </w:tc>
      </w:tr>
      <w:tr w14:paraId="4D500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vMerge w:val="continue"/>
            <w:tcBorders>
              <w:tl2br w:val="nil"/>
              <w:tr2bl w:val="nil"/>
            </w:tcBorders>
            <w:noWrap w:val="0"/>
            <w:vAlign w:val="center"/>
          </w:tcPr>
          <w:p w14:paraId="75EAFCCD">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40" w:type="dxa"/>
            <w:vMerge w:val="continue"/>
            <w:tcBorders>
              <w:tl2br w:val="nil"/>
              <w:tr2bl w:val="nil"/>
            </w:tcBorders>
            <w:noWrap w:val="0"/>
            <w:vAlign w:val="center"/>
          </w:tcPr>
          <w:p w14:paraId="68EC8BA6">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p>
        </w:tc>
        <w:tc>
          <w:tcPr>
            <w:tcW w:w="1604" w:type="dxa"/>
            <w:tcBorders>
              <w:tl2br w:val="nil"/>
              <w:tr2bl w:val="nil"/>
            </w:tcBorders>
            <w:noWrap w:val="0"/>
            <w:vAlign w:val="center"/>
          </w:tcPr>
          <w:p w14:paraId="7DB04330">
            <w:pPr>
              <w:pStyle w:val="50"/>
              <w:widowControl w:val="0"/>
              <w:adjustRightInd/>
              <w:snapToGrid/>
              <w:spacing w:line="240" w:lineRule="auto"/>
              <w:jc w:val="center"/>
              <w:textAlignment w:val="auto"/>
              <w:rPr>
                <w:rFonts w:hint="eastAsia"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铁杆蒿</w:t>
            </w:r>
          </w:p>
        </w:tc>
        <w:tc>
          <w:tcPr>
            <w:tcW w:w="3821" w:type="dxa"/>
            <w:tcBorders>
              <w:tl2br w:val="nil"/>
              <w:tr2bl w:val="nil"/>
            </w:tcBorders>
            <w:noWrap w:val="0"/>
            <w:vAlign w:val="center"/>
          </w:tcPr>
          <w:p w14:paraId="2824C7B4">
            <w:pPr>
              <w:pStyle w:val="50"/>
              <w:widowControl w:val="0"/>
              <w:adjustRightInd/>
              <w:snapToGrid/>
              <w:spacing w:line="240" w:lineRule="auto"/>
              <w:jc w:val="center"/>
              <w:textAlignment w:val="auto"/>
              <w:rPr>
                <w:rFonts w:hint="default" w:ascii="Times New Roman" w:hAnsi="Times New Roman" w:eastAsia="宋体" w:cs="Times New Roman"/>
                <w:b w:val="0"/>
                <w:bCs/>
                <w:i/>
                <w:color w:val="auto"/>
                <w:sz w:val="21"/>
                <w:szCs w:val="21"/>
                <w:highlight w:val="none"/>
              </w:rPr>
            </w:pPr>
            <w:r>
              <w:rPr>
                <w:rFonts w:hint="default" w:ascii="Times New Roman" w:hAnsi="Times New Roman" w:eastAsia="宋体" w:cs="Times New Roman"/>
                <w:b w:val="0"/>
                <w:bCs/>
                <w:i/>
                <w:color w:val="auto"/>
                <w:sz w:val="21"/>
                <w:szCs w:val="21"/>
                <w:highlight w:val="none"/>
              </w:rPr>
              <w:t>Artemisia gmelinii</w:t>
            </w:r>
          </w:p>
        </w:tc>
      </w:tr>
      <w:tr w14:paraId="5D6B1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7" w:type="dxa"/>
            <w:tcBorders>
              <w:tl2br w:val="nil"/>
              <w:tr2bl w:val="nil"/>
            </w:tcBorders>
            <w:noWrap w:val="0"/>
            <w:vAlign w:val="center"/>
          </w:tcPr>
          <w:p w14:paraId="5CEC4999">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胡颓子科</w:t>
            </w:r>
          </w:p>
        </w:tc>
        <w:tc>
          <w:tcPr>
            <w:tcW w:w="1640" w:type="dxa"/>
            <w:tcBorders>
              <w:tl2br w:val="nil"/>
              <w:tr2bl w:val="nil"/>
            </w:tcBorders>
            <w:noWrap w:val="0"/>
            <w:vAlign w:val="center"/>
          </w:tcPr>
          <w:p w14:paraId="1AB38DCD">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沙棘属</w:t>
            </w:r>
          </w:p>
        </w:tc>
        <w:tc>
          <w:tcPr>
            <w:tcW w:w="1604" w:type="dxa"/>
            <w:tcBorders>
              <w:tl2br w:val="nil"/>
              <w:tr2bl w:val="nil"/>
            </w:tcBorders>
            <w:noWrap w:val="0"/>
            <w:vAlign w:val="center"/>
          </w:tcPr>
          <w:p w14:paraId="02D870C9">
            <w:pPr>
              <w:pStyle w:val="50"/>
              <w:widowControl w:val="0"/>
              <w:adjustRightInd/>
              <w:snapToGrid/>
              <w:spacing w:line="240" w:lineRule="auto"/>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沙棘</w:t>
            </w:r>
          </w:p>
        </w:tc>
        <w:tc>
          <w:tcPr>
            <w:tcW w:w="3821" w:type="dxa"/>
            <w:tcBorders>
              <w:tl2br w:val="nil"/>
              <w:tr2bl w:val="nil"/>
            </w:tcBorders>
            <w:noWrap w:val="0"/>
            <w:vAlign w:val="center"/>
          </w:tcPr>
          <w:p w14:paraId="70E821FB">
            <w:pPr>
              <w:pStyle w:val="50"/>
              <w:widowControl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i/>
                <w:color w:val="auto"/>
                <w:sz w:val="21"/>
                <w:szCs w:val="21"/>
                <w:highlight w:val="none"/>
              </w:rPr>
              <w:t>Hippophae rhamnoides Linn.</w:t>
            </w:r>
          </w:p>
        </w:tc>
      </w:tr>
    </w:tbl>
    <w:p w14:paraId="343C6780">
      <w:pPr>
        <w:keepNext/>
        <w:keepLines/>
        <w:widowControl w:val="0"/>
        <w:bidi w:val="0"/>
        <w:spacing w:beforeLines="0" w:beforeAutospacing="0" w:afterLines="0" w:afterAutospacing="0" w:line="360" w:lineRule="auto"/>
        <w:ind w:firstLine="0"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3.3.3.2植被覆盖度</w:t>
      </w:r>
    </w:p>
    <w:p w14:paraId="0A7C9AF7">
      <w:pPr>
        <w:bidi w:val="0"/>
        <w:spacing w:line="360" w:lineRule="auto"/>
        <w:ind w:firstLine="480" w:firstLineChars="200"/>
        <w:rPr>
          <w:rFonts w:hint="default"/>
          <w:sz w:val="24"/>
          <w:szCs w:val="24"/>
          <w:lang w:val="en-US" w:eastAsia="zh-CN"/>
        </w:rPr>
      </w:pPr>
      <w:r>
        <w:rPr>
          <w:rFonts w:hint="default"/>
          <w:sz w:val="24"/>
          <w:szCs w:val="24"/>
          <w:lang w:val="en-US" w:eastAsia="zh-CN"/>
        </w:rPr>
        <w:t>采用《环境影响评价技术导则生态影响》（HJ19-2022）附录C中推荐的基于遥感估算植被覆盖度方法</w:t>
      </w:r>
      <w:r>
        <w:rPr>
          <w:rFonts w:hint="eastAsia"/>
          <w:sz w:val="24"/>
          <w:szCs w:val="24"/>
          <w:lang w:val="en-US" w:eastAsia="zh-CN"/>
        </w:rPr>
        <w:t>--</w:t>
      </w:r>
      <w:r>
        <w:rPr>
          <w:rFonts w:hint="default"/>
          <w:sz w:val="24"/>
          <w:szCs w:val="24"/>
          <w:lang w:val="en-US" w:eastAsia="zh-CN"/>
        </w:rPr>
        <w:t>植被指数法。植被指数法主要是通过对各像元中植被类型及分布特征的分析，建立植被指数与植被覆盖度的转换关系。采用归一化植被指数（NDVI）估算植被覆盖度的方法如下：</w:t>
      </w:r>
    </w:p>
    <w:p w14:paraId="6518C5A3">
      <w:pPr>
        <w:bidi w:val="0"/>
        <w:spacing w:line="360" w:lineRule="auto"/>
        <w:ind w:firstLine="480" w:firstLineChars="200"/>
        <w:rPr>
          <w:rFonts w:hint="default"/>
          <w:sz w:val="24"/>
          <w:szCs w:val="24"/>
          <w:lang w:val="en-US" w:eastAsia="zh-CN"/>
        </w:rPr>
      </w:pPr>
      <w:r>
        <w:rPr>
          <w:rFonts w:hint="default"/>
          <w:sz w:val="24"/>
          <w:szCs w:val="24"/>
          <w:lang w:val="en-US" w:eastAsia="zh-CN"/>
        </w:rPr>
        <w:t>FVC=（NDVI-NDVIS）/（NDVIV-NDVIS）</w:t>
      </w:r>
    </w:p>
    <w:p w14:paraId="14EA173D">
      <w:pPr>
        <w:bidi w:val="0"/>
        <w:spacing w:line="360" w:lineRule="auto"/>
        <w:ind w:firstLine="480" w:firstLineChars="200"/>
        <w:rPr>
          <w:rFonts w:hint="default"/>
          <w:sz w:val="24"/>
          <w:szCs w:val="24"/>
          <w:lang w:val="en-US" w:eastAsia="zh-CN"/>
        </w:rPr>
      </w:pPr>
      <w:r>
        <w:rPr>
          <w:rFonts w:hint="default"/>
          <w:sz w:val="24"/>
          <w:szCs w:val="24"/>
          <w:lang w:val="en-US" w:eastAsia="zh-CN"/>
        </w:rPr>
        <w:t>式中：FVC—所计算像元的植被覆盖度；</w:t>
      </w:r>
    </w:p>
    <w:p w14:paraId="76902C2C">
      <w:pPr>
        <w:bidi w:val="0"/>
        <w:spacing w:line="360" w:lineRule="auto"/>
        <w:ind w:firstLine="1200" w:firstLineChars="500"/>
        <w:rPr>
          <w:rFonts w:hint="default"/>
          <w:sz w:val="24"/>
          <w:szCs w:val="24"/>
          <w:lang w:val="en-US" w:eastAsia="zh-CN"/>
        </w:rPr>
      </w:pPr>
      <w:r>
        <w:rPr>
          <w:rFonts w:hint="default"/>
          <w:sz w:val="24"/>
          <w:szCs w:val="24"/>
          <w:lang w:val="en-US" w:eastAsia="zh-CN"/>
        </w:rPr>
        <w:t>NDVI—所计算像元的NDVI值；</w:t>
      </w:r>
    </w:p>
    <w:p w14:paraId="2C073757">
      <w:pPr>
        <w:bidi w:val="0"/>
        <w:spacing w:line="360" w:lineRule="auto"/>
        <w:ind w:firstLine="1200" w:firstLineChars="500"/>
        <w:rPr>
          <w:rFonts w:hint="default"/>
          <w:sz w:val="24"/>
          <w:szCs w:val="24"/>
          <w:lang w:val="en-US" w:eastAsia="zh-CN"/>
        </w:rPr>
      </w:pPr>
      <w:r>
        <w:rPr>
          <w:rFonts w:hint="default"/>
          <w:sz w:val="24"/>
          <w:szCs w:val="24"/>
          <w:lang w:val="en-US" w:eastAsia="zh-CN"/>
        </w:rPr>
        <w:t>NDVIV—纯植物像元的NDVI值；</w:t>
      </w:r>
    </w:p>
    <w:p w14:paraId="7AD0D71F">
      <w:pPr>
        <w:bidi w:val="0"/>
        <w:spacing w:line="360" w:lineRule="auto"/>
        <w:ind w:firstLine="1200" w:firstLineChars="500"/>
        <w:rPr>
          <w:rFonts w:hint="default"/>
          <w:sz w:val="24"/>
          <w:szCs w:val="24"/>
          <w:lang w:val="en-US" w:eastAsia="zh-CN"/>
        </w:rPr>
      </w:pPr>
      <w:r>
        <w:rPr>
          <w:rFonts w:hint="default"/>
          <w:sz w:val="24"/>
          <w:szCs w:val="24"/>
          <w:lang w:val="en-US" w:eastAsia="zh-CN"/>
        </w:rPr>
        <w:t>NDVIS—完全无植被覆盖像元的NDVI值。</w:t>
      </w:r>
    </w:p>
    <w:p w14:paraId="7BA9E6EB">
      <w:pPr>
        <w:bidi w:val="0"/>
        <w:spacing w:line="360" w:lineRule="auto"/>
        <w:ind w:firstLine="480" w:firstLineChars="200"/>
        <w:rPr>
          <w:rFonts w:hint="default"/>
          <w:b w:val="0"/>
          <w:bCs w:val="0"/>
          <w:sz w:val="24"/>
          <w:szCs w:val="24"/>
          <w:lang w:val="en-US" w:eastAsia="zh-CN"/>
        </w:rPr>
      </w:pPr>
      <w:r>
        <w:rPr>
          <w:rFonts w:hint="default"/>
          <w:sz w:val="24"/>
          <w:szCs w:val="24"/>
          <w:lang w:val="en-US" w:eastAsia="zh-CN"/>
        </w:rPr>
        <w:t>根据上述公式，利用ArcGIS中的栅格计算器来计算覆盖度。评价区植被覆盖度分级及面</w:t>
      </w:r>
      <w:r>
        <w:rPr>
          <w:rFonts w:hint="default"/>
          <w:b w:val="0"/>
          <w:bCs w:val="0"/>
          <w:sz w:val="24"/>
          <w:szCs w:val="24"/>
          <w:lang w:val="en-US" w:eastAsia="zh-CN"/>
        </w:rPr>
        <w:t>积统计见表</w:t>
      </w:r>
      <w:r>
        <w:rPr>
          <w:rFonts w:hint="eastAsia"/>
          <w:b w:val="0"/>
          <w:bCs w:val="0"/>
          <w:sz w:val="24"/>
          <w:szCs w:val="24"/>
          <w:lang w:val="en-US" w:eastAsia="zh-CN"/>
        </w:rPr>
        <w:t>3.3-6，植被覆盖度见下图</w:t>
      </w:r>
      <w:r>
        <w:rPr>
          <w:rFonts w:hint="default"/>
          <w:b w:val="0"/>
          <w:bCs w:val="0"/>
          <w:sz w:val="24"/>
          <w:szCs w:val="24"/>
          <w:lang w:val="en-US" w:eastAsia="zh-CN"/>
        </w:rPr>
        <w:t>。</w:t>
      </w:r>
    </w:p>
    <w:p w14:paraId="02C17760">
      <w:pPr>
        <w:bidi w:val="0"/>
        <w:spacing w:line="360" w:lineRule="auto"/>
        <w:jc w:val="center"/>
        <w:rPr>
          <w:rFonts w:hint="default" w:ascii="Times New Roman" w:hAnsi="Times New Roman" w:eastAsia="黑体" w:cs="Times New Roman"/>
          <w:b/>
          <w:bCs/>
          <w:sz w:val="24"/>
          <w:szCs w:val="24"/>
          <w:lang w:val="en-US" w:eastAsia="zh-CN"/>
        </w:rPr>
      </w:pPr>
      <w:r>
        <w:rPr>
          <w:rFonts w:hint="default" w:ascii="Times New Roman" w:hAnsi="Times New Roman" w:eastAsia="黑体" w:cs="Times New Roman"/>
          <w:b/>
          <w:bCs/>
          <w:sz w:val="24"/>
          <w:szCs w:val="24"/>
          <w:lang w:val="en-US" w:eastAsia="zh-CN"/>
        </w:rPr>
        <w:t>表3.3-6  评价区内植被覆盖度面积统计</w:t>
      </w:r>
    </w:p>
    <w:tbl>
      <w:tblPr>
        <w:tblStyle w:val="28"/>
        <w:tblW w:w="8510" w:type="dxa"/>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fixed"/>
        <w:tblCellMar>
          <w:top w:w="0" w:type="dxa"/>
          <w:left w:w="0" w:type="dxa"/>
          <w:bottom w:w="0" w:type="dxa"/>
          <w:right w:w="0" w:type="dxa"/>
        </w:tblCellMar>
      </w:tblPr>
      <w:tblGrid>
        <w:gridCol w:w="3887"/>
        <w:gridCol w:w="2520"/>
        <w:gridCol w:w="2103"/>
      </w:tblGrid>
      <w:tr w14:paraId="695F441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top w:val="single" w:color="000000" w:sz="12" w:space="0"/>
              <w:left w:val="nil"/>
              <w:tl2br w:val="nil"/>
            </w:tcBorders>
            <w:shd w:val="clear" w:color="auto" w:fill="auto"/>
            <w:noWrap w:val="0"/>
            <w:vAlign w:val="center"/>
          </w:tcPr>
          <w:p w14:paraId="68947E83">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覆盖度</w:t>
            </w:r>
          </w:p>
        </w:tc>
        <w:tc>
          <w:tcPr>
            <w:tcW w:w="2520" w:type="dxa"/>
            <w:tcBorders>
              <w:top w:val="single" w:color="000000" w:sz="12" w:space="0"/>
            </w:tcBorders>
            <w:shd w:val="clear" w:color="auto" w:fill="auto"/>
            <w:noWrap w:val="0"/>
            <w:vAlign w:val="center"/>
          </w:tcPr>
          <w:p w14:paraId="3A0E900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面积（hm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w:t>
            </w:r>
          </w:p>
        </w:tc>
        <w:tc>
          <w:tcPr>
            <w:tcW w:w="2103" w:type="dxa"/>
            <w:tcBorders>
              <w:top w:val="single" w:color="000000" w:sz="12" w:space="0"/>
              <w:right w:val="nil"/>
            </w:tcBorders>
            <w:shd w:val="clear" w:color="auto" w:fill="auto"/>
            <w:noWrap w:val="0"/>
            <w:vAlign w:val="center"/>
          </w:tcPr>
          <w:p w14:paraId="79727CC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占评价区比例</w:t>
            </w:r>
          </w:p>
        </w:tc>
      </w:tr>
      <w:tr w14:paraId="5178A99F">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tcBorders>
            <w:shd w:val="clear" w:color="auto" w:fill="auto"/>
            <w:noWrap w:val="0"/>
            <w:vAlign w:val="center"/>
          </w:tcPr>
          <w:p w14:paraId="6A86680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低覆盖度：＜20%</w:t>
            </w:r>
          </w:p>
        </w:tc>
        <w:tc>
          <w:tcPr>
            <w:tcW w:w="2520" w:type="dxa"/>
            <w:shd w:val="clear" w:color="auto" w:fill="auto"/>
            <w:noWrap w:val="0"/>
            <w:vAlign w:val="center"/>
          </w:tcPr>
          <w:p w14:paraId="7687303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202.41</w:t>
            </w:r>
          </w:p>
        </w:tc>
        <w:tc>
          <w:tcPr>
            <w:tcW w:w="2103" w:type="dxa"/>
            <w:tcBorders>
              <w:right w:val="nil"/>
            </w:tcBorders>
            <w:shd w:val="clear" w:color="auto" w:fill="auto"/>
            <w:noWrap w:val="0"/>
            <w:vAlign w:val="center"/>
          </w:tcPr>
          <w:p w14:paraId="09B5B9F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18.09%</w:t>
            </w:r>
          </w:p>
        </w:tc>
      </w:tr>
      <w:tr w14:paraId="346DCDCC">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tcBorders>
            <w:shd w:val="clear" w:color="auto" w:fill="auto"/>
            <w:noWrap w:val="0"/>
            <w:vAlign w:val="center"/>
          </w:tcPr>
          <w:p w14:paraId="6953301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较低植被覆盖度：20%~40%</w:t>
            </w:r>
          </w:p>
        </w:tc>
        <w:tc>
          <w:tcPr>
            <w:tcW w:w="2520" w:type="dxa"/>
            <w:shd w:val="clear" w:color="auto" w:fill="auto"/>
            <w:noWrap w:val="0"/>
            <w:vAlign w:val="center"/>
          </w:tcPr>
          <w:p w14:paraId="2F45AEF4">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357.30</w:t>
            </w:r>
          </w:p>
        </w:tc>
        <w:tc>
          <w:tcPr>
            <w:tcW w:w="2103" w:type="dxa"/>
            <w:tcBorders>
              <w:right w:val="nil"/>
            </w:tcBorders>
            <w:shd w:val="clear" w:color="auto" w:fill="auto"/>
            <w:noWrap w:val="0"/>
            <w:vAlign w:val="center"/>
          </w:tcPr>
          <w:p w14:paraId="31C32523">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31.93%</w:t>
            </w:r>
          </w:p>
        </w:tc>
      </w:tr>
      <w:tr w14:paraId="7B480C2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tcBorders>
            <w:shd w:val="clear" w:color="auto" w:fill="auto"/>
            <w:noWrap w:val="0"/>
            <w:vAlign w:val="center"/>
          </w:tcPr>
          <w:p w14:paraId="7E354F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中植被覆盖度：40%~60%</w:t>
            </w:r>
          </w:p>
        </w:tc>
        <w:tc>
          <w:tcPr>
            <w:tcW w:w="2520" w:type="dxa"/>
            <w:shd w:val="clear" w:color="auto" w:fill="auto"/>
            <w:noWrap w:val="0"/>
            <w:vAlign w:val="center"/>
          </w:tcPr>
          <w:p w14:paraId="5FB7EFCE">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391.05</w:t>
            </w:r>
          </w:p>
        </w:tc>
        <w:tc>
          <w:tcPr>
            <w:tcW w:w="2103" w:type="dxa"/>
            <w:tcBorders>
              <w:right w:val="nil"/>
            </w:tcBorders>
            <w:shd w:val="clear" w:color="auto" w:fill="auto"/>
            <w:noWrap w:val="0"/>
            <w:vAlign w:val="center"/>
          </w:tcPr>
          <w:p w14:paraId="2C8C152F">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34.95%</w:t>
            </w:r>
          </w:p>
        </w:tc>
      </w:tr>
      <w:tr w14:paraId="68DC05F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tcBorders>
            <w:shd w:val="clear" w:color="auto" w:fill="auto"/>
            <w:noWrap w:val="0"/>
            <w:vAlign w:val="center"/>
          </w:tcPr>
          <w:p w14:paraId="7A020B9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较高植被覆盖度：60%~80%</w:t>
            </w:r>
          </w:p>
        </w:tc>
        <w:tc>
          <w:tcPr>
            <w:tcW w:w="2520" w:type="dxa"/>
            <w:shd w:val="clear" w:color="auto" w:fill="auto"/>
            <w:noWrap w:val="0"/>
            <w:vAlign w:val="center"/>
          </w:tcPr>
          <w:p w14:paraId="6E124B9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129.42</w:t>
            </w:r>
          </w:p>
        </w:tc>
        <w:tc>
          <w:tcPr>
            <w:tcW w:w="2103" w:type="dxa"/>
            <w:tcBorders>
              <w:right w:val="nil"/>
            </w:tcBorders>
            <w:shd w:val="clear" w:color="auto" w:fill="auto"/>
            <w:noWrap w:val="0"/>
            <w:vAlign w:val="center"/>
          </w:tcPr>
          <w:p w14:paraId="47F2B1E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11.57%</w:t>
            </w:r>
          </w:p>
        </w:tc>
      </w:tr>
      <w:tr w14:paraId="0B747FF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tcBorders>
            <w:shd w:val="clear" w:color="auto" w:fill="auto"/>
            <w:noWrap w:val="0"/>
            <w:vAlign w:val="center"/>
          </w:tcPr>
          <w:p w14:paraId="44FDED2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高植被覆盖度：＞80%</w:t>
            </w:r>
          </w:p>
        </w:tc>
        <w:tc>
          <w:tcPr>
            <w:tcW w:w="2520" w:type="dxa"/>
            <w:shd w:val="clear" w:color="auto" w:fill="auto"/>
            <w:noWrap w:val="0"/>
            <w:vAlign w:val="center"/>
          </w:tcPr>
          <w:p w14:paraId="4B741CD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38.80</w:t>
            </w:r>
          </w:p>
        </w:tc>
        <w:tc>
          <w:tcPr>
            <w:tcW w:w="2103" w:type="dxa"/>
            <w:tcBorders>
              <w:right w:val="nil"/>
            </w:tcBorders>
            <w:shd w:val="clear" w:color="auto" w:fill="auto"/>
            <w:noWrap w:val="0"/>
            <w:vAlign w:val="center"/>
          </w:tcPr>
          <w:p w14:paraId="3F5AC5D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3.47%</w:t>
            </w:r>
          </w:p>
        </w:tc>
      </w:tr>
      <w:tr w14:paraId="1E34D3B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887" w:type="dxa"/>
            <w:tcBorders>
              <w:left w:val="nil"/>
              <w:bottom w:val="single" w:color="000000" w:sz="12" w:space="0"/>
            </w:tcBorders>
            <w:shd w:val="clear" w:color="auto" w:fill="auto"/>
            <w:noWrap w:val="0"/>
            <w:vAlign w:val="center"/>
          </w:tcPr>
          <w:p w14:paraId="1BC91B2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2520" w:type="dxa"/>
            <w:tcBorders>
              <w:bottom w:val="single" w:color="000000" w:sz="12" w:space="0"/>
            </w:tcBorders>
            <w:shd w:val="clear" w:color="auto" w:fill="auto"/>
            <w:noWrap w:val="0"/>
            <w:vAlign w:val="center"/>
          </w:tcPr>
          <w:p w14:paraId="43CC595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1118.98</w:t>
            </w:r>
          </w:p>
        </w:tc>
        <w:tc>
          <w:tcPr>
            <w:tcW w:w="2103" w:type="dxa"/>
            <w:tcBorders>
              <w:bottom w:val="single" w:color="000000" w:sz="12" w:space="0"/>
              <w:right w:val="nil"/>
            </w:tcBorders>
            <w:shd w:val="clear" w:color="auto" w:fill="auto"/>
            <w:noWrap w:val="0"/>
            <w:vAlign w:val="center"/>
          </w:tcPr>
          <w:p w14:paraId="6ED1422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100.00%</w:t>
            </w:r>
          </w:p>
        </w:tc>
      </w:tr>
    </w:tbl>
    <w:p w14:paraId="0613E86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根据遥感影像解译结果可知，本项目在9月份植被旺盛期的植被覆盖度以中植、较</w:t>
      </w:r>
      <w:r>
        <w:rPr>
          <w:rFonts w:hint="eastAsia" w:ascii="Times New Roman" w:hAnsi="Times New Roman" w:eastAsia="宋体" w:cs="Times New Roman"/>
          <w:color w:val="auto"/>
          <w:sz w:val="24"/>
          <w:szCs w:val="24"/>
          <w:highlight w:val="none"/>
          <w:lang w:val="en-US" w:eastAsia="zh-CN"/>
        </w:rPr>
        <w:t>低</w:t>
      </w:r>
      <w:r>
        <w:rPr>
          <w:rFonts w:hint="default" w:ascii="Times New Roman" w:hAnsi="Times New Roman" w:eastAsia="宋体" w:cs="Times New Roman"/>
          <w:color w:val="auto"/>
          <w:sz w:val="24"/>
          <w:szCs w:val="24"/>
          <w:highlight w:val="none"/>
          <w:lang w:val="en-US" w:eastAsia="zh-CN"/>
        </w:rPr>
        <w:t>植被覆盖度为主，面积分别为</w:t>
      </w:r>
      <w:r>
        <w:rPr>
          <w:rFonts w:hint="eastAsia" w:ascii="Times New Roman" w:hAnsi="Times New Roman" w:eastAsia="宋体" w:cs="Times New Roman"/>
          <w:color w:val="auto"/>
          <w:sz w:val="24"/>
          <w:szCs w:val="24"/>
          <w:highlight w:val="none"/>
          <w:lang w:val="en-US" w:eastAsia="zh-CN"/>
        </w:rPr>
        <w:t>391.05</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357.30</w:t>
      </w:r>
      <w:r>
        <w:rPr>
          <w:rFonts w:hint="default" w:ascii="Times New Roman" w:hAnsi="Times New Roman" w:eastAsia="宋体" w:cs="Times New Roman"/>
          <w:color w:val="auto"/>
          <w:sz w:val="24"/>
          <w:szCs w:val="24"/>
          <w:highlight w:val="none"/>
          <w:lang w:val="en-US" w:eastAsia="zh-CN"/>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，占评价区的</w:t>
      </w:r>
      <w:r>
        <w:rPr>
          <w:rFonts w:hint="eastAsia" w:ascii="Times New Roman" w:hAnsi="Times New Roman" w:eastAsia="宋体" w:cs="Times New Roman"/>
          <w:color w:val="auto"/>
          <w:sz w:val="24"/>
          <w:szCs w:val="24"/>
          <w:highlight w:val="none"/>
          <w:lang w:val="en-US" w:eastAsia="zh-CN"/>
        </w:rPr>
        <w:t>34.95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31.93</w:t>
      </w:r>
      <w:r>
        <w:rPr>
          <w:rFonts w:hint="default" w:ascii="Times New Roman" w:hAnsi="Times New Roman" w:eastAsia="宋体" w:cs="Times New Roman"/>
          <w:color w:val="auto"/>
          <w:sz w:val="24"/>
          <w:szCs w:val="24"/>
          <w:highlight w:val="none"/>
          <w:lang w:val="en-US" w:eastAsia="zh-CN"/>
        </w:rPr>
        <w:t>%。</w:t>
      </w:r>
    </w:p>
    <w:p w14:paraId="47501476">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eastAsia="黑体" w:cs="Times New Roman"/>
          <w:b w:val="0"/>
          <w:bCs w:val="0"/>
          <w:color w:val="auto"/>
          <w:sz w:val="24"/>
          <w:szCs w:val="24"/>
          <w:highlight w:val="none"/>
          <w:lang w:val="en-US" w:eastAsia="zh-CN"/>
        </w:rPr>
        <w:t>******</w:t>
      </w:r>
    </w:p>
    <w:p w14:paraId="035825AA">
      <w:pPr>
        <w:keepNext/>
        <w:keepLines/>
        <w:widowControl w:val="0"/>
        <w:bidi w:val="0"/>
        <w:spacing w:beforeLines="0" w:beforeAutospacing="0" w:afterLines="0" w:afterAutospacing="0" w:line="360" w:lineRule="auto"/>
        <w:ind w:firstLine="0" w:firstLineChars="0"/>
        <w:jc w:val="left"/>
        <w:outlineLvl w:val="2"/>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3.3.4生态系统类型</w:t>
      </w:r>
    </w:p>
    <w:p w14:paraId="60173638">
      <w:pPr>
        <w:bidi w:val="0"/>
        <w:spacing w:line="360" w:lineRule="auto"/>
        <w:ind w:firstLine="480" w:firstLineChars="200"/>
        <w:rPr>
          <w:rFonts w:hint="default"/>
          <w:lang w:val="en-US" w:eastAsia="zh-CN"/>
        </w:rPr>
      </w:pPr>
      <w:r>
        <w:rPr>
          <w:rFonts w:hint="default" w:ascii="Times New Roman" w:hAnsi="Times New Roman" w:cs="Times New Roman"/>
          <w:sz w:val="24"/>
          <w:szCs w:val="24"/>
          <w:lang w:val="en-US" w:eastAsia="zh-CN"/>
        </w:rPr>
        <w:t>评价区生态系统多样，包括森林生态系统、灌丛生态系统、草地生态系统、农田生态系统、湿地生态系统、城镇生态系统等，详见表3.3-7</w:t>
      </w:r>
      <w:r>
        <w:rPr>
          <w:rFonts w:hint="eastAsia" w:cs="Times New Roman"/>
          <w:sz w:val="24"/>
          <w:szCs w:val="24"/>
          <w:lang w:val="en-US" w:eastAsia="zh-CN"/>
        </w:rPr>
        <w:t>和下图</w:t>
      </w:r>
      <w:r>
        <w:rPr>
          <w:rFonts w:hint="default" w:ascii="Times New Roman" w:hAnsi="Times New Roman" w:cs="Times New Roman"/>
          <w:sz w:val="24"/>
          <w:szCs w:val="24"/>
          <w:lang w:val="en-US" w:eastAsia="zh-CN"/>
        </w:rPr>
        <w:t>。</w:t>
      </w:r>
    </w:p>
    <w:p w14:paraId="433B3285">
      <w:pPr>
        <w:keepNext w:val="0"/>
        <w:keepLines w:val="0"/>
        <w:pageBreakBefore w:val="0"/>
        <w:widowControl w:val="0"/>
        <w:tabs>
          <w:tab w:val="left" w:pos="4439"/>
        </w:tabs>
        <w:kinsoku/>
        <w:wordWrap/>
        <w:overflowPunct/>
        <w:topLinePunct w:val="0"/>
        <w:autoSpaceDE/>
        <w:autoSpaceDN/>
        <w:bidi w:val="0"/>
        <w:adjustRightInd/>
        <w:snapToGrid/>
        <w:spacing w:before="0" w:line="360" w:lineRule="auto"/>
        <w:ind w:left="0" w:right="0" w:firstLine="0" w:firstLineChars="0"/>
        <w:jc w:val="center"/>
        <w:textAlignment w:val="auto"/>
        <w:rPr>
          <w:rFonts w:hint="default" w:ascii="Times New Roman" w:hAnsi="Times New Roman" w:eastAsia="黑体" w:cs="Times New Roman"/>
          <w:b/>
          <w:spacing w:val="0"/>
          <w:w w:val="100"/>
          <w:position w:val="0"/>
          <w:sz w:val="24"/>
          <w:szCs w:val="24"/>
          <w:highlight w:val="none"/>
        </w:rPr>
      </w:pPr>
      <w:r>
        <w:rPr>
          <w:rFonts w:hint="default" w:ascii="Times New Roman" w:hAnsi="Times New Roman" w:eastAsia="黑体" w:cs="Times New Roman"/>
          <w:b/>
          <w:bCs w:val="0"/>
          <w:spacing w:val="0"/>
          <w:w w:val="100"/>
          <w:position w:val="0"/>
          <w:sz w:val="24"/>
          <w:szCs w:val="24"/>
          <w:highlight w:val="none"/>
        </w:rPr>
        <w:t>表</w:t>
      </w:r>
      <w:r>
        <w:rPr>
          <w:rFonts w:hint="default" w:ascii="Times New Roman" w:hAnsi="Times New Roman" w:eastAsia="黑体" w:cs="Times New Roman"/>
          <w:b/>
          <w:bCs w:val="0"/>
          <w:sz w:val="24"/>
          <w:szCs w:val="24"/>
          <w:lang w:val="en-US" w:eastAsia="zh-CN"/>
        </w:rPr>
        <w:t>3.3-7</w:t>
      </w:r>
      <w:r>
        <w:rPr>
          <w:rFonts w:hint="default" w:ascii="Times New Roman" w:hAnsi="Times New Roman" w:eastAsia="黑体" w:cs="Times New Roman"/>
          <w:b/>
          <w:bCs w:val="0"/>
          <w:spacing w:val="0"/>
          <w:w w:val="100"/>
          <w:position w:val="0"/>
          <w:sz w:val="24"/>
          <w:szCs w:val="24"/>
          <w:highlight w:val="none"/>
          <w:lang w:val="en-US" w:eastAsia="zh-CN"/>
        </w:rPr>
        <w:t xml:space="preserve">  </w:t>
      </w:r>
      <w:r>
        <w:rPr>
          <w:rFonts w:hint="default" w:ascii="Times New Roman" w:hAnsi="Times New Roman" w:eastAsia="黑体" w:cs="Times New Roman"/>
          <w:b/>
          <w:bCs w:val="0"/>
          <w:spacing w:val="0"/>
          <w:w w:val="100"/>
          <w:position w:val="0"/>
          <w:sz w:val="24"/>
          <w:szCs w:val="24"/>
          <w:highlight w:val="none"/>
        </w:rPr>
        <w:t>评价区生态系统类型</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31"/>
        <w:gridCol w:w="2304"/>
        <w:gridCol w:w="2451"/>
        <w:gridCol w:w="1733"/>
        <w:gridCol w:w="1300"/>
      </w:tblGrid>
      <w:tr w14:paraId="4F0C61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23" w:hRule="atLeast"/>
          <w:tblHeader/>
        </w:trPr>
        <w:tc>
          <w:tcPr>
            <w:tcW w:w="429" w:type="pct"/>
            <w:vMerge w:val="restart"/>
            <w:tcBorders>
              <w:tl2br w:val="nil"/>
              <w:tr2bl w:val="nil"/>
            </w:tcBorders>
            <w:shd w:val="clear" w:color="auto" w:fill="auto"/>
            <w:noWrap/>
            <w:vAlign w:val="center"/>
          </w:tcPr>
          <w:p w14:paraId="5020BE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790" w:type="pct"/>
            <w:gridSpan w:val="2"/>
            <w:tcBorders>
              <w:tl2br w:val="nil"/>
              <w:tr2bl w:val="nil"/>
            </w:tcBorders>
            <w:shd w:val="clear" w:color="auto" w:fill="auto"/>
            <w:noWrap/>
            <w:vAlign w:val="center"/>
          </w:tcPr>
          <w:p w14:paraId="3C02E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生态系统类型</w:t>
            </w:r>
          </w:p>
        </w:tc>
        <w:tc>
          <w:tcPr>
            <w:tcW w:w="1017" w:type="pct"/>
            <w:vMerge w:val="restart"/>
            <w:tcBorders>
              <w:tl2br w:val="nil"/>
              <w:tr2bl w:val="nil"/>
            </w:tcBorders>
            <w:shd w:val="clear" w:color="auto" w:fill="auto"/>
            <w:noWrap/>
            <w:vAlign w:val="center"/>
          </w:tcPr>
          <w:p w14:paraId="26E88A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面积（hm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763" w:type="pct"/>
            <w:vMerge w:val="restart"/>
            <w:tcBorders>
              <w:tl2br w:val="nil"/>
              <w:tr2bl w:val="nil"/>
            </w:tcBorders>
            <w:shd w:val="clear" w:color="auto" w:fill="auto"/>
            <w:noWrap/>
            <w:vAlign w:val="center"/>
          </w:tcPr>
          <w:p w14:paraId="24563A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比例（%）</w:t>
            </w:r>
          </w:p>
        </w:tc>
      </w:tr>
      <w:tr w14:paraId="5E503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blHeader/>
        </w:trPr>
        <w:tc>
          <w:tcPr>
            <w:tcW w:w="429" w:type="pct"/>
            <w:vMerge w:val="continue"/>
            <w:tcBorders>
              <w:tl2br w:val="nil"/>
              <w:tr2bl w:val="nil"/>
            </w:tcBorders>
            <w:shd w:val="clear" w:color="auto" w:fill="auto"/>
            <w:noWrap/>
            <w:vAlign w:val="center"/>
          </w:tcPr>
          <w:p w14:paraId="592067E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000000"/>
                <w:sz w:val="21"/>
                <w:szCs w:val="21"/>
                <w:u w:val="none"/>
              </w:rPr>
            </w:pPr>
          </w:p>
        </w:tc>
        <w:tc>
          <w:tcPr>
            <w:tcW w:w="1352" w:type="pct"/>
            <w:tcBorders>
              <w:tl2br w:val="nil"/>
              <w:tr2bl w:val="nil"/>
            </w:tcBorders>
            <w:shd w:val="clear" w:color="auto" w:fill="auto"/>
            <w:vAlign w:val="center"/>
          </w:tcPr>
          <w:p w14:paraId="2BD53EAC">
            <w:pPr>
              <w:keepNext w:val="0"/>
              <w:keepLines w:val="0"/>
              <w:pageBreakBefore w:val="0"/>
              <w:widowControl/>
              <w:suppressLineNumbers w:val="0"/>
              <w:kinsoku/>
              <w:wordWrap/>
              <w:overflowPunct/>
              <w:topLinePunct w:val="0"/>
              <w:autoSpaceDE/>
              <w:autoSpaceDN/>
              <w:bidi w:val="0"/>
              <w:adjustRightInd/>
              <w:snapToGrid/>
              <w:ind w:firstLineChars="20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I级</w:t>
            </w:r>
          </w:p>
        </w:tc>
        <w:tc>
          <w:tcPr>
            <w:tcW w:w="1438" w:type="pct"/>
            <w:tcBorders>
              <w:tl2br w:val="nil"/>
              <w:tr2bl w:val="nil"/>
            </w:tcBorders>
            <w:shd w:val="clear" w:color="auto" w:fill="auto"/>
            <w:vAlign w:val="center"/>
          </w:tcPr>
          <w:p w14:paraId="2F3D9B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II级</w:t>
            </w:r>
          </w:p>
        </w:tc>
        <w:tc>
          <w:tcPr>
            <w:tcW w:w="1017" w:type="pct"/>
            <w:vMerge w:val="continue"/>
            <w:tcBorders>
              <w:tl2br w:val="nil"/>
              <w:tr2bl w:val="nil"/>
            </w:tcBorders>
            <w:shd w:val="clear" w:color="auto" w:fill="auto"/>
            <w:noWrap/>
            <w:vAlign w:val="center"/>
          </w:tcPr>
          <w:p w14:paraId="0268B18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763" w:type="pct"/>
            <w:vMerge w:val="continue"/>
            <w:tcBorders>
              <w:tl2br w:val="nil"/>
              <w:tr2bl w:val="nil"/>
            </w:tcBorders>
            <w:shd w:val="clear" w:color="auto" w:fill="auto"/>
            <w:noWrap/>
            <w:vAlign w:val="center"/>
          </w:tcPr>
          <w:p w14:paraId="34240A8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r>
      <w:tr w14:paraId="1D0DD3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29" w:type="pct"/>
            <w:vMerge w:val="restart"/>
            <w:tcBorders>
              <w:tl2br w:val="nil"/>
              <w:tr2bl w:val="nil"/>
            </w:tcBorders>
            <w:shd w:val="clear" w:color="auto" w:fill="auto"/>
            <w:noWrap/>
            <w:vAlign w:val="center"/>
          </w:tcPr>
          <w:p w14:paraId="3BCDB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352" w:type="pct"/>
            <w:vMerge w:val="restart"/>
            <w:tcBorders>
              <w:tl2br w:val="nil"/>
              <w:tr2bl w:val="nil"/>
            </w:tcBorders>
            <w:shd w:val="clear" w:color="auto" w:fill="auto"/>
            <w:noWrap/>
            <w:vAlign w:val="center"/>
          </w:tcPr>
          <w:p w14:paraId="3F832C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森林生态系统  </w:t>
            </w:r>
          </w:p>
        </w:tc>
        <w:tc>
          <w:tcPr>
            <w:tcW w:w="1438" w:type="pct"/>
            <w:tcBorders>
              <w:tl2br w:val="nil"/>
              <w:tr2bl w:val="nil"/>
            </w:tcBorders>
            <w:shd w:val="clear" w:color="auto" w:fill="auto"/>
            <w:noWrap/>
            <w:vAlign w:val="center"/>
          </w:tcPr>
          <w:p w14:paraId="778193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阔叶林</w:t>
            </w:r>
          </w:p>
        </w:tc>
        <w:tc>
          <w:tcPr>
            <w:tcW w:w="1017" w:type="pct"/>
            <w:tcBorders>
              <w:tl2br w:val="nil"/>
              <w:tr2bl w:val="nil"/>
            </w:tcBorders>
            <w:shd w:val="clear" w:color="auto" w:fill="auto"/>
            <w:noWrap/>
            <w:vAlign w:val="center"/>
          </w:tcPr>
          <w:p w14:paraId="2D8E42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145.86 </w:t>
            </w:r>
          </w:p>
        </w:tc>
        <w:tc>
          <w:tcPr>
            <w:tcW w:w="763" w:type="pct"/>
            <w:tcBorders>
              <w:tl2br w:val="nil"/>
              <w:tr2bl w:val="nil"/>
            </w:tcBorders>
            <w:shd w:val="clear" w:color="auto" w:fill="auto"/>
            <w:noWrap/>
            <w:vAlign w:val="center"/>
          </w:tcPr>
          <w:p w14:paraId="1D8367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13.03 </w:t>
            </w:r>
          </w:p>
        </w:tc>
      </w:tr>
      <w:tr w14:paraId="1E450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continue"/>
            <w:tcBorders>
              <w:tl2br w:val="nil"/>
              <w:tr2bl w:val="nil"/>
            </w:tcBorders>
            <w:shd w:val="clear" w:color="auto" w:fill="auto"/>
            <w:noWrap/>
            <w:vAlign w:val="center"/>
          </w:tcPr>
          <w:p w14:paraId="44C5C6A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2" w:type="pct"/>
            <w:vMerge w:val="continue"/>
            <w:tcBorders>
              <w:tl2br w:val="nil"/>
              <w:tr2bl w:val="nil"/>
            </w:tcBorders>
            <w:shd w:val="clear" w:color="auto" w:fill="auto"/>
            <w:noWrap/>
            <w:vAlign w:val="center"/>
          </w:tcPr>
          <w:p w14:paraId="6984E4B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438" w:type="pct"/>
            <w:tcBorders>
              <w:tl2br w:val="nil"/>
              <w:tr2bl w:val="nil"/>
            </w:tcBorders>
            <w:shd w:val="clear" w:color="auto" w:fill="auto"/>
            <w:noWrap/>
            <w:vAlign w:val="center"/>
          </w:tcPr>
          <w:p w14:paraId="3A2F8E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针、阔混交林</w:t>
            </w:r>
          </w:p>
        </w:tc>
        <w:tc>
          <w:tcPr>
            <w:tcW w:w="1017" w:type="pct"/>
            <w:tcBorders>
              <w:tl2br w:val="nil"/>
              <w:tr2bl w:val="nil"/>
            </w:tcBorders>
            <w:shd w:val="clear" w:color="auto" w:fill="auto"/>
            <w:noWrap/>
            <w:vAlign w:val="center"/>
          </w:tcPr>
          <w:p w14:paraId="7FCEE4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100.43 </w:t>
            </w:r>
          </w:p>
        </w:tc>
        <w:tc>
          <w:tcPr>
            <w:tcW w:w="763" w:type="pct"/>
            <w:tcBorders>
              <w:tl2br w:val="nil"/>
              <w:tr2bl w:val="nil"/>
            </w:tcBorders>
            <w:shd w:val="clear" w:color="auto" w:fill="auto"/>
            <w:noWrap/>
            <w:vAlign w:val="center"/>
          </w:tcPr>
          <w:p w14:paraId="62CBFF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8.98 </w:t>
            </w:r>
          </w:p>
        </w:tc>
      </w:tr>
      <w:tr w14:paraId="714A18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tcBorders>
              <w:tl2br w:val="nil"/>
              <w:tr2bl w:val="nil"/>
            </w:tcBorders>
            <w:shd w:val="clear" w:color="auto" w:fill="auto"/>
            <w:noWrap/>
            <w:vAlign w:val="center"/>
          </w:tcPr>
          <w:p w14:paraId="1A80F0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352" w:type="pct"/>
            <w:tcBorders>
              <w:tl2br w:val="nil"/>
              <w:tr2bl w:val="nil"/>
            </w:tcBorders>
            <w:shd w:val="clear" w:color="auto" w:fill="auto"/>
            <w:noWrap/>
            <w:vAlign w:val="center"/>
          </w:tcPr>
          <w:p w14:paraId="1557EB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灌丛生态系统  </w:t>
            </w:r>
          </w:p>
        </w:tc>
        <w:tc>
          <w:tcPr>
            <w:tcW w:w="1438" w:type="pct"/>
            <w:tcBorders>
              <w:tl2br w:val="nil"/>
              <w:tr2bl w:val="nil"/>
            </w:tcBorders>
            <w:shd w:val="clear" w:color="auto" w:fill="auto"/>
            <w:vAlign w:val="center"/>
          </w:tcPr>
          <w:p w14:paraId="631F7F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阔叶灌丛</w:t>
            </w:r>
          </w:p>
        </w:tc>
        <w:tc>
          <w:tcPr>
            <w:tcW w:w="1017" w:type="pct"/>
            <w:tcBorders>
              <w:tl2br w:val="nil"/>
              <w:tr2bl w:val="nil"/>
            </w:tcBorders>
            <w:shd w:val="clear" w:color="auto" w:fill="auto"/>
            <w:noWrap/>
            <w:vAlign w:val="center"/>
          </w:tcPr>
          <w:p w14:paraId="68D987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19.28 </w:t>
            </w:r>
          </w:p>
        </w:tc>
        <w:tc>
          <w:tcPr>
            <w:tcW w:w="763" w:type="pct"/>
            <w:tcBorders>
              <w:tl2br w:val="nil"/>
              <w:tr2bl w:val="nil"/>
            </w:tcBorders>
            <w:shd w:val="clear" w:color="auto" w:fill="auto"/>
            <w:noWrap/>
            <w:vAlign w:val="center"/>
          </w:tcPr>
          <w:p w14:paraId="0FE6A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1.72 </w:t>
            </w:r>
          </w:p>
        </w:tc>
      </w:tr>
      <w:tr w14:paraId="540C6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tcBorders>
              <w:tl2br w:val="nil"/>
              <w:tr2bl w:val="nil"/>
            </w:tcBorders>
            <w:shd w:val="clear" w:color="auto" w:fill="auto"/>
            <w:noWrap/>
            <w:vAlign w:val="center"/>
          </w:tcPr>
          <w:p w14:paraId="1C0201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52" w:type="pct"/>
            <w:tcBorders>
              <w:tl2br w:val="nil"/>
              <w:tr2bl w:val="nil"/>
            </w:tcBorders>
            <w:shd w:val="clear" w:color="auto" w:fill="auto"/>
            <w:noWrap/>
            <w:vAlign w:val="center"/>
          </w:tcPr>
          <w:p w14:paraId="73FC75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草地生态系统  </w:t>
            </w:r>
          </w:p>
        </w:tc>
        <w:tc>
          <w:tcPr>
            <w:tcW w:w="1438" w:type="pct"/>
            <w:tcBorders>
              <w:tl2br w:val="nil"/>
              <w:tr2bl w:val="nil"/>
            </w:tcBorders>
            <w:shd w:val="clear" w:color="auto" w:fill="auto"/>
            <w:noWrap/>
            <w:vAlign w:val="center"/>
          </w:tcPr>
          <w:p w14:paraId="2F1544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丛生禾草草原</w:t>
            </w:r>
          </w:p>
        </w:tc>
        <w:tc>
          <w:tcPr>
            <w:tcW w:w="1017" w:type="pct"/>
            <w:tcBorders>
              <w:tl2br w:val="nil"/>
              <w:tr2bl w:val="nil"/>
            </w:tcBorders>
            <w:shd w:val="clear" w:color="auto" w:fill="auto"/>
            <w:noWrap/>
            <w:vAlign w:val="center"/>
          </w:tcPr>
          <w:p w14:paraId="698880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90.61 </w:t>
            </w:r>
          </w:p>
        </w:tc>
        <w:tc>
          <w:tcPr>
            <w:tcW w:w="763" w:type="pct"/>
            <w:tcBorders>
              <w:tl2br w:val="nil"/>
              <w:tr2bl w:val="nil"/>
            </w:tcBorders>
            <w:shd w:val="clear" w:color="auto" w:fill="auto"/>
            <w:noWrap/>
            <w:vAlign w:val="center"/>
          </w:tcPr>
          <w:p w14:paraId="4713E7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r>
      <w:tr w14:paraId="782160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tcBorders>
              <w:tl2br w:val="nil"/>
              <w:tr2bl w:val="nil"/>
            </w:tcBorders>
            <w:shd w:val="clear" w:color="auto" w:fill="auto"/>
            <w:noWrap/>
            <w:vAlign w:val="center"/>
          </w:tcPr>
          <w:p w14:paraId="0D6E6C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352" w:type="pct"/>
            <w:tcBorders>
              <w:tl2br w:val="nil"/>
              <w:tr2bl w:val="nil"/>
            </w:tcBorders>
            <w:shd w:val="clear" w:color="auto" w:fill="auto"/>
            <w:noWrap/>
            <w:vAlign w:val="center"/>
          </w:tcPr>
          <w:p w14:paraId="3CD144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农田生态系统  </w:t>
            </w:r>
          </w:p>
        </w:tc>
        <w:tc>
          <w:tcPr>
            <w:tcW w:w="1438" w:type="pct"/>
            <w:tcBorders>
              <w:tl2br w:val="nil"/>
              <w:tr2bl w:val="nil"/>
            </w:tcBorders>
            <w:shd w:val="clear" w:color="auto" w:fill="auto"/>
            <w:noWrap/>
            <w:vAlign w:val="center"/>
          </w:tcPr>
          <w:p w14:paraId="622598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旱地</w:t>
            </w:r>
          </w:p>
        </w:tc>
        <w:tc>
          <w:tcPr>
            <w:tcW w:w="1017" w:type="pct"/>
            <w:tcBorders>
              <w:tl2br w:val="nil"/>
              <w:tr2bl w:val="nil"/>
            </w:tcBorders>
            <w:shd w:val="clear" w:color="auto" w:fill="auto"/>
            <w:noWrap/>
            <w:vAlign w:val="center"/>
          </w:tcPr>
          <w:p w14:paraId="310457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701.86 </w:t>
            </w:r>
          </w:p>
        </w:tc>
        <w:tc>
          <w:tcPr>
            <w:tcW w:w="763" w:type="pct"/>
            <w:tcBorders>
              <w:tl2br w:val="nil"/>
              <w:tr2bl w:val="nil"/>
            </w:tcBorders>
            <w:shd w:val="clear" w:color="auto" w:fill="auto"/>
            <w:noWrap/>
            <w:vAlign w:val="center"/>
          </w:tcPr>
          <w:p w14:paraId="62800F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62.72 </w:t>
            </w:r>
          </w:p>
        </w:tc>
      </w:tr>
      <w:tr w14:paraId="24ACAB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restart"/>
            <w:tcBorders>
              <w:tl2br w:val="nil"/>
              <w:tr2bl w:val="nil"/>
            </w:tcBorders>
            <w:shd w:val="clear" w:color="auto" w:fill="auto"/>
            <w:noWrap/>
            <w:vAlign w:val="center"/>
          </w:tcPr>
          <w:p w14:paraId="73205D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352" w:type="pct"/>
            <w:vMerge w:val="restart"/>
            <w:tcBorders>
              <w:tl2br w:val="nil"/>
              <w:tr2bl w:val="nil"/>
            </w:tcBorders>
            <w:shd w:val="clear" w:color="auto" w:fill="auto"/>
            <w:noWrap/>
            <w:vAlign w:val="center"/>
          </w:tcPr>
          <w:p w14:paraId="2375DB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湿地生态系统  </w:t>
            </w:r>
          </w:p>
        </w:tc>
        <w:tc>
          <w:tcPr>
            <w:tcW w:w="1438" w:type="pct"/>
            <w:tcBorders>
              <w:tl2br w:val="nil"/>
              <w:tr2bl w:val="nil"/>
            </w:tcBorders>
            <w:shd w:val="clear" w:color="auto" w:fill="auto"/>
            <w:noWrap/>
            <w:vAlign w:val="center"/>
          </w:tcPr>
          <w:p w14:paraId="22917F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水库</w:t>
            </w:r>
          </w:p>
        </w:tc>
        <w:tc>
          <w:tcPr>
            <w:tcW w:w="1017" w:type="pct"/>
            <w:tcBorders>
              <w:tl2br w:val="nil"/>
              <w:tr2bl w:val="nil"/>
            </w:tcBorders>
            <w:shd w:val="clear" w:color="auto" w:fill="auto"/>
            <w:noWrap/>
            <w:vAlign w:val="center"/>
          </w:tcPr>
          <w:p w14:paraId="4DEFCA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6.30 </w:t>
            </w:r>
          </w:p>
        </w:tc>
        <w:tc>
          <w:tcPr>
            <w:tcW w:w="763" w:type="pct"/>
            <w:tcBorders>
              <w:tl2br w:val="nil"/>
              <w:tr2bl w:val="nil"/>
            </w:tcBorders>
            <w:shd w:val="clear" w:color="auto" w:fill="auto"/>
            <w:noWrap/>
            <w:vAlign w:val="center"/>
          </w:tcPr>
          <w:p w14:paraId="14CCB2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0.56 </w:t>
            </w:r>
          </w:p>
        </w:tc>
      </w:tr>
      <w:tr w14:paraId="02A525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429" w:type="pct"/>
            <w:vMerge w:val="continue"/>
            <w:tcBorders>
              <w:tl2br w:val="nil"/>
              <w:tr2bl w:val="nil"/>
            </w:tcBorders>
            <w:shd w:val="clear" w:color="auto" w:fill="auto"/>
            <w:noWrap/>
            <w:vAlign w:val="center"/>
          </w:tcPr>
          <w:p w14:paraId="6BD4883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2" w:type="pct"/>
            <w:vMerge w:val="continue"/>
            <w:tcBorders>
              <w:tl2br w:val="nil"/>
              <w:tr2bl w:val="nil"/>
            </w:tcBorders>
            <w:shd w:val="clear" w:color="auto" w:fill="auto"/>
            <w:noWrap/>
            <w:vAlign w:val="center"/>
          </w:tcPr>
          <w:p w14:paraId="57811CD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438" w:type="pct"/>
            <w:tcBorders>
              <w:tl2br w:val="nil"/>
              <w:tr2bl w:val="nil"/>
            </w:tcBorders>
            <w:shd w:val="clear" w:color="auto" w:fill="auto"/>
            <w:noWrap/>
            <w:vAlign w:val="center"/>
          </w:tcPr>
          <w:p w14:paraId="7E6F0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坑塘</w:t>
            </w:r>
          </w:p>
        </w:tc>
        <w:tc>
          <w:tcPr>
            <w:tcW w:w="1017" w:type="pct"/>
            <w:tcBorders>
              <w:tl2br w:val="nil"/>
              <w:tr2bl w:val="nil"/>
            </w:tcBorders>
            <w:shd w:val="clear" w:color="auto" w:fill="auto"/>
            <w:noWrap/>
            <w:vAlign w:val="center"/>
          </w:tcPr>
          <w:p w14:paraId="4DE31B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1.48 </w:t>
            </w:r>
          </w:p>
        </w:tc>
        <w:tc>
          <w:tcPr>
            <w:tcW w:w="763" w:type="pct"/>
            <w:tcBorders>
              <w:tl2br w:val="nil"/>
              <w:tr2bl w:val="nil"/>
            </w:tcBorders>
            <w:shd w:val="clear" w:color="auto" w:fill="auto"/>
            <w:noWrap/>
            <w:vAlign w:val="center"/>
          </w:tcPr>
          <w:p w14:paraId="218800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0.13 </w:t>
            </w:r>
          </w:p>
        </w:tc>
      </w:tr>
      <w:tr w14:paraId="18541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restart"/>
            <w:tcBorders>
              <w:tl2br w:val="nil"/>
              <w:tr2bl w:val="nil"/>
            </w:tcBorders>
            <w:shd w:val="clear" w:color="auto" w:fill="auto"/>
            <w:noWrap/>
            <w:vAlign w:val="center"/>
          </w:tcPr>
          <w:p w14:paraId="4B2669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352" w:type="pct"/>
            <w:vMerge w:val="restart"/>
            <w:tcBorders>
              <w:tl2br w:val="nil"/>
              <w:tr2bl w:val="nil"/>
            </w:tcBorders>
            <w:shd w:val="clear" w:color="auto" w:fill="auto"/>
            <w:noWrap/>
            <w:vAlign w:val="center"/>
          </w:tcPr>
          <w:p w14:paraId="0DF318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城镇生态系统  </w:t>
            </w:r>
          </w:p>
        </w:tc>
        <w:tc>
          <w:tcPr>
            <w:tcW w:w="1438" w:type="pct"/>
            <w:tcBorders>
              <w:tl2br w:val="nil"/>
              <w:tr2bl w:val="nil"/>
            </w:tcBorders>
            <w:shd w:val="clear" w:color="auto" w:fill="auto"/>
            <w:vAlign w:val="center"/>
          </w:tcPr>
          <w:p w14:paraId="043F0D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居住地</w:t>
            </w:r>
          </w:p>
        </w:tc>
        <w:tc>
          <w:tcPr>
            <w:tcW w:w="1017" w:type="pct"/>
            <w:tcBorders>
              <w:tl2br w:val="nil"/>
              <w:tr2bl w:val="nil"/>
            </w:tcBorders>
            <w:shd w:val="clear" w:color="auto" w:fill="auto"/>
            <w:noWrap/>
            <w:vAlign w:val="center"/>
          </w:tcPr>
          <w:p w14:paraId="0D48A4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11.93 </w:t>
            </w:r>
          </w:p>
        </w:tc>
        <w:tc>
          <w:tcPr>
            <w:tcW w:w="763" w:type="pct"/>
            <w:tcBorders>
              <w:tl2br w:val="nil"/>
              <w:tr2bl w:val="nil"/>
            </w:tcBorders>
            <w:shd w:val="clear" w:color="auto" w:fill="auto"/>
            <w:noWrap/>
            <w:vAlign w:val="center"/>
          </w:tcPr>
          <w:p w14:paraId="79FF40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1.07 </w:t>
            </w:r>
          </w:p>
        </w:tc>
      </w:tr>
      <w:tr w14:paraId="3AC73A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continue"/>
            <w:tcBorders>
              <w:tl2br w:val="nil"/>
              <w:tr2bl w:val="nil"/>
            </w:tcBorders>
            <w:shd w:val="clear" w:color="auto" w:fill="auto"/>
            <w:noWrap/>
            <w:vAlign w:val="center"/>
          </w:tcPr>
          <w:p w14:paraId="6437EF8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2" w:type="pct"/>
            <w:vMerge w:val="continue"/>
            <w:tcBorders>
              <w:tl2br w:val="nil"/>
              <w:tr2bl w:val="nil"/>
            </w:tcBorders>
            <w:shd w:val="clear" w:color="auto" w:fill="auto"/>
            <w:noWrap/>
            <w:vAlign w:val="center"/>
          </w:tcPr>
          <w:p w14:paraId="1144A24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438" w:type="pct"/>
            <w:tcBorders>
              <w:tl2br w:val="nil"/>
              <w:tr2bl w:val="nil"/>
            </w:tcBorders>
            <w:shd w:val="clear" w:color="auto" w:fill="auto"/>
            <w:vAlign w:val="center"/>
          </w:tcPr>
          <w:p w14:paraId="7C8A51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工矿交通</w:t>
            </w:r>
          </w:p>
        </w:tc>
        <w:tc>
          <w:tcPr>
            <w:tcW w:w="1017" w:type="pct"/>
            <w:tcBorders>
              <w:tl2br w:val="nil"/>
              <w:tr2bl w:val="nil"/>
            </w:tcBorders>
            <w:shd w:val="clear" w:color="auto" w:fill="auto"/>
            <w:noWrap/>
            <w:vAlign w:val="center"/>
          </w:tcPr>
          <w:p w14:paraId="108886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35.81 </w:t>
            </w:r>
          </w:p>
        </w:tc>
        <w:tc>
          <w:tcPr>
            <w:tcW w:w="763" w:type="pct"/>
            <w:tcBorders>
              <w:tl2br w:val="nil"/>
              <w:tr2bl w:val="nil"/>
            </w:tcBorders>
            <w:shd w:val="clear" w:color="auto" w:fill="auto"/>
            <w:noWrap/>
            <w:vAlign w:val="center"/>
          </w:tcPr>
          <w:p w14:paraId="24E0E4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3.20 </w:t>
            </w:r>
          </w:p>
        </w:tc>
      </w:tr>
      <w:tr w14:paraId="14DC37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restart"/>
            <w:tcBorders>
              <w:tl2br w:val="nil"/>
              <w:tr2bl w:val="nil"/>
            </w:tcBorders>
            <w:shd w:val="clear" w:color="auto" w:fill="auto"/>
            <w:noWrap/>
            <w:vAlign w:val="center"/>
          </w:tcPr>
          <w:p w14:paraId="7AACF6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352" w:type="pct"/>
            <w:vMerge w:val="restart"/>
            <w:tcBorders>
              <w:tl2br w:val="nil"/>
              <w:tr2bl w:val="nil"/>
            </w:tcBorders>
            <w:shd w:val="clear" w:color="auto" w:fill="auto"/>
            <w:noWrap/>
            <w:vAlign w:val="center"/>
          </w:tcPr>
          <w:p w14:paraId="0E3042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其他  </w:t>
            </w:r>
          </w:p>
        </w:tc>
        <w:tc>
          <w:tcPr>
            <w:tcW w:w="1438" w:type="pct"/>
            <w:tcBorders>
              <w:tl2br w:val="nil"/>
              <w:tr2bl w:val="nil"/>
            </w:tcBorders>
            <w:shd w:val="clear" w:color="auto" w:fill="auto"/>
            <w:noWrap/>
            <w:vAlign w:val="center"/>
          </w:tcPr>
          <w:p w14:paraId="384BFE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裸地</w:t>
            </w:r>
          </w:p>
        </w:tc>
        <w:tc>
          <w:tcPr>
            <w:tcW w:w="1017" w:type="pct"/>
            <w:tcBorders>
              <w:tl2br w:val="nil"/>
              <w:tr2bl w:val="nil"/>
            </w:tcBorders>
            <w:shd w:val="clear" w:color="auto" w:fill="auto"/>
            <w:noWrap/>
            <w:vAlign w:val="center"/>
          </w:tcPr>
          <w:p w14:paraId="078992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c>
          <w:tcPr>
            <w:tcW w:w="763" w:type="pct"/>
            <w:tcBorders>
              <w:tl2br w:val="nil"/>
              <w:tr2bl w:val="nil"/>
            </w:tcBorders>
            <w:shd w:val="clear" w:color="auto" w:fill="auto"/>
            <w:noWrap/>
            <w:vAlign w:val="center"/>
          </w:tcPr>
          <w:p w14:paraId="04E697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r>
      <w:tr w14:paraId="2CFA9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429" w:type="pct"/>
            <w:vMerge w:val="continue"/>
            <w:tcBorders>
              <w:tl2br w:val="nil"/>
              <w:tr2bl w:val="nil"/>
            </w:tcBorders>
            <w:shd w:val="clear" w:color="auto" w:fill="auto"/>
            <w:noWrap/>
            <w:vAlign w:val="center"/>
          </w:tcPr>
          <w:p w14:paraId="56C497D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2" w:type="pct"/>
            <w:vMerge w:val="continue"/>
            <w:tcBorders>
              <w:tl2br w:val="nil"/>
              <w:tr2bl w:val="nil"/>
            </w:tcBorders>
            <w:shd w:val="clear" w:color="auto" w:fill="auto"/>
            <w:noWrap/>
            <w:vAlign w:val="center"/>
          </w:tcPr>
          <w:p w14:paraId="40DFF5C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438" w:type="pct"/>
            <w:tcBorders>
              <w:tl2br w:val="nil"/>
              <w:tr2bl w:val="nil"/>
            </w:tcBorders>
            <w:shd w:val="clear" w:color="auto" w:fill="auto"/>
            <w:noWrap/>
            <w:vAlign w:val="center"/>
          </w:tcPr>
          <w:p w14:paraId="3D8605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设施农用地</w:t>
            </w:r>
          </w:p>
        </w:tc>
        <w:tc>
          <w:tcPr>
            <w:tcW w:w="1017" w:type="pct"/>
            <w:tcBorders>
              <w:tl2br w:val="nil"/>
              <w:tr2bl w:val="nil"/>
            </w:tcBorders>
            <w:shd w:val="clear" w:color="auto" w:fill="auto"/>
            <w:noWrap/>
            <w:vAlign w:val="center"/>
          </w:tcPr>
          <w:p w14:paraId="6AF33A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5.39 </w:t>
            </w:r>
          </w:p>
        </w:tc>
        <w:tc>
          <w:tcPr>
            <w:tcW w:w="763" w:type="pct"/>
            <w:tcBorders>
              <w:tl2br w:val="nil"/>
              <w:tr2bl w:val="nil"/>
            </w:tcBorders>
            <w:shd w:val="clear" w:color="auto" w:fill="auto"/>
            <w:noWrap/>
            <w:vAlign w:val="center"/>
          </w:tcPr>
          <w:p w14:paraId="0E9C0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0.48 </w:t>
            </w:r>
          </w:p>
        </w:tc>
      </w:tr>
      <w:tr w14:paraId="4E30FF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219" w:type="pct"/>
            <w:gridSpan w:val="3"/>
            <w:tcBorders>
              <w:tl2br w:val="nil"/>
              <w:tr2bl w:val="nil"/>
            </w:tcBorders>
            <w:shd w:val="clear" w:color="auto" w:fill="auto"/>
            <w:noWrap/>
            <w:vAlign w:val="center"/>
          </w:tcPr>
          <w:p w14:paraId="4EE90C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合计</w:t>
            </w:r>
          </w:p>
        </w:tc>
        <w:tc>
          <w:tcPr>
            <w:tcW w:w="1017" w:type="pct"/>
            <w:tcBorders>
              <w:tl2br w:val="nil"/>
              <w:tr2bl w:val="nil"/>
            </w:tcBorders>
            <w:shd w:val="clear" w:color="auto" w:fill="auto"/>
            <w:noWrap/>
            <w:vAlign w:val="center"/>
          </w:tcPr>
          <w:p w14:paraId="01D922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1118.98 </w:t>
            </w:r>
          </w:p>
        </w:tc>
        <w:tc>
          <w:tcPr>
            <w:tcW w:w="763" w:type="pct"/>
            <w:tcBorders>
              <w:tl2br w:val="nil"/>
              <w:tr2bl w:val="nil"/>
            </w:tcBorders>
            <w:shd w:val="clear" w:color="auto" w:fill="auto"/>
            <w:noWrap/>
            <w:vAlign w:val="center"/>
          </w:tcPr>
          <w:p w14:paraId="661F42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100.00 </w:t>
            </w:r>
          </w:p>
        </w:tc>
      </w:tr>
    </w:tbl>
    <w:p w14:paraId="11B26A1D">
      <w:pPr>
        <w:spacing w:line="360" w:lineRule="auto"/>
        <w:ind w:firstLine="480" w:firstLineChars="200"/>
        <w:rPr>
          <w:rFonts w:hint="default" w:ascii="Times New Roman" w:hAnsi="Times New Roman" w:cs="Times New Roman"/>
          <w:color w:val="auto"/>
          <w:sz w:val="24"/>
          <w:szCs w:val="24"/>
          <w:highlight w:val="none"/>
          <w:lang w:val="zh-CN"/>
        </w:rPr>
      </w:pPr>
      <w:r>
        <w:rPr>
          <w:rFonts w:hint="default" w:ascii="Times New Roman" w:hAnsi="Times New Roman" w:eastAsia="宋体" w:cs="Times New Roman"/>
          <w:spacing w:val="0"/>
          <w:w w:val="100"/>
          <w:kern w:val="2"/>
          <w:position w:val="0"/>
          <w:sz w:val="24"/>
          <w:szCs w:val="24"/>
          <w:highlight w:val="none"/>
          <w:lang w:val="en-US" w:eastAsia="zh-CN" w:bidi="ar-SA"/>
        </w:rPr>
        <w:t>根据上表分析，</w:t>
      </w:r>
      <w:r>
        <w:rPr>
          <w:rFonts w:hint="default" w:ascii="Times New Roman" w:hAnsi="Times New Roman" w:cs="Times New Roman"/>
          <w:color w:val="auto"/>
          <w:sz w:val="24"/>
          <w:szCs w:val="24"/>
          <w:highlight w:val="none"/>
          <w:lang w:val="zh-CN"/>
        </w:rPr>
        <w:t>评价区</w:t>
      </w:r>
      <w:r>
        <w:rPr>
          <w:rFonts w:hint="eastAsia" w:cs="Times New Roman"/>
          <w:color w:val="auto"/>
          <w:sz w:val="24"/>
          <w:szCs w:val="24"/>
          <w:highlight w:val="none"/>
          <w:lang w:val="en-US" w:eastAsia="zh-CN"/>
        </w:rPr>
        <w:t>农田</w:t>
      </w:r>
      <w:r>
        <w:rPr>
          <w:rFonts w:hint="default" w:ascii="Times New Roman" w:hAnsi="Times New Roman" w:eastAsia="宋体" w:cs="Times New Roman"/>
          <w:i w:val="0"/>
          <w:color w:val="auto"/>
          <w:kern w:val="0"/>
          <w:sz w:val="24"/>
          <w:szCs w:val="24"/>
          <w:highlight w:val="none"/>
          <w:u w:val="none"/>
          <w:lang w:val="en-US" w:eastAsia="zh-CN" w:bidi="ar"/>
        </w:rPr>
        <w:t>生态系统</w:t>
      </w:r>
      <w:r>
        <w:rPr>
          <w:rFonts w:hint="default" w:ascii="Times New Roman" w:hAnsi="Times New Roman" w:cs="Times New Roman"/>
          <w:color w:val="auto"/>
          <w:sz w:val="24"/>
          <w:szCs w:val="24"/>
          <w:highlight w:val="none"/>
          <w:lang w:val="zh-CN"/>
        </w:rPr>
        <w:t>面积最大，面积</w:t>
      </w:r>
      <w:r>
        <w:rPr>
          <w:rFonts w:hint="eastAsia" w:cs="Times New Roman"/>
          <w:color w:val="auto"/>
          <w:kern w:val="0"/>
          <w:sz w:val="24"/>
          <w:szCs w:val="24"/>
          <w:highlight w:val="none"/>
          <w:lang w:val="en-US" w:eastAsia="zh-CN" w:bidi="ar"/>
        </w:rPr>
        <w:t>701.86</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val="zh-CN"/>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lang w:val="zh-CN"/>
        </w:rPr>
        <w:t>，占总面积的</w:t>
      </w:r>
      <w:r>
        <w:rPr>
          <w:rFonts w:hint="eastAsia" w:cs="Times New Roman"/>
          <w:color w:val="auto"/>
          <w:sz w:val="24"/>
          <w:szCs w:val="24"/>
          <w:highlight w:val="none"/>
          <w:lang w:val="en-US" w:eastAsia="zh-CN"/>
        </w:rPr>
        <w:t>62.72</w:t>
      </w:r>
      <w:r>
        <w:rPr>
          <w:rFonts w:hint="default" w:ascii="Times New Roman" w:hAnsi="Times New Roman" w:cs="Times New Roman"/>
          <w:color w:val="auto"/>
          <w:sz w:val="24"/>
          <w:szCs w:val="24"/>
          <w:highlight w:val="none"/>
          <w:lang w:val="zh-CN"/>
        </w:rPr>
        <w:t>%；</w:t>
      </w:r>
      <w:r>
        <w:rPr>
          <w:rFonts w:hint="eastAsia" w:cs="Times New Roman"/>
          <w:i w:val="0"/>
          <w:color w:val="auto"/>
          <w:kern w:val="0"/>
          <w:sz w:val="24"/>
          <w:szCs w:val="24"/>
          <w:highlight w:val="none"/>
          <w:u w:val="none"/>
          <w:lang w:val="en-US" w:eastAsia="zh-CN" w:bidi="ar"/>
        </w:rPr>
        <w:t>森林</w:t>
      </w:r>
      <w:r>
        <w:rPr>
          <w:rFonts w:hint="default" w:ascii="Times New Roman" w:hAnsi="Times New Roman" w:eastAsia="宋体" w:cs="Times New Roman"/>
          <w:i w:val="0"/>
          <w:color w:val="auto"/>
          <w:kern w:val="0"/>
          <w:sz w:val="24"/>
          <w:szCs w:val="24"/>
          <w:highlight w:val="none"/>
          <w:u w:val="none"/>
          <w:lang w:val="en-US" w:eastAsia="zh-CN" w:bidi="ar"/>
        </w:rPr>
        <w:t>生态系统</w:t>
      </w:r>
      <w:r>
        <w:rPr>
          <w:rFonts w:hint="default" w:ascii="Times New Roman" w:hAnsi="Times New Roman" w:cs="Times New Roman"/>
          <w:color w:val="auto"/>
          <w:sz w:val="24"/>
          <w:szCs w:val="24"/>
          <w:highlight w:val="none"/>
          <w:lang w:val="zh-CN"/>
        </w:rPr>
        <w:t>次之，面积</w:t>
      </w:r>
      <w:r>
        <w:rPr>
          <w:rFonts w:hint="eastAsia" w:cs="Times New Roman"/>
          <w:color w:val="auto"/>
          <w:sz w:val="24"/>
          <w:szCs w:val="24"/>
          <w:highlight w:val="none"/>
          <w:lang w:val="en-US" w:eastAsia="zh-CN"/>
        </w:rPr>
        <w:t>246.29</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val="zh-CN"/>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lang w:val="zh-CN"/>
        </w:rPr>
        <w:t>，占总面积的</w:t>
      </w:r>
      <w:r>
        <w:rPr>
          <w:rFonts w:hint="eastAsia" w:cs="Times New Roman"/>
          <w:color w:val="auto"/>
          <w:kern w:val="0"/>
          <w:sz w:val="24"/>
          <w:szCs w:val="24"/>
          <w:highlight w:val="none"/>
          <w:lang w:val="en-US" w:eastAsia="zh-CN" w:bidi="ar"/>
        </w:rPr>
        <w:t>22.01</w:t>
      </w:r>
      <w:r>
        <w:rPr>
          <w:rFonts w:hint="default" w:ascii="Times New Roman" w:hAnsi="Times New Roman" w:cs="Times New Roman"/>
          <w:color w:val="auto"/>
          <w:sz w:val="24"/>
          <w:szCs w:val="24"/>
          <w:highlight w:val="none"/>
          <w:lang w:val="zh-CN"/>
        </w:rPr>
        <w:t>%；</w:t>
      </w:r>
      <w:r>
        <w:rPr>
          <w:rFonts w:hint="default" w:ascii="Times New Roman" w:hAnsi="Times New Roman" w:eastAsia="宋体" w:cs="Times New Roman"/>
          <w:i w:val="0"/>
          <w:color w:val="auto"/>
          <w:kern w:val="0"/>
          <w:sz w:val="24"/>
          <w:szCs w:val="24"/>
          <w:highlight w:val="none"/>
          <w:u w:val="none"/>
          <w:lang w:val="en-US" w:eastAsia="zh-CN" w:bidi="ar"/>
        </w:rPr>
        <w:t>草地生态系统</w:t>
      </w:r>
      <w:r>
        <w:rPr>
          <w:rFonts w:hint="eastAsia" w:cs="Times New Roman"/>
          <w:i w:val="0"/>
          <w:color w:val="auto"/>
          <w:kern w:val="0"/>
          <w:sz w:val="24"/>
          <w:szCs w:val="24"/>
          <w:highlight w:val="none"/>
          <w:u w:val="none"/>
          <w:lang w:val="en-US" w:eastAsia="zh-CN" w:bidi="ar"/>
        </w:rPr>
        <w:t>排</w:t>
      </w:r>
      <w:r>
        <w:rPr>
          <w:rFonts w:hint="default" w:ascii="Times New Roman" w:hAnsi="Times New Roman" w:cs="Times New Roman"/>
          <w:color w:val="auto"/>
          <w:sz w:val="24"/>
          <w:szCs w:val="24"/>
          <w:highlight w:val="none"/>
          <w:lang w:val="zh-CN"/>
        </w:rPr>
        <w:t>第三位，面积</w:t>
      </w:r>
      <w:r>
        <w:rPr>
          <w:rFonts w:hint="eastAsia" w:cs="Times New Roman"/>
          <w:color w:val="auto"/>
          <w:sz w:val="24"/>
          <w:szCs w:val="24"/>
          <w:highlight w:val="none"/>
          <w:lang w:val="en-US" w:eastAsia="zh-CN"/>
        </w:rPr>
        <w:t>90.61</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lang w:val="zh-CN"/>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lang w:val="zh-CN"/>
        </w:rPr>
        <w:t>，占总面积的</w:t>
      </w:r>
      <w:r>
        <w:rPr>
          <w:rFonts w:hint="eastAsia" w:cs="Times New Roman"/>
          <w:color w:val="auto"/>
          <w:sz w:val="24"/>
          <w:szCs w:val="24"/>
          <w:highlight w:val="none"/>
          <w:lang w:val="en-US" w:eastAsia="zh-CN"/>
        </w:rPr>
        <w:t>8.10</w:t>
      </w:r>
      <w:r>
        <w:rPr>
          <w:rFonts w:hint="default" w:ascii="Times New Roman" w:hAnsi="Times New Roman" w:cs="Times New Roman"/>
          <w:color w:val="auto"/>
          <w:sz w:val="24"/>
          <w:szCs w:val="24"/>
          <w:highlight w:val="none"/>
          <w:lang w:val="zh-CN"/>
        </w:rPr>
        <w:t>%。</w:t>
      </w:r>
    </w:p>
    <w:p w14:paraId="271E276B">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sz w:val="24"/>
          <w:szCs w:val="24"/>
          <w:lang w:val="en-US" w:eastAsia="zh-CN"/>
        </w:rPr>
      </w:pPr>
      <w:r>
        <w:rPr>
          <w:rFonts w:hint="eastAsia" w:eastAsia="黑体" w:cs="Times New Roman"/>
          <w:b w:val="0"/>
          <w:bCs w:val="0"/>
          <w:color w:val="auto"/>
          <w:sz w:val="24"/>
          <w:szCs w:val="24"/>
          <w:highlight w:val="none"/>
          <w:lang w:val="en-US" w:eastAsia="zh-CN"/>
        </w:rPr>
        <w:t>******</w:t>
      </w:r>
    </w:p>
    <w:p w14:paraId="648389B6">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3.3.5</w:t>
      </w:r>
      <w:r>
        <w:rPr>
          <w:rFonts w:hint="default" w:ascii="Times New Roman" w:hAnsi="Times New Roman" w:eastAsia="宋体" w:cs="Times New Roman"/>
          <w:b/>
          <w:color w:val="auto"/>
          <w:kern w:val="2"/>
          <w:sz w:val="24"/>
          <w:szCs w:val="24"/>
          <w:highlight w:val="none"/>
          <w:lang w:val="en-US" w:eastAsia="zh-CN" w:bidi="ar-SA"/>
        </w:rPr>
        <w:t>陆生动物调查</w:t>
      </w:r>
    </w:p>
    <w:p w14:paraId="2CA6BD0F">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pacing w:val="0"/>
          <w:sz w:val="24"/>
          <w:highlight w:val="none"/>
        </w:rPr>
        <w:t>比照相应的地理纬度和海拔高度，查阅</w:t>
      </w:r>
      <w:r>
        <w:rPr>
          <w:rFonts w:hint="eastAsia" w:ascii="Times New Roman" w:hAnsi="Times New Roman" w:eastAsia="宋体" w:cs="Times New Roman"/>
          <w:spacing w:val="0"/>
          <w:sz w:val="24"/>
          <w:highlight w:val="none"/>
          <w:lang w:eastAsia="zh-CN"/>
        </w:rPr>
        <w:t>隆德县近</w:t>
      </w:r>
      <w:r>
        <w:rPr>
          <w:rFonts w:hint="eastAsia" w:ascii="Times New Roman" w:hAnsi="Times New Roman" w:eastAsia="宋体" w:cs="Times New Roman"/>
          <w:spacing w:val="0"/>
          <w:sz w:val="24"/>
          <w:highlight w:val="none"/>
          <w:lang w:val="en-US" w:eastAsia="zh-CN"/>
        </w:rPr>
        <w:t>两年</w:t>
      </w:r>
      <w:r>
        <w:rPr>
          <w:rFonts w:hint="eastAsia" w:ascii="Times New Roman" w:hAnsi="Times New Roman" w:eastAsia="宋体" w:cs="Times New Roman"/>
          <w:spacing w:val="0"/>
          <w:sz w:val="24"/>
          <w:highlight w:val="none"/>
          <w:lang w:eastAsia="zh-CN"/>
        </w:rPr>
        <w:t>开展的生物多样性调查成果</w:t>
      </w:r>
      <w:r>
        <w:rPr>
          <w:rFonts w:hint="default" w:ascii="Times New Roman" w:hAnsi="Times New Roman" w:eastAsia="宋体" w:cs="Times New Roman"/>
          <w:spacing w:val="0"/>
          <w:sz w:val="24"/>
          <w:highlight w:val="none"/>
        </w:rPr>
        <w:t>资料</w:t>
      </w:r>
      <w:r>
        <w:rPr>
          <w:rFonts w:hint="eastAsia" w:ascii="Times New Roman" w:hAnsi="Times New Roman" w:eastAsia="宋体" w:cs="Times New Roman"/>
          <w:spacing w:val="0"/>
          <w:sz w:val="24"/>
          <w:highlight w:val="none"/>
          <w:lang w:eastAsia="zh-CN"/>
        </w:rPr>
        <w:t>，结合</w:t>
      </w:r>
      <w:r>
        <w:rPr>
          <w:rFonts w:hint="default" w:ascii="Times New Roman" w:hAnsi="Times New Roman" w:eastAsia="宋体" w:cs="Times New Roman"/>
          <w:spacing w:val="0"/>
          <w:sz w:val="24"/>
          <w:highlight w:val="none"/>
        </w:rPr>
        <w:t>实地</w:t>
      </w:r>
      <w:r>
        <w:rPr>
          <w:rFonts w:hint="eastAsia" w:ascii="Times New Roman" w:hAnsi="Times New Roman" w:eastAsia="宋体" w:cs="Times New Roman"/>
          <w:spacing w:val="0"/>
          <w:sz w:val="24"/>
          <w:highlight w:val="none"/>
          <w:lang w:eastAsia="zh-CN"/>
        </w:rPr>
        <w:t>调查走访</w:t>
      </w:r>
      <w:r>
        <w:rPr>
          <w:rFonts w:hint="default" w:ascii="Times New Roman" w:hAnsi="Times New Roman" w:eastAsia="宋体" w:cs="Times New Roman"/>
          <w:spacing w:val="0"/>
          <w:sz w:val="24"/>
          <w:highlight w:val="none"/>
        </w:rPr>
        <w:t>，通过分析归纳和总结，</w:t>
      </w:r>
      <w:r>
        <w:rPr>
          <w:rFonts w:hint="eastAsia" w:ascii="Times New Roman" w:hAnsi="Times New Roman" w:eastAsia="宋体" w:cs="Times New Roman"/>
          <w:spacing w:val="0"/>
          <w:sz w:val="24"/>
          <w:highlight w:val="none"/>
          <w:lang w:eastAsia="zh-CN"/>
        </w:rPr>
        <w:t>本项目线路沿线均有农田分布，评价区</w:t>
      </w:r>
      <w:r>
        <w:rPr>
          <w:rFonts w:ascii="宋体" w:hAnsi="宋体" w:eastAsia="宋体" w:cs="宋体"/>
          <w:kern w:val="0"/>
          <w:sz w:val="24"/>
          <w:szCs w:val="24"/>
          <w:lang w:val="en-US" w:eastAsia="zh-CN" w:bidi="ar"/>
        </w:rPr>
        <w:t>形成以田舍伴人动物为主、兼顾山地及河谷动物的格局；农田及村庄周边常见家燕、麻雀、家鼠等伴人物种，中华蟾蜍、丽斑麻蜥等两栖爬行类广泛分布于河谷、潮湿地带及农田周边</w:t>
      </w:r>
      <w:r>
        <w:rPr>
          <w:rFonts w:hint="eastAsia" w:ascii="宋体" w:hAnsi="宋体" w:eastAsia="宋体" w:cs="宋体"/>
          <w:kern w:val="0"/>
          <w:sz w:val="24"/>
          <w:szCs w:val="24"/>
          <w:lang w:val="en-US" w:eastAsia="zh-CN" w:bidi="ar"/>
        </w:rPr>
        <w:t>，分布的特别常见的有草兔、环颈雉</w:t>
      </w: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highlight w:val="none"/>
          <w:lang w:val="en-US" w:eastAsia="zh-CN"/>
        </w:rPr>
        <w:t>未分布</w:t>
      </w:r>
      <w:r>
        <w:rPr>
          <w:rFonts w:hint="default" w:ascii="Times New Roman" w:hAnsi="Times New Roman" w:eastAsia="宋体" w:cs="Times New Roman"/>
          <w:color w:val="auto"/>
          <w:highlight w:val="none"/>
          <w:lang w:val="en-US" w:eastAsia="zh-CN"/>
        </w:rPr>
        <w:t>国家重点保护野生动物及濒危物种。</w:t>
      </w:r>
    </w:p>
    <w:p w14:paraId="5C9B2C21">
      <w:pPr>
        <w:keepNext/>
        <w:keepLines/>
        <w:widowControl w:val="0"/>
        <w:bidi w:val="0"/>
        <w:spacing w:beforeLines="0" w:beforeAutospacing="0" w:afterLines="0" w:afterAutospacing="0" w:line="360" w:lineRule="auto"/>
        <w:ind w:firstLine="0" w:firstLineChars="0"/>
        <w:jc w:val="left"/>
        <w:outlineLvl w:val="2"/>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3.3.6</w:t>
      </w:r>
      <w:r>
        <w:rPr>
          <w:rFonts w:hint="default" w:ascii="Times New Roman" w:hAnsi="Times New Roman" w:eastAsia="宋体"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生态保护红线调查</w:t>
      </w:r>
    </w:p>
    <w:p w14:paraId="51BCDD78">
      <w:pPr>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w:t>
      </w:r>
      <w:r>
        <w:rPr>
          <w:rFonts w:hint="default" w:ascii="Times New Roman" w:hAnsi="Times New Roman" w:cs="Times New Roman"/>
          <w:b/>
          <w:color w:val="auto"/>
          <w:sz w:val="24"/>
          <w:szCs w:val="24"/>
          <w:highlight w:val="none"/>
          <w:lang w:eastAsia="zh-CN"/>
        </w:rPr>
        <w:t>生态保护红线</w:t>
      </w:r>
      <w:r>
        <w:rPr>
          <w:rFonts w:hint="default" w:ascii="Times New Roman" w:hAnsi="Times New Roman" w:cs="Times New Roman"/>
          <w:b/>
          <w:color w:val="auto"/>
          <w:sz w:val="24"/>
          <w:szCs w:val="24"/>
          <w:highlight w:val="none"/>
        </w:rPr>
        <w:t>基本情况</w:t>
      </w:r>
    </w:p>
    <w:p w14:paraId="2F50CC22">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根据宁夏回族自治区人民政府《关于发布宁夏回族自治区生态保护红线的通知》（宁政发（2018）23号），宁夏回族自治区生态保护红线总面积12863.77km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，占国土总面积的24.76%。宁夏回族自治区生态保护红线包括生物多样性维护、水源涵养、防风固沙、水土流失、水土保持5种生态功能类型，呈现9个片区分布。本项目涉及跨越</w:t>
      </w:r>
      <w:r>
        <w:rPr>
          <w:rFonts w:hint="eastAsia"/>
          <w:color w:val="auto"/>
          <w:sz w:val="24"/>
          <w:highlight w:val="none"/>
          <w:lang w:val="en-US" w:eastAsia="zh-CN"/>
        </w:rPr>
        <w:t>******</w:t>
      </w:r>
      <w:r>
        <w:rPr>
          <w:rFonts w:hint="default" w:ascii="Times New Roman" w:hAnsi="Times New Roman" w:cs="Times New Roman"/>
          <w:color w:val="auto"/>
          <w:sz w:val="24"/>
          <w:szCs w:val="24"/>
          <w:highlight w:val="none"/>
          <w:lang w:eastAsia="zh-CN"/>
        </w:rPr>
        <w:t>。</w:t>
      </w:r>
      <w:r>
        <w:rPr>
          <w:rFonts w:hint="eastAsia"/>
          <w:color w:val="auto"/>
          <w:sz w:val="24"/>
          <w:highlight w:val="none"/>
          <w:lang w:val="en-US" w:eastAsia="zh-CN"/>
        </w:rPr>
        <w:t>******</w:t>
      </w:r>
      <w:r>
        <w:rPr>
          <w:rFonts w:hint="default" w:ascii="Times New Roman" w:hAnsi="Times New Roman" w:eastAsia="宋体" w:cs="Times New Roman"/>
          <w:color w:val="auto"/>
          <w:sz w:val="24"/>
          <w:szCs w:val="24"/>
          <w:highlight w:val="none"/>
        </w:rPr>
        <w:t>，位于宁夏回族自治区南部，属于生物性维护重要区，主要分布在泾源县、隆德县、西吉县、原州区、海原县。生态系统类型为森林生态系统</w:t>
      </w:r>
      <w:r>
        <w:rPr>
          <w:rFonts w:hint="default" w:ascii="Times New Roman" w:hAnsi="Times New Roman" w:eastAsia="宋体" w:cs="Times New Roman"/>
          <w:color w:val="auto"/>
          <w:sz w:val="24"/>
          <w:szCs w:val="24"/>
          <w:highlight w:val="none"/>
          <w:lang w:eastAsia="zh-CN"/>
        </w:rPr>
        <w:t>。</w:t>
      </w:r>
    </w:p>
    <w:p w14:paraId="4FC39DA0">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本报告使用的生态保护红线为2022年10月自然资源部批准启用的“三区三线”划定成果中的生态保护红线。</w:t>
      </w:r>
    </w:p>
    <w:p w14:paraId="76E7FA31">
      <w:pPr>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w:t>
      </w:r>
      <w:r>
        <w:rPr>
          <w:rFonts w:hint="default" w:ascii="Times New Roman" w:hAnsi="Times New Roman" w:cs="Times New Roman"/>
          <w:b/>
          <w:color w:val="auto"/>
          <w:sz w:val="24"/>
          <w:szCs w:val="24"/>
          <w:highlight w:val="none"/>
          <w:lang w:val="zh-CN"/>
        </w:rPr>
        <w:t>本项目与生态保护红线相对位置关系</w:t>
      </w:r>
    </w:p>
    <w:p w14:paraId="693E408F">
      <w:pPr>
        <w:spacing w:line="360" w:lineRule="auto"/>
        <w:ind w:firstLine="480" w:firstLineChars="200"/>
        <w:rPr>
          <w:rFonts w:hint="default" w:ascii="Times New Roman" w:hAnsi="Times New Roman" w:eastAsia="宋体" w:cs="Times New Roman"/>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 w:val="24"/>
          <w:szCs w:val="24"/>
          <w:highlight w:val="none"/>
        </w:rPr>
        <w:t>本项目拟建线路经优化后仍无法避免的</w:t>
      </w:r>
      <w:r>
        <w:rPr>
          <w:rFonts w:hint="default" w:ascii="Times New Roman" w:hAnsi="Times New Roman" w:cs="Times New Roman"/>
          <w:color w:val="auto"/>
          <w:sz w:val="24"/>
          <w:szCs w:val="24"/>
          <w:highlight w:val="none"/>
          <w:lang w:eastAsia="zh-CN"/>
        </w:rPr>
        <w:t>跨越</w:t>
      </w:r>
      <w:r>
        <w:rPr>
          <w:rFonts w:hint="default" w:ascii="Times New Roman" w:hAnsi="Times New Roman" w:eastAsia="宋体" w:cs="Times New Roman"/>
          <w:color w:val="auto"/>
          <w:sz w:val="24"/>
          <w:szCs w:val="24"/>
          <w:highlight w:val="none"/>
        </w:rPr>
        <w:t>生态保护红线</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跨越线路长度约13m，最近铁塔距离该生态保护红线约46m，且</w:t>
      </w:r>
      <w:r>
        <w:rPr>
          <w:rFonts w:hint="default" w:ascii="Times New Roman" w:hAnsi="Times New Roman" w:cs="Times New Roman"/>
          <w:bCs/>
          <w:color w:val="auto"/>
          <w:sz w:val="24"/>
          <w:szCs w:val="24"/>
          <w:highlight w:val="none"/>
          <w:lang w:val="en-US" w:eastAsia="zh-CN"/>
        </w:rPr>
        <w:t>在生态保护红线范围内无永久、临时占地</w:t>
      </w:r>
      <w:r>
        <w:rPr>
          <w:rFonts w:hint="default" w:ascii="Times New Roman" w:hAnsi="Times New Roman" w:eastAsia="宋体" w:cs="Times New Roman"/>
          <w:color w:val="auto"/>
          <w:sz w:val="24"/>
          <w:szCs w:val="24"/>
          <w:highlight w:val="none"/>
        </w:rPr>
        <w:t>。</w:t>
      </w:r>
    </w:p>
    <w:p w14:paraId="53E9296B">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93" w:name="_Toc22997"/>
      <w:bookmarkStart w:id="94" w:name="_Toc28647"/>
      <w:r>
        <w:rPr>
          <w:rFonts w:hint="eastAsia" w:ascii="Times New Roman" w:hAnsi="Times New Roman" w:eastAsia="宋体" w:cs="Times New Roman"/>
          <w:b/>
          <w:color w:val="auto"/>
          <w:kern w:val="44"/>
          <w:sz w:val="24"/>
          <w:szCs w:val="24"/>
          <w:highlight w:val="none"/>
          <w:lang w:val="en-US" w:eastAsia="zh-CN" w:bidi="ar-SA"/>
        </w:rPr>
        <w:t>4</w:t>
      </w:r>
      <w:r>
        <w:rPr>
          <w:rFonts w:hint="default" w:ascii="Times New Roman" w:hAnsi="Times New Roman" w:eastAsia="宋体" w:cs="Times New Roman"/>
          <w:b/>
          <w:color w:val="auto"/>
          <w:kern w:val="44"/>
          <w:sz w:val="24"/>
          <w:szCs w:val="24"/>
          <w:highlight w:val="none"/>
          <w:lang w:val="en-US" w:eastAsia="zh-CN" w:bidi="ar-SA"/>
        </w:rPr>
        <w:t xml:space="preserve"> 生态环境影响预测与评价</w:t>
      </w:r>
      <w:bookmarkEnd w:id="93"/>
      <w:bookmarkEnd w:id="94"/>
    </w:p>
    <w:p w14:paraId="3B997C6A">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0" w:firstLineChars="0"/>
        <w:jc w:val="left"/>
        <w:textAlignment w:val="auto"/>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w:t>
      </w:r>
      <w:r>
        <w:rPr>
          <w:rFonts w:hint="default" w:ascii="Times New Roman" w:hAnsi="Times New Roman" w:eastAsia="宋体" w:cs="Times New Roman"/>
          <w:b/>
          <w:color w:val="auto"/>
          <w:kern w:val="2"/>
          <w:sz w:val="24"/>
          <w:szCs w:val="24"/>
          <w:highlight w:val="none"/>
          <w:lang w:val="en-US" w:eastAsia="zh-CN" w:bidi="ar-SA"/>
        </w:rPr>
        <w:t>1对土地利用的</w:t>
      </w:r>
      <w:r>
        <w:rPr>
          <w:rFonts w:hint="eastAsia" w:ascii="Times New Roman" w:hAnsi="Times New Roman" w:eastAsia="宋体" w:cs="Times New Roman"/>
          <w:b/>
          <w:color w:val="auto"/>
          <w:kern w:val="2"/>
          <w:sz w:val="24"/>
          <w:szCs w:val="24"/>
          <w:highlight w:val="none"/>
          <w:lang w:val="en-US" w:eastAsia="zh-CN" w:bidi="ar-SA"/>
        </w:rPr>
        <w:t>影响</w:t>
      </w:r>
      <w:r>
        <w:rPr>
          <w:rFonts w:hint="default" w:ascii="Times New Roman" w:hAnsi="Times New Roman" w:eastAsia="宋体" w:cs="Times New Roman"/>
          <w:b/>
          <w:color w:val="auto"/>
          <w:kern w:val="2"/>
          <w:sz w:val="24"/>
          <w:szCs w:val="24"/>
          <w:highlight w:val="none"/>
          <w:lang w:val="en-US" w:eastAsia="zh-CN" w:bidi="ar-SA"/>
        </w:rPr>
        <w:t>分析</w:t>
      </w:r>
    </w:p>
    <w:p w14:paraId="7D2C9A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本项目总占地</w:t>
      </w:r>
      <w:r>
        <w:rPr>
          <w:rFonts w:hint="eastAsia" w:cs="Times New Roman"/>
          <w:color w:val="000000"/>
          <w:sz w:val="24"/>
          <w:szCs w:val="24"/>
          <w:highlight w:val="none"/>
          <w:lang w:val="en-US" w:eastAsia="zh-CN"/>
        </w:rPr>
        <w:t>7.56</w:t>
      </w:r>
      <w:r>
        <w:rPr>
          <w:rFonts w:hint="eastAsia" w:ascii="Times New Roman" w:hAnsi="Times New Roman" w:cs="Times New Roman"/>
          <w:color w:val="000000"/>
          <w:sz w:val="24"/>
          <w:szCs w:val="24"/>
          <w:highlight w:val="none"/>
          <w:lang w:val="en-US" w:eastAsia="zh-CN"/>
        </w:rPr>
        <w:t>hm</w:t>
      </w:r>
      <w:r>
        <w:rPr>
          <w:rFonts w:hint="eastAsia" w:ascii="Times New Roman" w:hAnsi="Times New Roman" w:cs="Times New Roman"/>
          <w:color w:val="000000"/>
          <w:sz w:val="24"/>
          <w:szCs w:val="24"/>
          <w:highlight w:val="none"/>
          <w:vertAlign w:val="superscript"/>
          <w:lang w:val="en-US" w:eastAsia="zh-CN"/>
        </w:rPr>
        <w:t>2</w:t>
      </w:r>
      <w:r>
        <w:rPr>
          <w:rFonts w:hint="eastAsia" w:ascii="Times New Roman" w:hAnsi="Times New Roman" w:cs="Times New Roman"/>
          <w:color w:val="000000"/>
          <w:sz w:val="24"/>
          <w:szCs w:val="24"/>
          <w:highlight w:val="none"/>
          <w:lang w:val="en-US" w:eastAsia="zh-CN"/>
        </w:rPr>
        <w:t>，其中变电站和塔基永久占地0.90hm</w:t>
      </w:r>
      <w:r>
        <w:rPr>
          <w:rFonts w:hint="eastAsia" w:ascii="Times New Roman" w:hAnsi="Times New Roman" w:cs="Times New Roman"/>
          <w:color w:val="000000"/>
          <w:sz w:val="24"/>
          <w:szCs w:val="24"/>
          <w:highlight w:val="none"/>
          <w:vertAlign w:val="superscript"/>
          <w:lang w:val="en-US" w:eastAsia="zh-CN"/>
        </w:rPr>
        <w:t>2</w:t>
      </w:r>
      <w:r>
        <w:rPr>
          <w:rFonts w:hint="eastAsia" w:ascii="Times New Roman" w:hAnsi="Times New Roman" w:cs="Times New Roman"/>
          <w:color w:val="000000"/>
          <w:sz w:val="24"/>
          <w:szCs w:val="24"/>
          <w:highlight w:val="none"/>
          <w:lang w:val="en-US" w:eastAsia="zh-CN"/>
        </w:rPr>
        <w:t>，</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营地</w:t>
      </w:r>
      <w:r>
        <w:rPr>
          <w:rFonts w:hint="eastAsia"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站外供水及排水管线</w:t>
      </w:r>
      <w:r>
        <w:rPr>
          <w:rFonts w:hint="eastAsia" w:ascii="Times New Roman" w:hAnsi="Times New Roman" w:cs="Times New Roman" w:eastAsiaTheme="minorEastAsia"/>
          <w:color w:val="auto"/>
          <w:sz w:val="24"/>
          <w:highlight w:val="none"/>
          <w:lang w:val="en-US" w:eastAsia="zh-CN"/>
        </w:rPr>
        <w:t>以及</w:t>
      </w:r>
      <w:r>
        <w:rPr>
          <w:rFonts w:hint="default" w:ascii="Times New Roman" w:hAnsi="Times New Roman" w:cs="Times New Roman" w:eastAsiaTheme="minorEastAsia"/>
          <w:color w:val="auto"/>
          <w:sz w:val="24"/>
          <w:highlight w:val="none"/>
        </w:rPr>
        <w:t>输电线路塔基</w:t>
      </w:r>
      <w:r>
        <w:rPr>
          <w:rFonts w:hint="eastAsia" w:ascii="Times New Roman" w:hAnsi="Times New Roman" w:cs="Times New Roman" w:eastAsiaTheme="minorEastAsia"/>
          <w:color w:val="auto"/>
          <w:sz w:val="24"/>
          <w:highlight w:val="none"/>
          <w:lang w:val="en-US" w:eastAsia="zh-CN"/>
        </w:rPr>
        <w:t>临时</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区域</w:t>
      </w:r>
      <w:r>
        <w:rPr>
          <w:rFonts w:hint="eastAsia" w:cs="Times New Roman" w:eastAsiaTheme="minorEastAsia"/>
          <w:color w:val="auto"/>
          <w:sz w:val="24"/>
          <w:highlight w:val="none"/>
          <w:lang w:val="en-US" w:eastAsia="zh-CN"/>
        </w:rPr>
        <w:t>（含</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rPr>
        <w:t>、牵张场</w:t>
      </w:r>
      <w:r>
        <w:rPr>
          <w:rFonts w:hint="eastAsia"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便道</w:t>
      </w:r>
      <w:r>
        <w:rPr>
          <w:rFonts w:hint="eastAsia" w:ascii="Times New Roman" w:hAnsi="Times New Roman" w:cs="Times New Roman"/>
          <w:color w:val="000000"/>
          <w:sz w:val="24"/>
          <w:szCs w:val="24"/>
          <w:highlight w:val="none"/>
          <w:lang w:val="en-US" w:eastAsia="zh-CN"/>
        </w:rPr>
        <w:t>等临时占地6.</w:t>
      </w:r>
      <w:r>
        <w:rPr>
          <w:rFonts w:hint="eastAsia" w:cs="Times New Roman"/>
          <w:color w:val="000000"/>
          <w:sz w:val="24"/>
          <w:szCs w:val="24"/>
          <w:highlight w:val="none"/>
          <w:lang w:val="en-US" w:eastAsia="zh-CN"/>
        </w:rPr>
        <w:t>66</w:t>
      </w:r>
      <w:r>
        <w:rPr>
          <w:rFonts w:hint="eastAsia" w:ascii="Times New Roman" w:hAnsi="Times New Roman" w:cs="Times New Roman"/>
          <w:color w:val="000000"/>
          <w:sz w:val="24"/>
          <w:szCs w:val="24"/>
          <w:highlight w:val="none"/>
          <w:lang w:val="en-US" w:eastAsia="zh-CN"/>
        </w:rPr>
        <w:t>hm</w:t>
      </w:r>
      <w:r>
        <w:rPr>
          <w:rFonts w:hint="eastAsia" w:ascii="Times New Roman" w:hAnsi="Times New Roman" w:cs="Times New Roman"/>
          <w:color w:val="000000"/>
          <w:sz w:val="24"/>
          <w:szCs w:val="24"/>
          <w:highlight w:val="none"/>
          <w:vertAlign w:val="superscript"/>
          <w:lang w:val="en-US" w:eastAsia="zh-CN"/>
        </w:rPr>
        <w:t>2</w:t>
      </w:r>
      <w:r>
        <w:rPr>
          <w:rFonts w:hint="eastAsia" w:ascii="Times New Roman" w:hAnsi="Times New Roman" w:cs="Times New Roman"/>
          <w:color w:val="000000"/>
          <w:sz w:val="24"/>
          <w:szCs w:val="24"/>
          <w:highlight w:val="none"/>
          <w:lang w:val="en-US" w:eastAsia="zh-CN"/>
        </w:rPr>
        <w:t>，项目占地情况详见表4.1-1。</w:t>
      </w:r>
    </w:p>
    <w:p w14:paraId="4AB9A316">
      <w:pPr>
        <w:bidi w:val="0"/>
        <w:spacing w:line="360" w:lineRule="auto"/>
        <w:jc w:val="center"/>
        <w:rPr>
          <w:rFonts w:hint="default" w:ascii="Times New Roman" w:hAnsi="Times New Roman" w:eastAsia="黑体" w:cs="Times New Roman"/>
          <w:b/>
          <w:bCs/>
          <w:sz w:val="24"/>
          <w:szCs w:val="24"/>
          <w:lang w:val="en-US" w:eastAsia="zh-CN"/>
        </w:rPr>
      </w:pPr>
      <w:r>
        <w:rPr>
          <w:rFonts w:hint="default" w:ascii="Times New Roman" w:hAnsi="Times New Roman" w:eastAsia="黑体" w:cs="Times New Roman"/>
          <w:b/>
          <w:bCs/>
          <w:sz w:val="24"/>
          <w:szCs w:val="24"/>
          <w:lang w:val="en-US" w:eastAsia="zh-CN"/>
        </w:rPr>
        <w:t>表</w:t>
      </w:r>
      <w:r>
        <w:rPr>
          <w:rFonts w:hint="default" w:ascii="Times New Roman" w:hAnsi="Times New Roman" w:eastAsia="黑体" w:cs="Times New Roman"/>
          <w:b/>
          <w:bCs/>
          <w:color w:val="000000"/>
          <w:sz w:val="24"/>
          <w:szCs w:val="24"/>
          <w:highlight w:val="none"/>
          <w:lang w:val="en-US" w:eastAsia="zh-CN"/>
        </w:rPr>
        <w:t xml:space="preserve">4.1-1 </w:t>
      </w:r>
      <w:r>
        <w:rPr>
          <w:rFonts w:hint="default" w:ascii="Times New Roman" w:hAnsi="Times New Roman" w:eastAsia="黑体" w:cs="Times New Roman"/>
          <w:b/>
          <w:bCs/>
          <w:sz w:val="24"/>
          <w:szCs w:val="24"/>
          <w:lang w:val="en-US" w:eastAsia="zh-CN"/>
        </w:rPr>
        <w:t xml:space="preserve"> 项目占地情况一览表</w:t>
      </w:r>
    </w:p>
    <w:tbl>
      <w:tblPr>
        <w:tblStyle w:val="28"/>
        <w:tblW w:w="5262"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1"/>
        <w:gridCol w:w="1073"/>
        <w:gridCol w:w="1866"/>
        <w:gridCol w:w="1118"/>
        <w:gridCol w:w="845"/>
        <w:gridCol w:w="873"/>
        <w:gridCol w:w="818"/>
        <w:gridCol w:w="1755"/>
      </w:tblGrid>
      <w:tr w14:paraId="181F75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vMerge w:val="restart"/>
            <w:tcBorders>
              <w:tl2br w:val="nil"/>
              <w:tr2bl w:val="nil"/>
            </w:tcBorders>
            <w:shd w:val="clear" w:color="auto" w:fill="auto"/>
            <w:noWrap/>
            <w:vAlign w:val="center"/>
          </w:tcPr>
          <w:p w14:paraId="1225260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638" w:type="pct"/>
            <w:gridSpan w:val="2"/>
            <w:tcBorders>
              <w:tl2br w:val="nil"/>
              <w:tr2bl w:val="nil"/>
            </w:tcBorders>
            <w:shd w:val="clear" w:color="auto" w:fill="auto"/>
            <w:noWrap/>
            <w:vAlign w:val="center"/>
          </w:tcPr>
          <w:p w14:paraId="35D87EA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土地利用类型</w:t>
            </w:r>
          </w:p>
        </w:tc>
        <w:tc>
          <w:tcPr>
            <w:tcW w:w="623" w:type="pct"/>
            <w:vMerge w:val="restart"/>
            <w:tcBorders>
              <w:tl2br w:val="nil"/>
              <w:tr2bl w:val="nil"/>
            </w:tcBorders>
            <w:shd w:val="clear" w:color="auto" w:fill="auto"/>
            <w:noWrap/>
            <w:vAlign w:val="center"/>
          </w:tcPr>
          <w:p w14:paraId="43EB94E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评价区面积（hm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1413" w:type="pct"/>
            <w:gridSpan w:val="3"/>
            <w:tcBorders>
              <w:tl2br w:val="nil"/>
              <w:tr2bl w:val="nil"/>
            </w:tcBorders>
            <w:shd w:val="clear" w:color="auto" w:fill="auto"/>
            <w:noWrap/>
            <w:vAlign w:val="center"/>
          </w:tcPr>
          <w:p w14:paraId="2C1CD20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工程占地</w:t>
            </w:r>
          </w:p>
        </w:tc>
        <w:tc>
          <w:tcPr>
            <w:tcW w:w="978" w:type="pct"/>
            <w:vMerge w:val="restart"/>
            <w:tcBorders>
              <w:tl2br w:val="nil"/>
              <w:tr2bl w:val="nil"/>
            </w:tcBorders>
            <w:shd w:val="clear" w:color="auto" w:fill="auto"/>
            <w:vAlign w:val="center"/>
          </w:tcPr>
          <w:p w14:paraId="79FF9D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占评价区同类型面积比重（%）</w:t>
            </w:r>
          </w:p>
        </w:tc>
      </w:tr>
      <w:tr w14:paraId="034DB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vMerge w:val="continue"/>
            <w:tcBorders>
              <w:tl2br w:val="nil"/>
              <w:tr2bl w:val="nil"/>
            </w:tcBorders>
            <w:shd w:val="clear" w:color="auto" w:fill="auto"/>
            <w:noWrap/>
            <w:vAlign w:val="center"/>
          </w:tcPr>
          <w:p w14:paraId="3C5D76E2">
            <w:pPr>
              <w:jc w:val="center"/>
              <w:rPr>
                <w:rFonts w:hint="default" w:ascii="Times New Roman" w:hAnsi="Times New Roman" w:eastAsia="宋体" w:cs="Times New Roman"/>
                <w:b/>
                <w:bCs/>
                <w:i w:val="0"/>
                <w:iCs w:val="0"/>
                <w:color w:val="000000"/>
                <w:sz w:val="21"/>
                <w:szCs w:val="21"/>
                <w:u w:val="none"/>
              </w:rPr>
            </w:pPr>
          </w:p>
        </w:tc>
        <w:tc>
          <w:tcPr>
            <w:tcW w:w="598" w:type="pct"/>
            <w:tcBorders>
              <w:tl2br w:val="nil"/>
              <w:tr2bl w:val="nil"/>
            </w:tcBorders>
            <w:shd w:val="clear" w:color="auto" w:fill="auto"/>
            <w:noWrap/>
            <w:vAlign w:val="center"/>
          </w:tcPr>
          <w:p w14:paraId="07C01F9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一级类</w:t>
            </w:r>
          </w:p>
        </w:tc>
        <w:tc>
          <w:tcPr>
            <w:tcW w:w="1040" w:type="pct"/>
            <w:tcBorders>
              <w:tl2br w:val="nil"/>
              <w:tr2bl w:val="nil"/>
            </w:tcBorders>
            <w:shd w:val="clear" w:color="auto" w:fill="auto"/>
            <w:noWrap/>
            <w:vAlign w:val="center"/>
          </w:tcPr>
          <w:p w14:paraId="686F65F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二级类</w:t>
            </w:r>
          </w:p>
        </w:tc>
        <w:tc>
          <w:tcPr>
            <w:tcW w:w="623" w:type="pct"/>
            <w:vMerge w:val="continue"/>
            <w:tcBorders>
              <w:tl2br w:val="nil"/>
              <w:tr2bl w:val="nil"/>
            </w:tcBorders>
            <w:shd w:val="clear" w:color="auto" w:fill="auto"/>
            <w:noWrap/>
            <w:vAlign w:val="center"/>
          </w:tcPr>
          <w:p w14:paraId="2AD637F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p>
        </w:tc>
        <w:tc>
          <w:tcPr>
            <w:tcW w:w="471" w:type="pct"/>
            <w:tcBorders>
              <w:tl2br w:val="nil"/>
              <w:tr2bl w:val="nil"/>
            </w:tcBorders>
            <w:shd w:val="clear" w:color="auto" w:fill="auto"/>
            <w:noWrap/>
            <w:vAlign w:val="center"/>
          </w:tcPr>
          <w:p w14:paraId="2FD4D51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永久</w:t>
            </w:r>
          </w:p>
        </w:tc>
        <w:tc>
          <w:tcPr>
            <w:tcW w:w="486" w:type="pct"/>
            <w:tcBorders>
              <w:tl2br w:val="nil"/>
              <w:tr2bl w:val="nil"/>
            </w:tcBorders>
            <w:shd w:val="clear" w:color="auto" w:fill="auto"/>
            <w:noWrap/>
            <w:vAlign w:val="center"/>
          </w:tcPr>
          <w:p w14:paraId="111C0BB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临时</w:t>
            </w:r>
          </w:p>
        </w:tc>
        <w:tc>
          <w:tcPr>
            <w:tcW w:w="456" w:type="pct"/>
            <w:tcBorders>
              <w:tl2br w:val="nil"/>
              <w:tr2bl w:val="nil"/>
            </w:tcBorders>
            <w:shd w:val="clear" w:color="auto" w:fill="auto"/>
            <w:noWrap/>
            <w:vAlign w:val="center"/>
          </w:tcPr>
          <w:p w14:paraId="3784AA8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小计</w:t>
            </w:r>
          </w:p>
        </w:tc>
        <w:tc>
          <w:tcPr>
            <w:tcW w:w="978" w:type="pct"/>
            <w:vMerge w:val="continue"/>
            <w:tcBorders>
              <w:tl2br w:val="nil"/>
              <w:tr2bl w:val="nil"/>
            </w:tcBorders>
            <w:shd w:val="clear" w:color="auto" w:fill="auto"/>
            <w:vAlign w:val="center"/>
          </w:tcPr>
          <w:p w14:paraId="36CEF1E0">
            <w:pPr>
              <w:jc w:val="center"/>
              <w:rPr>
                <w:rFonts w:hint="default" w:ascii="Times New Roman" w:hAnsi="Times New Roman" w:eastAsia="宋体" w:cs="Times New Roman"/>
                <w:i w:val="0"/>
                <w:iCs w:val="0"/>
                <w:color w:val="000000"/>
                <w:sz w:val="21"/>
                <w:szCs w:val="21"/>
                <w:u w:val="none"/>
              </w:rPr>
            </w:pPr>
          </w:p>
        </w:tc>
      </w:tr>
      <w:tr w14:paraId="3A233B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1A6485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98" w:type="pct"/>
            <w:tcBorders>
              <w:tl2br w:val="nil"/>
              <w:tr2bl w:val="nil"/>
            </w:tcBorders>
            <w:shd w:val="clear" w:color="auto" w:fill="auto"/>
            <w:noWrap/>
            <w:vAlign w:val="center"/>
          </w:tcPr>
          <w:p w14:paraId="5054CC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耕地</w:t>
            </w:r>
          </w:p>
        </w:tc>
        <w:tc>
          <w:tcPr>
            <w:tcW w:w="1040" w:type="pct"/>
            <w:tcBorders>
              <w:tl2br w:val="nil"/>
              <w:tr2bl w:val="nil"/>
            </w:tcBorders>
            <w:shd w:val="clear" w:color="auto" w:fill="auto"/>
            <w:noWrap/>
            <w:vAlign w:val="center"/>
          </w:tcPr>
          <w:p w14:paraId="075725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旱地</w:t>
            </w:r>
          </w:p>
        </w:tc>
        <w:tc>
          <w:tcPr>
            <w:tcW w:w="623" w:type="pct"/>
            <w:tcBorders>
              <w:tl2br w:val="nil"/>
              <w:tr2bl w:val="nil"/>
            </w:tcBorders>
            <w:shd w:val="clear" w:color="auto" w:fill="auto"/>
            <w:noWrap/>
            <w:vAlign w:val="center"/>
          </w:tcPr>
          <w:p w14:paraId="16C86B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701.88</w:t>
            </w:r>
          </w:p>
        </w:tc>
        <w:tc>
          <w:tcPr>
            <w:tcW w:w="471" w:type="pct"/>
            <w:tcBorders>
              <w:tl2br w:val="nil"/>
              <w:tr2bl w:val="nil"/>
            </w:tcBorders>
            <w:shd w:val="clear" w:color="auto" w:fill="auto"/>
            <w:noWrap/>
            <w:vAlign w:val="center"/>
          </w:tcPr>
          <w:p w14:paraId="2AA90B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0.86</w:t>
            </w:r>
          </w:p>
        </w:tc>
        <w:tc>
          <w:tcPr>
            <w:tcW w:w="486" w:type="pct"/>
            <w:tcBorders>
              <w:tl2br w:val="nil"/>
              <w:tr2bl w:val="nil"/>
            </w:tcBorders>
            <w:shd w:val="clear" w:color="auto" w:fill="auto"/>
            <w:noWrap/>
            <w:vAlign w:val="center"/>
          </w:tcPr>
          <w:p w14:paraId="2DA823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88</w:t>
            </w:r>
          </w:p>
        </w:tc>
        <w:tc>
          <w:tcPr>
            <w:tcW w:w="456" w:type="pct"/>
            <w:tcBorders>
              <w:tl2br w:val="nil"/>
              <w:tr2bl w:val="nil"/>
            </w:tcBorders>
            <w:shd w:val="clear" w:color="auto" w:fill="auto"/>
            <w:noWrap/>
            <w:vAlign w:val="center"/>
          </w:tcPr>
          <w:p w14:paraId="1CF18F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74</w:t>
            </w:r>
          </w:p>
        </w:tc>
        <w:tc>
          <w:tcPr>
            <w:tcW w:w="978" w:type="pct"/>
            <w:tcBorders>
              <w:tl2br w:val="nil"/>
              <w:tr2bl w:val="nil"/>
            </w:tcBorders>
            <w:shd w:val="clear" w:color="auto" w:fill="auto"/>
            <w:noWrap/>
            <w:vAlign w:val="center"/>
          </w:tcPr>
          <w:p w14:paraId="24E5D5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96</w:t>
            </w:r>
          </w:p>
        </w:tc>
      </w:tr>
      <w:tr w14:paraId="19C05A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6F7764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98" w:type="pct"/>
            <w:vMerge w:val="restart"/>
            <w:tcBorders>
              <w:tl2br w:val="nil"/>
              <w:tr2bl w:val="nil"/>
            </w:tcBorders>
            <w:shd w:val="clear" w:color="auto" w:fill="auto"/>
            <w:noWrap/>
            <w:vAlign w:val="center"/>
          </w:tcPr>
          <w:p w14:paraId="058047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林地</w:t>
            </w:r>
          </w:p>
        </w:tc>
        <w:tc>
          <w:tcPr>
            <w:tcW w:w="1040" w:type="pct"/>
            <w:tcBorders>
              <w:tl2br w:val="nil"/>
              <w:tr2bl w:val="nil"/>
            </w:tcBorders>
            <w:shd w:val="clear" w:color="auto" w:fill="auto"/>
            <w:noWrap/>
            <w:vAlign w:val="center"/>
          </w:tcPr>
          <w:p w14:paraId="1DB681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乔木林地</w:t>
            </w:r>
          </w:p>
        </w:tc>
        <w:tc>
          <w:tcPr>
            <w:tcW w:w="623" w:type="pct"/>
            <w:tcBorders>
              <w:tl2br w:val="nil"/>
              <w:tr2bl w:val="nil"/>
            </w:tcBorders>
            <w:shd w:val="clear" w:color="auto" w:fill="auto"/>
            <w:noWrap/>
            <w:vAlign w:val="center"/>
          </w:tcPr>
          <w:p w14:paraId="1AE963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69.87</w:t>
            </w:r>
          </w:p>
        </w:tc>
        <w:tc>
          <w:tcPr>
            <w:tcW w:w="471" w:type="pct"/>
            <w:tcBorders>
              <w:tl2br w:val="nil"/>
              <w:tr2bl w:val="nil"/>
            </w:tcBorders>
            <w:shd w:val="clear" w:color="auto" w:fill="auto"/>
            <w:noWrap/>
            <w:vAlign w:val="center"/>
          </w:tcPr>
          <w:p w14:paraId="40D274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486" w:type="pct"/>
            <w:tcBorders>
              <w:tl2br w:val="nil"/>
              <w:tr2bl w:val="nil"/>
            </w:tcBorders>
            <w:shd w:val="clear" w:color="auto" w:fill="auto"/>
            <w:noWrap/>
            <w:vAlign w:val="center"/>
          </w:tcPr>
          <w:p w14:paraId="05BD8A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456" w:type="pct"/>
            <w:tcBorders>
              <w:tl2br w:val="nil"/>
              <w:tr2bl w:val="nil"/>
            </w:tcBorders>
            <w:shd w:val="clear" w:color="auto" w:fill="auto"/>
            <w:noWrap/>
            <w:vAlign w:val="center"/>
          </w:tcPr>
          <w:p w14:paraId="13E36F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978" w:type="pct"/>
            <w:tcBorders>
              <w:tl2br w:val="nil"/>
              <w:tr2bl w:val="nil"/>
            </w:tcBorders>
            <w:shd w:val="clear" w:color="auto" w:fill="auto"/>
            <w:noWrap/>
            <w:vAlign w:val="center"/>
          </w:tcPr>
          <w:p w14:paraId="47FA6D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35831F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4BC092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98" w:type="pct"/>
            <w:vMerge w:val="continue"/>
            <w:tcBorders>
              <w:tl2br w:val="nil"/>
              <w:tr2bl w:val="nil"/>
            </w:tcBorders>
            <w:shd w:val="clear" w:color="auto" w:fill="auto"/>
            <w:noWrap/>
            <w:vAlign w:val="center"/>
          </w:tcPr>
          <w:p w14:paraId="1D85AF79">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63FBAD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灌木林地</w:t>
            </w:r>
          </w:p>
        </w:tc>
        <w:tc>
          <w:tcPr>
            <w:tcW w:w="623" w:type="pct"/>
            <w:tcBorders>
              <w:tl2br w:val="nil"/>
              <w:tr2bl w:val="nil"/>
            </w:tcBorders>
            <w:shd w:val="clear" w:color="auto" w:fill="auto"/>
            <w:noWrap/>
            <w:vAlign w:val="center"/>
          </w:tcPr>
          <w:p w14:paraId="43A7EA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19.28</w:t>
            </w:r>
          </w:p>
        </w:tc>
        <w:tc>
          <w:tcPr>
            <w:tcW w:w="471" w:type="pct"/>
            <w:tcBorders>
              <w:tl2br w:val="nil"/>
              <w:tr2bl w:val="nil"/>
            </w:tcBorders>
            <w:shd w:val="clear" w:color="auto" w:fill="auto"/>
            <w:noWrap/>
            <w:vAlign w:val="center"/>
          </w:tcPr>
          <w:p w14:paraId="4D1347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486" w:type="pct"/>
            <w:tcBorders>
              <w:tl2br w:val="nil"/>
              <w:tr2bl w:val="nil"/>
            </w:tcBorders>
            <w:shd w:val="clear" w:color="auto" w:fill="auto"/>
            <w:noWrap/>
            <w:vAlign w:val="center"/>
          </w:tcPr>
          <w:p w14:paraId="3587D7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456" w:type="pct"/>
            <w:tcBorders>
              <w:tl2br w:val="nil"/>
              <w:tr2bl w:val="nil"/>
            </w:tcBorders>
            <w:shd w:val="clear" w:color="auto" w:fill="auto"/>
            <w:noWrap/>
            <w:vAlign w:val="center"/>
          </w:tcPr>
          <w:p w14:paraId="200D4C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978" w:type="pct"/>
            <w:tcBorders>
              <w:tl2br w:val="nil"/>
              <w:tr2bl w:val="nil"/>
            </w:tcBorders>
            <w:shd w:val="clear" w:color="auto" w:fill="auto"/>
            <w:noWrap/>
            <w:vAlign w:val="center"/>
          </w:tcPr>
          <w:p w14:paraId="65274E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r>
      <w:tr w14:paraId="33D26A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170490D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98" w:type="pct"/>
            <w:vMerge w:val="continue"/>
            <w:tcBorders>
              <w:tl2br w:val="nil"/>
              <w:tr2bl w:val="nil"/>
            </w:tcBorders>
            <w:shd w:val="clear" w:color="auto" w:fill="auto"/>
            <w:noWrap/>
            <w:vAlign w:val="center"/>
          </w:tcPr>
          <w:p w14:paraId="23D38ADA">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0A4AE8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其他林地</w:t>
            </w:r>
          </w:p>
        </w:tc>
        <w:tc>
          <w:tcPr>
            <w:tcW w:w="623" w:type="pct"/>
            <w:tcBorders>
              <w:tl2br w:val="nil"/>
              <w:tr2bl w:val="nil"/>
            </w:tcBorders>
            <w:shd w:val="clear" w:color="auto" w:fill="auto"/>
            <w:noWrap/>
            <w:vAlign w:val="center"/>
          </w:tcPr>
          <w:p w14:paraId="0B18AC9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179.04</w:t>
            </w:r>
          </w:p>
        </w:tc>
        <w:tc>
          <w:tcPr>
            <w:tcW w:w="471" w:type="pct"/>
            <w:tcBorders>
              <w:tl2br w:val="nil"/>
              <w:tr2bl w:val="nil"/>
            </w:tcBorders>
            <w:shd w:val="clear" w:color="auto" w:fill="auto"/>
            <w:noWrap/>
            <w:vAlign w:val="center"/>
          </w:tcPr>
          <w:p w14:paraId="702C30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86" w:type="pct"/>
            <w:tcBorders>
              <w:tl2br w:val="nil"/>
              <w:tr2bl w:val="nil"/>
            </w:tcBorders>
            <w:shd w:val="clear" w:color="auto" w:fill="auto"/>
            <w:noWrap/>
            <w:vAlign w:val="center"/>
          </w:tcPr>
          <w:p w14:paraId="140F4C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456" w:type="pct"/>
            <w:tcBorders>
              <w:tl2br w:val="nil"/>
              <w:tr2bl w:val="nil"/>
            </w:tcBorders>
            <w:shd w:val="clear" w:color="auto" w:fill="auto"/>
            <w:noWrap/>
            <w:vAlign w:val="center"/>
          </w:tcPr>
          <w:p w14:paraId="28D02E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0.47</w:t>
            </w:r>
          </w:p>
        </w:tc>
        <w:tc>
          <w:tcPr>
            <w:tcW w:w="978" w:type="pct"/>
            <w:tcBorders>
              <w:tl2br w:val="nil"/>
              <w:tr2bl w:val="nil"/>
            </w:tcBorders>
            <w:shd w:val="clear" w:color="auto" w:fill="auto"/>
            <w:noWrap/>
            <w:vAlign w:val="center"/>
          </w:tcPr>
          <w:p w14:paraId="32A194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r>
      <w:tr w14:paraId="1D408D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E311B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98" w:type="pct"/>
            <w:vMerge w:val="restart"/>
            <w:tcBorders>
              <w:tl2br w:val="nil"/>
              <w:tr2bl w:val="nil"/>
            </w:tcBorders>
            <w:shd w:val="clear" w:color="auto" w:fill="auto"/>
            <w:noWrap/>
            <w:vAlign w:val="center"/>
          </w:tcPr>
          <w:p w14:paraId="16F009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草地</w:t>
            </w:r>
          </w:p>
        </w:tc>
        <w:tc>
          <w:tcPr>
            <w:tcW w:w="1040" w:type="pct"/>
            <w:tcBorders>
              <w:tl2br w:val="nil"/>
              <w:tr2bl w:val="nil"/>
            </w:tcBorders>
            <w:shd w:val="clear" w:color="auto" w:fill="auto"/>
            <w:noWrap/>
            <w:vAlign w:val="center"/>
          </w:tcPr>
          <w:p w14:paraId="593A44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天然牧草地</w:t>
            </w:r>
          </w:p>
        </w:tc>
        <w:tc>
          <w:tcPr>
            <w:tcW w:w="623" w:type="pct"/>
            <w:tcBorders>
              <w:tl2br w:val="nil"/>
              <w:tr2bl w:val="nil"/>
            </w:tcBorders>
            <w:shd w:val="clear" w:color="auto" w:fill="auto"/>
            <w:noWrap/>
            <w:vAlign w:val="center"/>
          </w:tcPr>
          <w:p w14:paraId="06624FA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w:t>
            </w:r>
          </w:p>
        </w:tc>
        <w:tc>
          <w:tcPr>
            <w:tcW w:w="471" w:type="pct"/>
            <w:tcBorders>
              <w:tl2br w:val="nil"/>
              <w:tr2bl w:val="nil"/>
            </w:tcBorders>
            <w:shd w:val="clear" w:color="auto" w:fill="auto"/>
            <w:noWrap/>
            <w:vAlign w:val="center"/>
          </w:tcPr>
          <w:p w14:paraId="00C35B31">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56D269BF">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00CAB318">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273873EA">
            <w:pPr>
              <w:jc w:val="center"/>
              <w:rPr>
                <w:rFonts w:hint="default" w:ascii="Times New Roman" w:hAnsi="Times New Roman" w:eastAsia="宋体" w:cs="Times New Roman"/>
                <w:i w:val="0"/>
                <w:iCs w:val="0"/>
                <w:color w:val="000000"/>
                <w:sz w:val="21"/>
                <w:szCs w:val="21"/>
                <w:u w:val="none"/>
              </w:rPr>
            </w:pPr>
          </w:p>
        </w:tc>
      </w:tr>
      <w:tr w14:paraId="248C7F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8E726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98" w:type="pct"/>
            <w:vMerge w:val="continue"/>
            <w:tcBorders>
              <w:tl2br w:val="nil"/>
              <w:tr2bl w:val="nil"/>
            </w:tcBorders>
            <w:shd w:val="clear" w:color="auto" w:fill="auto"/>
            <w:noWrap/>
            <w:vAlign w:val="center"/>
          </w:tcPr>
          <w:p w14:paraId="4BF7D4C5">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2D80A6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人工牧草地</w:t>
            </w:r>
          </w:p>
        </w:tc>
        <w:tc>
          <w:tcPr>
            <w:tcW w:w="623" w:type="pct"/>
            <w:tcBorders>
              <w:tl2br w:val="nil"/>
              <w:tr2bl w:val="nil"/>
            </w:tcBorders>
            <w:shd w:val="clear" w:color="auto" w:fill="auto"/>
            <w:noWrap/>
            <w:vAlign w:val="center"/>
          </w:tcPr>
          <w:p w14:paraId="59E826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8.37</w:t>
            </w:r>
          </w:p>
        </w:tc>
        <w:tc>
          <w:tcPr>
            <w:tcW w:w="471" w:type="pct"/>
            <w:tcBorders>
              <w:tl2br w:val="nil"/>
              <w:tr2bl w:val="nil"/>
            </w:tcBorders>
            <w:shd w:val="clear" w:color="auto" w:fill="auto"/>
            <w:noWrap/>
            <w:vAlign w:val="center"/>
          </w:tcPr>
          <w:p w14:paraId="6D4B66C4">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66168BA8">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62280B4C">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3914D9ED">
            <w:pPr>
              <w:jc w:val="center"/>
              <w:rPr>
                <w:rFonts w:hint="default" w:ascii="Times New Roman" w:hAnsi="Times New Roman" w:eastAsia="宋体" w:cs="Times New Roman"/>
                <w:i w:val="0"/>
                <w:iCs w:val="0"/>
                <w:color w:val="000000"/>
                <w:sz w:val="21"/>
                <w:szCs w:val="21"/>
                <w:u w:val="none"/>
              </w:rPr>
            </w:pPr>
          </w:p>
        </w:tc>
      </w:tr>
      <w:tr w14:paraId="60EBDC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9B460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598" w:type="pct"/>
            <w:vMerge w:val="continue"/>
            <w:tcBorders>
              <w:tl2br w:val="nil"/>
              <w:tr2bl w:val="nil"/>
            </w:tcBorders>
            <w:shd w:val="clear" w:color="auto" w:fill="auto"/>
            <w:noWrap/>
            <w:vAlign w:val="center"/>
          </w:tcPr>
          <w:p w14:paraId="6BD414D1">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6FAFFE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其他草地</w:t>
            </w:r>
          </w:p>
        </w:tc>
        <w:tc>
          <w:tcPr>
            <w:tcW w:w="623" w:type="pct"/>
            <w:tcBorders>
              <w:tl2br w:val="nil"/>
              <w:tr2bl w:val="nil"/>
            </w:tcBorders>
            <w:shd w:val="clear" w:color="auto" w:fill="auto"/>
            <w:noWrap/>
            <w:vAlign w:val="center"/>
          </w:tcPr>
          <w:p w14:paraId="3AC25E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78.88</w:t>
            </w:r>
          </w:p>
        </w:tc>
        <w:tc>
          <w:tcPr>
            <w:tcW w:w="471" w:type="pct"/>
            <w:tcBorders>
              <w:tl2br w:val="nil"/>
              <w:tr2bl w:val="nil"/>
            </w:tcBorders>
            <w:shd w:val="clear" w:color="auto" w:fill="auto"/>
            <w:noWrap/>
            <w:vAlign w:val="center"/>
          </w:tcPr>
          <w:p w14:paraId="51D945FE">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37ACA4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456" w:type="pct"/>
            <w:tcBorders>
              <w:tl2br w:val="nil"/>
              <w:tr2bl w:val="nil"/>
            </w:tcBorders>
            <w:shd w:val="clear" w:color="auto" w:fill="auto"/>
            <w:noWrap/>
            <w:vAlign w:val="center"/>
          </w:tcPr>
          <w:p w14:paraId="43F6C21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978" w:type="pct"/>
            <w:tcBorders>
              <w:tl2br w:val="nil"/>
              <w:tr2bl w:val="nil"/>
            </w:tcBorders>
            <w:shd w:val="clear" w:color="auto" w:fill="auto"/>
            <w:noWrap/>
            <w:vAlign w:val="center"/>
          </w:tcPr>
          <w:p w14:paraId="28791E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r>
      <w:tr w14:paraId="325CD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28C2B6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98" w:type="pct"/>
            <w:tcBorders>
              <w:tl2br w:val="nil"/>
              <w:tr2bl w:val="nil"/>
            </w:tcBorders>
            <w:shd w:val="clear" w:color="auto" w:fill="auto"/>
            <w:noWrap/>
            <w:vAlign w:val="center"/>
          </w:tcPr>
          <w:p w14:paraId="127EA9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住宅用地</w:t>
            </w:r>
          </w:p>
        </w:tc>
        <w:tc>
          <w:tcPr>
            <w:tcW w:w="1040" w:type="pct"/>
            <w:tcBorders>
              <w:tl2br w:val="nil"/>
              <w:tr2bl w:val="nil"/>
            </w:tcBorders>
            <w:shd w:val="clear" w:color="auto" w:fill="auto"/>
            <w:noWrap/>
            <w:vAlign w:val="center"/>
          </w:tcPr>
          <w:p w14:paraId="47DFD9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农村宅基地</w:t>
            </w:r>
          </w:p>
        </w:tc>
        <w:tc>
          <w:tcPr>
            <w:tcW w:w="623" w:type="pct"/>
            <w:tcBorders>
              <w:tl2br w:val="nil"/>
              <w:tr2bl w:val="nil"/>
            </w:tcBorders>
            <w:shd w:val="clear" w:color="auto" w:fill="auto"/>
            <w:noWrap/>
            <w:vAlign w:val="center"/>
          </w:tcPr>
          <w:p w14:paraId="793C66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11.93</w:t>
            </w:r>
          </w:p>
        </w:tc>
        <w:tc>
          <w:tcPr>
            <w:tcW w:w="471" w:type="pct"/>
            <w:tcBorders>
              <w:tl2br w:val="nil"/>
              <w:tr2bl w:val="nil"/>
            </w:tcBorders>
            <w:shd w:val="clear" w:color="auto" w:fill="auto"/>
            <w:noWrap/>
            <w:vAlign w:val="center"/>
          </w:tcPr>
          <w:p w14:paraId="5FB8B6D6">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2EE632E0">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42509418">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50B3BFCF">
            <w:pPr>
              <w:jc w:val="center"/>
              <w:rPr>
                <w:rFonts w:hint="default" w:ascii="Times New Roman" w:hAnsi="Times New Roman" w:eastAsia="宋体" w:cs="Times New Roman"/>
                <w:i w:val="0"/>
                <w:iCs w:val="0"/>
                <w:color w:val="000000"/>
                <w:sz w:val="21"/>
                <w:szCs w:val="21"/>
                <w:u w:val="none"/>
              </w:rPr>
            </w:pPr>
          </w:p>
        </w:tc>
      </w:tr>
      <w:tr w14:paraId="5569EA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6888E7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98" w:type="pct"/>
            <w:tcBorders>
              <w:tl2br w:val="nil"/>
              <w:tr2bl w:val="nil"/>
            </w:tcBorders>
            <w:shd w:val="clear" w:color="auto" w:fill="auto"/>
            <w:noWrap/>
            <w:vAlign w:val="center"/>
          </w:tcPr>
          <w:p w14:paraId="0F0EA3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特殊用地</w:t>
            </w:r>
          </w:p>
        </w:tc>
        <w:tc>
          <w:tcPr>
            <w:tcW w:w="1040" w:type="pct"/>
            <w:tcBorders>
              <w:tl2br w:val="nil"/>
              <w:tr2bl w:val="nil"/>
            </w:tcBorders>
            <w:shd w:val="clear" w:color="auto" w:fill="auto"/>
            <w:noWrap/>
            <w:vAlign w:val="center"/>
          </w:tcPr>
          <w:p w14:paraId="24271A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特殊用地</w:t>
            </w:r>
          </w:p>
        </w:tc>
        <w:tc>
          <w:tcPr>
            <w:tcW w:w="623" w:type="pct"/>
            <w:tcBorders>
              <w:tl2br w:val="nil"/>
              <w:tr2bl w:val="nil"/>
            </w:tcBorders>
            <w:shd w:val="clear" w:color="auto" w:fill="auto"/>
            <w:noWrap/>
            <w:vAlign w:val="center"/>
          </w:tcPr>
          <w:p w14:paraId="0BE209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0.99</w:t>
            </w:r>
          </w:p>
        </w:tc>
        <w:tc>
          <w:tcPr>
            <w:tcW w:w="471" w:type="pct"/>
            <w:tcBorders>
              <w:tl2br w:val="nil"/>
              <w:tr2bl w:val="nil"/>
            </w:tcBorders>
            <w:shd w:val="clear" w:color="auto" w:fill="auto"/>
            <w:noWrap/>
            <w:vAlign w:val="center"/>
          </w:tcPr>
          <w:p w14:paraId="67E7371D">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1AD8228C">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558A1675">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2B107D2B">
            <w:pPr>
              <w:jc w:val="center"/>
              <w:rPr>
                <w:rFonts w:hint="default" w:ascii="Times New Roman" w:hAnsi="Times New Roman" w:eastAsia="宋体" w:cs="Times New Roman"/>
                <w:i w:val="0"/>
                <w:iCs w:val="0"/>
                <w:color w:val="000000"/>
                <w:sz w:val="21"/>
                <w:szCs w:val="21"/>
                <w:u w:val="none"/>
              </w:rPr>
            </w:pPr>
          </w:p>
        </w:tc>
      </w:tr>
      <w:tr w14:paraId="74A83C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006F02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98" w:type="pct"/>
            <w:vMerge w:val="restart"/>
            <w:tcBorders>
              <w:tl2br w:val="nil"/>
              <w:tr2bl w:val="nil"/>
            </w:tcBorders>
            <w:shd w:val="clear" w:color="auto" w:fill="auto"/>
            <w:vAlign w:val="center"/>
          </w:tcPr>
          <w:p w14:paraId="37EA9E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公用管理与公共服务用地</w:t>
            </w:r>
          </w:p>
        </w:tc>
        <w:tc>
          <w:tcPr>
            <w:tcW w:w="1040" w:type="pct"/>
            <w:tcBorders>
              <w:tl2br w:val="nil"/>
              <w:tr2bl w:val="nil"/>
            </w:tcBorders>
            <w:shd w:val="clear" w:color="auto" w:fill="auto"/>
            <w:noWrap/>
            <w:vAlign w:val="center"/>
          </w:tcPr>
          <w:p w14:paraId="388F20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公用设施用地</w:t>
            </w:r>
          </w:p>
        </w:tc>
        <w:tc>
          <w:tcPr>
            <w:tcW w:w="623" w:type="pct"/>
            <w:tcBorders>
              <w:tl2br w:val="nil"/>
              <w:tr2bl w:val="nil"/>
            </w:tcBorders>
            <w:shd w:val="clear" w:color="auto" w:fill="auto"/>
            <w:noWrap/>
            <w:vAlign w:val="center"/>
          </w:tcPr>
          <w:p w14:paraId="05390C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71" w:type="pct"/>
            <w:tcBorders>
              <w:tl2br w:val="nil"/>
              <w:tr2bl w:val="nil"/>
            </w:tcBorders>
            <w:shd w:val="clear" w:color="auto" w:fill="auto"/>
            <w:noWrap/>
            <w:vAlign w:val="center"/>
          </w:tcPr>
          <w:p w14:paraId="1FC68C93">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0901B05A">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15E75D2A">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6491903A">
            <w:pPr>
              <w:jc w:val="center"/>
              <w:rPr>
                <w:rFonts w:hint="default" w:ascii="Times New Roman" w:hAnsi="Times New Roman" w:eastAsia="宋体" w:cs="Times New Roman"/>
                <w:i w:val="0"/>
                <w:iCs w:val="0"/>
                <w:color w:val="000000"/>
                <w:sz w:val="21"/>
                <w:szCs w:val="21"/>
                <w:u w:val="none"/>
              </w:rPr>
            </w:pPr>
          </w:p>
        </w:tc>
      </w:tr>
      <w:tr w14:paraId="5AF36B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01050B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98" w:type="pct"/>
            <w:vMerge w:val="continue"/>
            <w:tcBorders>
              <w:tl2br w:val="nil"/>
              <w:tr2bl w:val="nil"/>
            </w:tcBorders>
            <w:shd w:val="clear" w:color="auto" w:fill="auto"/>
            <w:vAlign w:val="center"/>
          </w:tcPr>
          <w:p w14:paraId="30D3448F">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0D592A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机关团体新闻出版用地</w:t>
            </w:r>
          </w:p>
        </w:tc>
        <w:tc>
          <w:tcPr>
            <w:tcW w:w="623" w:type="pct"/>
            <w:tcBorders>
              <w:tl2br w:val="nil"/>
              <w:tr2bl w:val="nil"/>
            </w:tcBorders>
            <w:shd w:val="clear" w:color="auto" w:fill="auto"/>
            <w:noWrap/>
            <w:vAlign w:val="center"/>
          </w:tcPr>
          <w:p w14:paraId="7C856A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471" w:type="pct"/>
            <w:tcBorders>
              <w:tl2br w:val="nil"/>
              <w:tr2bl w:val="nil"/>
            </w:tcBorders>
            <w:shd w:val="clear" w:color="auto" w:fill="auto"/>
            <w:noWrap/>
            <w:vAlign w:val="center"/>
          </w:tcPr>
          <w:p w14:paraId="70FDCEE8">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5313DA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456" w:type="pct"/>
            <w:tcBorders>
              <w:tl2br w:val="nil"/>
              <w:tr2bl w:val="nil"/>
            </w:tcBorders>
            <w:shd w:val="clear" w:color="auto" w:fill="auto"/>
            <w:noWrap/>
            <w:vAlign w:val="center"/>
          </w:tcPr>
          <w:p w14:paraId="37533F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978" w:type="pct"/>
            <w:tcBorders>
              <w:tl2br w:val="nil"/>
              <w:tr2bl w:val="nil"/>
            </w:tcBorders>
            <w:shd w:val="clear" w:color="auto" w:fill="auto"/>
            <w:noWrap/>
            <w:vAlign w:val="center"/>
          </w:tcPr>
          <w:p w14:paraId="661E2D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r>
      <w:tr w14:paraId="53AA2E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6D71E0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98" w:type="pct"/>
            <w:vMerge w:val="continue"/>
            <w:tcBorders>
              <w:tl2br w:val="nil"/>
              <w:tr2bl w:val="nil"/>
            </w:tcBorders>
            <w:shd w:val="clear" w:color="auto" w:fill="auto"/>
            <w:vAlign w:val="center"/>
          </w:tcPr>
          <w:p w14:paraId="3776CF91">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1F02CE9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科教文卫用地</w:t>
            </w:r>
          </w:p>
        </w:tc>
        <w:tc>
          <w:tcPr>
            <w:tcW w:w="623" w:type="pct"/>
            <w:tcBorders>
              <w:tl2br w:val="nil"/>
              <w:tr2bl w:val="nil"/>
            </w:tcBorders>
            <w:shd w:val="clear" w:color="auto" w:fill="auto"/>
            <w:noWrap/>
            <w:vAlign w:val="center"/>
          </w:tcPr>
          <w:p w14:paraId="4B7B01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471" w:type="pct"/>
            <w:tcBorders>
              <w:tl2br w:val="nil"/>
              <w:tr2bl w:val="nil"/>
            </w:tcBorders>
            <w:shd w:val="clear" w:color="auto" w:fill="auto"/>
            <w:noWrap/>
            <w:vAlign w:val="center"/>
          </w:tcPr>
          <w:p w14:paraId="24561DFD">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76A86FB1">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078F90E9">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11B0EF0C">
            <w:pPr>
              <w:jc w:val="center"/>
              <w:rPr>
                <w:rFonts w:hint="default" w:ascii="Times New Roman" w:hAnsi="Times New Roman" w:eastAsia="宋体" w:cs="Times New Roman"/>
                <w:i w:val="0"/>
                <w:iCs w:val="0"/>
                <w:color w:val="000000"/>
                <w:sz w:val="21"/>
                <w:szCs w:val="21"/>
                <w:u w:val="none"/>
              </w:rPr>
            </w:pPr>
          </w:p>
        </w:tc>
      </w:tr>
      <w:tr w14:paraId="03EB72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26D011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598" w:type="pct"/>
            <w:vMerge w:val="restart"/>
            <w:tcBorders>
              <w:tl2br w:val="nil"/>
              <w:tr2bl w:val="nil"/>
            </w:tcBorders>
            <w:shd w:val="clear" w:color="auto" w:fill="auto"/>
            <w:noWrap/>
            <w:vAlign w:val="center"/>
          </w:tcPr>
          <w:p w14:paraId="20C40D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交通运输用地</w:t>
            </w:r>
          </w:p>
        </w:tc>
        <w:tc>
          <w:tcPr>
            <w:tcW w:w="1040" w:type="pct"/>
            <w:tcBorders>
              <w:tl2br w:val="nil"/>
              <w:tr2bl w:val="nil"/>
            </w:tcBorders>
            <w:shd w:val="clear" w:color="auto" w:fill="auto"/>
            <w:noWrap/>
            <w:vAlign w:val="center"/>
          </w:tcPr>
          <w:p w14:paraId="5E1214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城镇村道路用地</w:t>
            </w:r>
          </w:p>
        </w:tc>
        <w:tc>
          <w:tcPr>
            <w:tcW w:w="623" w:type="pct"/>
            <w:tcBorders>
              <w:tl2br w:val="nil"/>
              <w:tr2bl w:val="nil"/>
            </w:tcBorders>
            <w:shd w:val="clear" w:color="auto" w:fill="auto"/>
            <w:noWrap/>
            <w:vAlign w:val="center"/>
          </w:tcPr>
          <w:p w14:paraId="7F6F96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471" w:type="pct"/>
            <w:tcBorders>
              <w:tl2br w:val="nil"/>
              <w:tr2bl w:val="nil"/>
            </w:tcBorders>
            <w:shd w:val="clear" w:color="auto" w:fill="auto"/>
            <w:noWrap/>
            <w:vAlign w:val="center"/>
          </w:tcPr>
          <w:p w14:paraId="001624A1">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6123D3DE">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77A37C23">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5C424C92">
            <w:pPr>
              <w:jc w:val="center"/>
              <w:rPr>
                <w:rFonts w:hint="default" w:ascii="Times New Roman" w:hAnsi="Times New Roman" w:eastAsia="宋体" w:cs="Times New Roman"/>
                <w:i w:val="0"/>
                <w:iCs w:val="0"/>
                <w:color w:val="000000"/>
                <w:sz w:val="21"/>
                <w:szCs w:val="21"/>
                <w:u w:val="none"/>
              </w:rPr>
            </w:pPr>
          </w:p>
        </w:tc>
      </w:tr>
      <w:tr w14:paraId="63765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25D0E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98" w:type="pct"/>
            <w:vMerge w:val="continue"/>
            <w:tcBorders>
              <w:tl2br w:val="nil"/>
              <w:tr2bl w:val="nil"/>
            </w:tcBorders>
            <w:shd w:val="clear" w:color="auto" w:fill="auto"/>
            <w:noWrap/>
            <w:vAlign w:val="center"/>
          </w:tcPr>
          <w:p w14:paraId="14EBAAF0">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26AF422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公路用地</w:t>
            </w:r>
          </w:p>
        </w:tc>
        <w:tc>
          <w:tcPr>
            <w:tcW w:w="623" w:type="pct"/>
            <w:tcBorders>
              <w:tl2br w:val="nil"/>
              <w:tr2bl w:val="nil"/>
            </w:tcBorders>
            <w:shd w:val="clear" w:color="auto" w:fill="auto"/>
            <w:noWrap/>
            <w:vAlign w:val="center"/>
          </w:tcPr>
          <w:p w14:paraId="33C8D5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6.64</w:t>
            </w:r>
          </w:p>
        </w:tc>
        <w:tc>
          <w:tcPr>
            <w:tcW w:w="471" w:type="pct"/>
            <w:tcBorders>
              <w:tl2br w:val="nil"/>
              <w:tr2bl w:val="nil"/>
            </w:tcBorders>
            <w:shd w:val="clear" w:color="auto" w:fill="auto"/>
            <w:noWrap/>
            <w:vAlign w:val="center"/>
          </w:tcPr>
          <w:p w14:paraId="5884EC47">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46DC8FF8">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18980EC3">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64D9AD9F">
            <w:pPr>
              <w:jc w:val="center"/>
              <w:rPr>
                <w:rFonts w:hint="default" w:ascii="Times New Roman" w:hAnsi="Times New Roman" w:eastAsia="宋体" w:cs="Times New Roman"/>
                <w:i w:val="0"/>
                <w:iCs w:val="0"/>
                <w:color w:val="000000"/>
                <w:sz w:val="21"/>
                <w:szCs w:val="21"/>
                <w:u w:val="none"/>
              </w:rPr>
            </w:pPr>
          </w:p>
        </w:tc>
      </w:tr>
      <w:tr w14:paraId="3E23AB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EDA2A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98" w:type="pct"/>
            <w:vMerge w:val="continue"/>
            <w:tcBorders>
              <w:tl2br w:val="nil"/>
              <w:tr2bl w:val="nil"/>
            </w:tcBorders>
            <w:shd w:val="clear" w:color="auto" w:fill="auto"/>
            <w:noWrap/>
            <w:vAlign w:val="center"/>
          </w:tcPr>
          <w:p w14:paraId="565E89D7">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636F72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农村道路</w:t>
            </w:r>
          </w:p>
        </w:tc>
        <w:tc>
          <w:tcPr>
            <w:tcW w:w="623" w:type="pct"/>
            <w:tcBorders>
              <w:tl2br w:val="nil"/>
              <w:tr2bl w:val="nil"/>
            </w:tcBorders>
            <w:shd w:val="clear" w:color="auto" w:fill="auto"/>
            <w:noWrap/>
            <w:vAlign w:val="center"/>
          </w:tcPr>
          <w:p w14:paraId="739278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24.31</w:t>
            </w:r>
          </w:p>
        </w:tc>
        <w:tc>
          <w:tcPr>
            <w:tcW w:w="471" w:type="pct"/>
            <w:tcBorders>
              <w:tl2br w:val="nil"/>
              <w:tr2bl w:val="nil"/>
            </w:tcBorders>
            <w:shd w:val="clear" w:color="auto" w:fill="auto"/>
            <w:noWrap/>
            <w:vAlign w:val="center"/>
          </w:tcPr>
          <w:p w14:paraId="5EECED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486" w:type="pct"/>
            <w:tcBorders>
              <w:tl2br w:val="nil"/>
              <w:tr2bl w:val="nil"/>
            </w:tcBorders>
            <w:shd w:val="clear" w:color="auto" w:fill="auto"/>
            <w:noWrap/>
            <w:vAlign w:val="center"/>
          </w:tcPr>
          <w:p w14:paraId="1F7243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p>
        </w:tc>
        <w:tc>
          <w:tcPr>
            <w:tcW w:w="456" w:type="pct"/>
            <w:tcBorders>
              <w:tl2br w:val="nil"/>
              <w:tr2bl w:val="nil"/>
            </w:tcBorders>
            <w:shd w:val="clear" w:color="auto" w:fill="auto"/>
            <w:noWrap/>
            <w:vAlign w:val="center"/>
          </w:tcPr>
          <w:p w14:paraId="09B913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p>
        </w:tc>
        <w:tc>
          <w:tcPr>
            <w:tcW w:w="978" w:type="pct"/>
            <w:tcBorders>
              <w:tl2br w:val="nil"/>
              <w:tr2bl w:val="nil"/>
            </w:tcBorders>
            <w:shd w:val="clear" w:color="auto" w:fill="auto"/>
            <w:noWrap/>
            <w:vAlign w:val="center"/>
          </w:tcPr>
          <w:p w14:paraId="4BAE0C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12</w:t>
            </w:r>
          </w:p>
        </w:tc>
      </w:tr>
      <w:tr w14:paraId="24A09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35BEED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598" w:type="pct"/>
            <w:vMerge w:val="restart"/>
            <w:tcBorders>
              <w:tl2br w:val="nil"/>
              <w:tr2bl w:val="nil"/>
            </w:tcBorders>
            <w:shd w:val="clear" w:color="auto" w:fill="auto"/>
            <w:vAlign w:val="center"/>
          </w:tcPr>
          <w:p w14:paraId="3F9659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水域及水利设施用地</w:t>
            </w:r>
          </w:p>
        </w:tc>
        <w:tc>
          <w:tcPr>
            <w:tcW w:w="1040" w:type="pct"/>
            <w:tcBorders>
              <w:tl2br w:val="nil"/>
              <w:tr2bl w:val="nil"/>
            </w:tcBorders>
            <w:shd w:val="clear" w:color="auto" w:fill="auto"/>
            <w:noWrap/>
            <w:vAlign w:val="center"/>
          </w:tcPr>
          <w:p w14:paraId="186D2E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水工建筑用地</w:t>
            </w:r>
          </w:p>
        </w:tc>
        <w:tc>
          <w:tcPr>
            <w:tcW w:w="623" w:type="pct"/>
            <w:tcBorders>
              <w:tl2br w:val="nil"/>
              <w:tr2bl w:val="nil"/>
            </w:tcBorders>
            <w:shd w:val="clear" w:color="auto" w:fill="auto"/>
            <w:noWrap/>
            <w:vAlign w:val="center"/>
          </w:tcPr>
          <w:p w14:paraId="5C3352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471" w:type="pct"/>
            <w:tcBorders>
              <w:tl2br w:val="nil"/>
              <w:tr2bl w:val="nil"/>
            </w:tcBorders>
            <w:shd w:val="clear" w:color="auto" w:fill="auto"/>
            <w:noWrap/>
            <w:vAlign w:val="center"/>
          </w:tcPr>
          <w:p w14:paraId="5D2F2161">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77DA88E2">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78D32486">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2F587608">
            <w:pPr>
              <w:jc w:val="center"/>
              <w:rPr>
                <w:rFonts w:hint="default" w:ascii="Times New Roman" w:hAnsi="Times New Roman" w:eastAsia="宋体" w:cs="Times New Roman"/>
                <w:i w:val="0"/>
                <w:iCs w:val="0"/>
                <w:color w:val="000000"/>
                <w:sz w:val="21"/>
                <w:szCs w:val="21"/>
                <w:u w:val="none"/>
              </w:rPr>
            </w:pPr>
          </w:p>
        </w:tc>
      </w:tr>
      <w:tr w14:paraId="0120DB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42862C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98" w:type="pct"/>
            <w:vMerge w:val="continue"/>
            <w:tcBorders>
              <w:tl2br w:val="nil"/>
              <w:tr2bl w:val="nil"/>
            </w:tcBorders>
            <w:shd w:val="clear" w:color="auto" w:fill="auto"/>
            <w:vAlign w:val="center"/>
          </w:tcPr>
          <w:p w14:paraId="6D222A2F">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16DC30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水库水面</w:t>
            </w:r>
          </w:p>
        </w:tc>
        <w:tc>
          <w:tcPr>
            <w:tcW w:w="623" w:type="pct"/>
            <w:tcBorders>
              <w:tl2br w:val="nil"/>
              <w:tr2bl w:val="nil"/>
            </w:tcBorders>
            <w:shd w:val="clear" w:color="auto" w:fill="auto"/>
            <w:noWrap/>
            <w:vAlign w:val="center"/>
          </w:tcPr>
          <w:p w14:paraId="35445A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6.30</w:t>
            </w:r>
          </w:p>
        </w:tc>
        <w:tc>
          <w:tcPr>
            <w:tcW w:w="471" w:type="pct"/>
            <w:tcBorders>
              <w:tl2br w:val="nil"/>
              <w:tr2bl w:val="nil"/>
            </w:tcBorders>
            <w:shd w:val="clear" w:color="auto" w:fill="auto"/>
            <w:noWrap/>
            <w:vAlign w:val="center"/>
          </w:tcPr>
          <w:p w14:paraId="0FB05FEB">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36B4EAC3">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3A76B305">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4C63852C">
            <w:pPr>
              <w:jc w:val="center"/>
              <w:rPr>
                <w:rFonts w:hint="default" w:ascii="Times New Roman" w:hAnsi="Times New Roman" w:eastAsia="宋体" w:cs="Times New Roman"/>
                <w:i w:val="0"/>
                <w:iCs w:val="0"/>
                <w:color w:val="000000"/>
                <w:sz w:val="21"/>
                <w:szCs w:val="21"/>
                <w:u w:val="none"/>
              </w:rPr>
            </w:pPr>
          </w:p>
        </w:tc>
      </w:tr>
      <w:tr w14:paraId="26EA6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48A137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598" w:type="pct"/>
            <w:vMerge w:val="continue"/>
            <w:tcBorders>
              <w:tl2br w:val="nil"/>
              <w:tr2bl w:val="nil"/>
            </w:tcBorders>
            <w:shd w:val="clear" w:color="auto" w:fill="auto"/>
            <w:vAlign w:val="center"/>
          </w:tcPr>
          <w:p w14:paraId="7741D05E">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3EB667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坑塘水面</w:t>
            </w:r>
          </w:p>
        </w:tc>
        <w:tc>
          <w:tcPr>
            <w:tcW w:w="623" w:type="pct"/>
            <w:tcBorders>
              <w:tl2br w:val="nil"/>
              <w:tr2bl w:val="nil"/>
            </w:tcBorders>
            <w:shd w:val="clear" w:color="auto" w:fill="auto"/>
            <w:noWrap/>
            <w:vAlign w:val="center"/>
          </w:tcPr>
          <w:p w14:paraId="385BEA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471" w:type="pct"/>
            <w:tcBorders>
              <w:tl2br w:val="nil"/>
              <w:tr2bl w:val="nil"/>
            </w:tcBorders>
            <w:shd w:val="clear" w:color="auto" w:fill="auto"/>
            <w:noWrap/>
            <w:vAlign w:val="center"/>
          </w:tcPr>
          <w:p w14:paraId="6F392446">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101B5B58">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59402A2F">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2E9EE06B">
            <w:pPr>
              <w:jc w:val="center"/>
              <w:rPr>
                <w:rFonts w:hint="default" w:ascii="Times New Roman" w:hAnsi="Times New Roman" w:eastAsia="宋体" w:cs="Times New Roman"/>
                <w:i w:val="0"/>
                <w:iCs w:val="0"/>
                <w:color w:val="000000"/>
                <w:sz w:val="21"/>
                <w:szCs w:val="21"/>
                <w:u w:val="none"/>
              </w:rPr>
            </w:pPr>
          </w:p>
        </w:tc>
      </w:tr>
      <w:tr w14:paraId="111E2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7962C1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98" w:type="pct"/>
            <w:vMerge w:val="restart"/>
            <w:tcBorders>
              <w:tl2br w:val="nil"/>
              <w:tr2bl w:val="nil"/>
            </w:tcBorders>
            <w:shd w:val="clear" w:color="auto" w:fill="auto"/>
            <w:noWrap/>
            <w:vAlign w:val="center"/>
          </w:tcPr>
          <w:p w14:paraId="6C414E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其他土地</w:t>
            </w:r>
          </w:p>
        </w:tc>
        <w:tc>
          <w:tcPr>
            <w:tcW w:w="1040" w:type="pct"/>
            <w:tcBorders>
              <w:tl2br w:val="nil"/>
              <w:tr2bl w:val="nil"/>
            </w:tcBorders>
            <w:shd w:val="clear" w:color="auto" w:fill="auto"/>
            <w:noWrap/>
            <w:vAlign w:val="center"/>
          </w:tcPr>
          <w:p w14:paraId="03E1CC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裸土地</w:t>
            </w:r>
          </w:p>
        </w:tc>
        <w:tc>
          <w:tcPr>
            <w:tcW w:w="623" w:type="pct"/>
            <w:tcBorders>
              <w:tl2br w:val="nil"/>
              <w:tr2bl w:val="nil"/>
            </w:tcBorders>
            <w:shd w:val="clear" w:color="auto" w:fill="auto"/>
            <w:noWrap/>
            <w:vAlign w:val="center"/>
          </w:tcPr>
          <w:p w14:paraId="78B804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471" w:type="pct"/>
            <w:tcBorders>
              <w:tl2br w:val="nil"/>
              <w:tr2bl w:val="nil"/>
            </w:tcBorders>
            <w:shd w:val="clear" w:color="auto" w:fill="auto"/>
            <w:noWrap/>
            <w:vAlign w:val="center"/>
          </w:tcPr>
          <w:p w14:paraId="4318175E">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5ABBF9EC">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7B4148F6">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046B3FA7">
            <w:pPr>
              <w:jc w:val="center"/>
              <w:rPr>
                <w:rFonts w:hint="default" w:ascii="Times New Roman" w:hAnsi="Times New Roman" w:eastAsia="宋体" w:cs="Times New Roman"/>
                <w:i w:val="0"/>
                <w:iCs w:val="0"/>
                <w:color w:val="000000"/>
                <w:sz w:val="21"/>
                <w:szCs w:val="21"/>
                <w:u w:val="none"/>
              </w:rPr>
            </w:pPr>
          </w:p>
        </w:tc>
      </w:tr>
      <w:tr w14:paraId="21B13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46" w:type="pct"/>
            <w:tcBorders>
              <w:tl2br w:val="nil"/>
              <w:tr2bl w:val="nil"/>
            </w:tcBorders>
            <w:shd w:val="clear" w:color="auto" w:fill="auto"/>
            <w:noWrap/>
            <w:vAlign w:val="center"/>
          </w:tcPr>
          <w:p w14:paraId="20EEF0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98" w:type="pct"/>
            <w:vMerge w:val="continue"/>
            <w:tcBorders>
              <w:tl2br w:val="nil"/>
              <w:tr2bl w:val="nil"/>
            </w:tcBorders>
            <w:shd w:val="clear" w:color="auto" w:fill="auto"/>
            <w:noWrap/>
            <w:vAlign w:val="center"/>
          </w:tcPr>
          <w:p w14:paraId="2D73AA12">
            <w:pPr>
              <w:jc w:val="center"/>
              <w:rPr>
                <w:rFonts w:hint="default" w:ascii="Times New Roman" w:hAnsi="Times New Roman" w:eastAsia="宋体" w:cs="Times New Roman"/>
                <w:i w:val="0"/>
                <w:iCs w:val="0"/>
                <w:color w:val="000000"/>
                <w:sz w:val="21"/>
                <w:szCs w:val="21"/>
                <w:u w:val="none"/>
              </w:rPr>
            </w:pPr>
          </w:p>
        </w:tc>
        <w:tc>
          <w:tcPr>
            <w:tcW w:w="1040" w:type="pct"/>
            <w:tcBorders>
              <w:tl2br w:val="nil"/>
              <w:tr2bl w:val="nil"/>
            </w:tcBorders>
            <w:shd w:val="clear" w:color="auto" w:fill="auto"/>
            <w:noWrap/>
            <w:vAlign w:val="center"/>
          </w:tcPr>
          <w:p w14:paraId="4116B2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设施农用地</w:t>
            </w:r>
          </w:p>
        </w:tc>
        <w:tc>
          <w:tcPr>
            <w:tcW w:w="623" w:type="pct"/>
            <w:tcBorders>
              <w:tl2br w:val="nil"/>
              <w:tr2bl w:val="nil"/>
            </w:tcBorders>
            <w:shd w:val="clear" w:color="auto" w:fill="auto"/>
            <w:noWrap/>
            <w:vAlign w:val="center"/>
          </w:tcPr>
          <w:p w14:paraId="3ABE27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5.39</w:t>
            </w:r>
          </w:p>
        </w:tc>
        <w:tc>
          <w:tcPr>
            <w:tcW w:w="471" w:type="pct"/>
            <w:tcBorders>
              <w:tl2br w:val="nil"/>
              <w:tr2bl w:val="nil"/>
            </w:tcBorders>
            <w:shd w:val="clear" w:color="auto" w:fill="auto"/>
            <w:noWrap/>
            <w:vAlign w:val="center"/>
          </w:tcPr>
          <w:p w14:paraId="0875CAB3">
            <w:pPr>
              <w:jc w:val="center"/>
              <w:rPr>
                <w:rFonts w:hint="default" w:ascii="Times New Roman" w:hAnsi="Times New Roman" w:eastAsia="宋体" w:cs="Times New Roman"/>
                <w:i w:val="0"/>
                <w:iCs w:val="0"/>
                <w:color w:val="000000"/>
                <w:sz w:val="21"/>
                <w:szCs w:val="21"/>
                <w:u w:val="none"/>
              </w:rPr>
            </w:pPr>
          </w:p>
        </w:tc>
        <w:tc>
          <w:tcPr>
            <w:tcW w:w="486" w:type="pct"/>
            <w:tcBorders>
              <w:tl2br w:val="nil"/>
              <w:tr2bl w:val="nil"/>
            </w:tcBorders>
            <w:shd w:val="clear" w:color="auto" w:fill="auto"/>
            <w:noWrap/>
            <w:vAlign w:val="center"/>
          </w:tcPr>
          <w:p w14:paraId="0184853A">
            <w:pPr>
              <w:jc w:val="center"/>
              <w:rPr>
                <w:rFonts w:hint="default" w:ascii="Times New Roman" w:hAnsi="Times New Roman" w:eastAsia="宋体" w:cs="Times New Roman"/>
                <w:i w:val="0"/>
                <w:iCs w:val="0"/>
                <w:color w:val="000000"/>
                <w:sz w:val="21"/>
                <w:szCs w:val="21"/>
                <w:u w:val="none"/>
              </w:rPr>
            </w:pPr>
          </w:p>
        </w:tc>
        <w:tc>
          <w:tcPr>
            <w:tcW w:w="456" w:type="pct"/>
            <w:tcBorders>
              <w:tl2br w:val="nil"/>
              <w:tr2bl w:val="nil"/>
            </w:tcBorders>
            <w:shd w:val="clear" w:color="auto" w:fill="auto"/>
            <w:noWrap/>
            <w:vAlign w:val="center"/>
          </w:tcPr>
          <w:p w14:paraId="36B704C1">
            <w:pPr>
              <w:jc w:val="center"/>
              <w:rPr>
                <w:rFonts w:hint="default" w:ascii="Times New Roman" w:hAnsi="Times New Roman" w:eastAsia="宋体" w:cs="Times New Roman"/>
                <w:i w:val="0"/>
                <w:iCs w:val="0"/>
                <w:color w:val="000000"/>
                <w:sz w:val="21"/>
                <w:szCs w:val="21"/>
                <w:u w:val="none"/>
              </w:rPr>
            </w:pPr>
          </w:p>
        </w:tc>
        <w:tc>
          <w:tcPr>
            <w:tcW w:w="978" w:type="pct"/>
            <w:tcBorders>
              <w:tl2br w:val="nil"/>
              <w:tr2bl w:val="nil"/>
            </w:tcBorders>
            <w:shd w:val="clear" w:color="auto" w:fill="auto"/>
            <w:noWrap/>
            <w:vAlign w:val="center"/>
          </w:tcPr>
          <w:p w14:paraId="439BA52A">
            <w:pPr>
              <w:jc w:val="center"/>
              <w:rPr>
                <w:rFonts w:hint="default" w:ascii="Times New Roman" w:hAnsi="Times New Roman" w:eastAsia="宋体" w:cs="Times New Roman"/>
                <w:i w:val="0"/>
                <w:iCs w:val="0"/>
                <w:color w:val="000000"/>
                <w:sz w:val="21"/>
                <w:szCs w:val="21"/>
                <w:u w:val="none"/>
              </w:rPr>
            </w:pPr>
          </w:p>
        </w:tc>
      </w:tr>
      <w:tr w14:paraId="340B23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1984" w:type="pct"/>
            <w:gridSpan w:val="3"/>
            <w:tcBorders>
              <w:tl2br w:val="nil"/>
              <w:tr2bl w:val="nil"/>
            </w:tcBorders>
            <w:shd w:val="clear" w:color="auto" w:fill="auto"/>
            <w:noWrap/>
            <w:vAlign w:val="center"/>
          </w:tcPr>
          <w:p w14:paraId="6AFB799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合计</w:t>
            </w:r>
          </w:p>
        </w:tc>
        <w:tc>
          <w:tcPr>
            <w:tcW w:w="623" w:type="pct"/>
            <w:tcBorders>
              <w:tl2br w:val="nil"/>
              <w:tr2bl w:val="nil"/>
            </w:tcBorders>
            <w:shd w:val="clear" w:color="auto" w:fill="auto"/>
            <w:noWrap/>
            <w:vAlign w:val="center"/>
          </w:tcPr>
          <w:p w14:paraId="342BA73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1118.98</w:t>
            </w:r>
          </w:p>
        </w:tc>
        <w:tc>
          <w:tcPr>
            <w:tcW w:w="471" w:type="pct"/>
            <w:tcBorders>
              <w:tl2br w:val="nil"/>
              <w:tr2bl w:val="nil"/>
            </w:tcBorders>
            <w:shd w:val="clear" w:color="auto" w:fill="auto"/>
            <w:noWrap/>
            <w:vAlign w:val="center"/>
          </w:tcPr>
          <w:p w14:paraId="179649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0.90</w:t>
            </w:r>
          </w:p>
        </w:tc>
        <w:tc>
          <w:tcPr>
            <w:tcW w:w="486" w:type="pct"/>
            <w:tcBorders>
              <w:tl2br w:val="nil"/>
              <w:tr2bl w:val="nil"/>
            </w:tcBorders>
            <w:shd w:val="clear" w:color="auto" w:fill="auto"/>
            <w:noWrap/>
            <w:vAlign w:val="center"/>
          </w:tcPr>
          <w:p w14:paraId="62FC6F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default" w:ascii="Times New Roman" w:hAnsi="Times New Roman" w:eastAsia="宋体" w:cs="Times New Roman"/>
                <w:b w:val="0"/>
                <w:bCs w:val="0"/>
                <w:i w:val="0"/>
                <w:iCs w:val="0"/>
                <w:color w:val="000000"/>
                <w:kern w:val="0"/>
                <w:sz w:val="21"/>
                <w:szCs w:val="21"/>
                <w:u w:val="none"/>
                <w:lang w:val="en-US" w:eastAsia="zh-CN" w:bidi="ar"/>
              </w:rPr>
              <w:t>6.</w:t>
            </w:r>
            <w:r>
              <w:rPr>
                <w:rFonts w:hint="eastAsia" w:cs="Times New Roman"/>
                <w:b w:val="0"/>
                <w:bCs w:val="0"/>
                <w:i w:val="0"/>
                <w:iCs w:val="0"/>
                <w:color w:val="000000"/>
                <w:kern w:val="0"/>
                <w:sz w:val="21"/>
                <w:szCs w:val="21"/>
                <w:u w:val="none"/>
                <w:lang w:val="en-US" w:eastAsia="zh-CN" w:bidi="ar"/>
              </w:rPr>
              <w:t>66</w:t>
            </w:r>
          </w:p>
        </w:tc>
        <w:tc>
          <w:tcPr>
            <w:tcW w:w="456" w:type="pct"/>
            <w:tcBorders>
              <w:tl2br w:val="nil"/>
              <w:tr2bl w:val="nil"/>
            </w:tcBorders>
            <w:shd w:val="clear" w:color="auto" w:fill="auto"/>
            <w:noWrap/>
            <w:vAlign w:val="center"/>
          </w:tcPr>
          <w:p w14:paraId="5BDDADF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lang w:val="en-US"/>
              </w:rPr>
            </w:pPr>
            <w:r>
              <w:rPr>
                <w:rFonts w:hint="eastAsia" w:cs="Times New Roman"/>
                <w:b w:val="0"/>
                <w:bCs w:val="0"/>
                <w:i w:val="0"/>
                <w:iCs w:val="0"/>
                <w:color w:val="000000"/>
                <w:kern w:val="0"/>
                <w:sz w:val="21"/>
                <w:szCs w:val="21"/>
                <w:u w:val="none"/>
                <w:lang w:val="en-US" w:eastAsia="zh-CN" w:bidi="ar"/>
              </w:rPr>
              <w:t>7.56</w:t>
            </w:r>
          </w:p>
        </w:tc>
        <w:tc>
          <w:tcPr>
            <w:tcW w:w="978" w:type="pct"/>
            <w:tcBorders>
              <w:tl2br w:val="nil"/>
              <w:tr2bl w:val="nil"/>
            </w:tcBorders>
            <w:shd w:val="clear" w:color="auto" w:fill="auto"/>
            <w:noWrap/>
            <w:vAlign w:val="center"/>
          </w:tcPr>
          <w:p w14:paraId="62E13F37">
            <w:pPr>
              <w:jc w:val="center"/>
              <w:rPr>
                <w:rFonts w:hint="default" w:ascii="Times New Roman" w:hAnsi="Times New Roman" w:eastAsia="宋体" w:cs="Times New Roman"/>
                <w:b w:val="0"/>
                <w:bCs w:val="0"/>
                <w:i w:val="0"/>
                <w:iCs w:val="0"/>
                <w:color w:val="000000"/>
                <w:sz w:val="21"/>
                <w:szCs w:val="21"/>
                <w:u w:val="none"/>
              </w:rPr>
            </w:pPr>
          </w:p>
        </w:tc>
      </w:tr>
    </w:tbl>
    <w:p w14:paraId="3E8761DA">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w:t>
      </w:r>
      <w:r>
        <w:rPr>
          <w:rFonts w:hint="default" w:ascii="Times New Roman" w:hAnsi="Times New Roman" w:eastAsia="宋体" w:cs="Times New Roman"/>
          <w:b/>
          <w:color w:val="auto"/>
          <w:kern w:val="2"/>
          <w:sz w:val="24"/>
          <w:szCs w:val="24"/>
          <w:highlight w:val="none"/>
          <w:lang w:val="en-US" w:eastAsia="zh-CN" w:bidi="ar-SA"/>
        </w:rPr>
        <w:t>1.1对永久占地的影响</w:t>
      </w:r>
    </w:p>
    <w:p w14:paraId="3C9A2A99">
      <w:pPr>
        <w:spacing w:line="360" w:lineRule="auto"/>
        <w:ind w:firstLine="482"/>
        <w:rPr>
          <w:rFonts w:hint="default" w:ascii="Times New Roman" w:hAnsi="Times New Roman" w:eastAsia="宋体" w:cs="Times New Roman"/>
          <w:b w:val="0"/>
          <w:i w:val="0"/>
          <w:strike w:val="0"/>
          <w:color w:val="FF0000"/>
          <w:spacing w:val="0"/>
          <w:sz w:val="24"/>
          <w:highlight w:val="none"/>
          <w:u w:val="none"/>
        </w:rPr>
      </w:pPr>
      <w:r>
        <w:rPr>
          <w:rFonts w:hint="default" w:ascii="Times New Roman" w:hAnsi="Times New Roman" w:cs="Times New Roman"/>
          <w:color w:val="auto"/>
          <w:sz w:val="24"/>
          <w:highlight w:val="none"/>
        </w:rPr>
        <w:t>本项目永久占地面积为</w:t>
      </w:r>
      <w:r>
        <w:rPr>
          <w:rFonts w:hint="eastAsia" w:cs="Times New Roman"/>
          <w:color w:val="auto"/>
          <w:sz w:val="24"/>
          <w:highlight w:val="none"/>
          <w:lang w:val="en-US" w:eastAsia="zh-CN"/>
        </w:rPr>
        <w:t>0.90</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，主要为</w:t>
      </w:r>
      <w:r>
        <w:rPr>
          <w:rFonts w:hint="eastAsia" w:ascii="Times New Roman" w:hAnsi="Times New Roman" w:cs="Times New Roman"/>
          <w:color w:val="auto"/>
          <w:sz w:val="24"/>
          <w:highlight w:val="none"/>
          <w:lang w:eastAsia="zh-CN"/>
        </w:rPr>
        <w:t>变电站、</w:t>
      </w:r>
      <w:r>
        <w:rPr>
          <w:rFonts w:hint="default" w:ascii="Times New Roman" w:hAnsi="Times New Roman" w:cs="Times New Roman"/>
          <w:color w:val="auto"/>
          <w:sz w:val="24"/>
          <w:highlight w:val="none"/>
        </w:rPr>
        <w:t>输电线路塔基占地，占地类型包括</w:t>
      </w:r>
      <w:r>
        <w:rPr>
          <w:rFonts w:hint="eastAsia" w:cs="Times New Roman"/>
          <w:color w:val="auto"/>
          <w:sz w:val="24"/>
          <w:highlight w:val="none"/>
          <w:lang w:val="en-US" w:eastAsia="zh-CN"/>
        </w:rPr>
        <w:t>旱地、乔木林地、灌木林地、</w:t>
      </w:r>
      <w:r>
        <w:rPr>
          <w:rFonts w:hint="default" w:ascii="Times New Roman" w:hAnsi="Times New Roman" w:cs="Times New Roman"/>
          <w:color w:val="auto"/>
          <w:sz w:val="24"/>
          <w:highlight w:val="none"/>
        </w:rPr>
        <w:t>其他林地</w:t>
      </w:r>
      <w:r>
        <w:rPr>
          <w:rFonts w:hint="eastAsia" w:cs="Times New Roman"/>
          <w:color w:val="auto"/>
          <w:sz w:val="24"/>
          <w:highlight w:val="none"/>
          <w:lang w:val="en-US" w:eastAsia="zh-CN"/>
        </w:rPr>
        <w:t>和农村道路等</w:t>
      </w:r>
      <w:r>
        <w:rPr>
          <w:rFonts w:hint="default" w:ascii="Times New Roman" w:hAnsi="Times New Roman" w:cs="Times New Roman"/>
          <w:color w:val="auto"/>
          <w:sz w:val="24"/>
          <w:highlight w:val="none"/>
        </w:rPr>
        <w:t>。占地面积</w:t>
      </w:r>
      <w:r>
        <w:rPr>
          <w:rFonts w:hint="eastAsia" w:cs="Times New Roman"/>
          <w:color w:val="auto"/>
          <w:sz w:val="24"/>
          <w:highlight w:val="none"/>
          <w:lang w:eastAsia="zh-CN"/>
        </w:rPr>
        <w:t>很</w:t>
      </w:r>
      <w:r>
        <w:rPr>
          <w:rFonts w:hint="default" w:ascii="Times New Roman" w:hAnsi="Times New Roman" w:cs="Times New Roman"/>
          <w:color w:val="auto"/>
          <w:sz w:val="24"/>
          <w:highlight w:val="none"/>
        </w:rPr>
        <w:t>小，</w:t>
      </w:r>
      <w:r>
        <w:rPr>
          <w:rFonts w:hint="eastAsia" w:ascii="Times New Roman" w:hAnsi="Times New Roman" w:cs="Times New Roman"/>
          <w:color w:val="auto"/>
          <w:sz w:val="24"/>
          <w:highlight w:val="none"/>
          <w:lang w:eastAsia="zh-CN"/>
        </w:rPr>
        <w:t>占整个评价区面积的</w:t>
      </w:r>
      <w:r>
        <w:rPr>
          <w:rFonts w:hint="eastAsia" w:ascii="Times New Roman" w:hAnsi="Times New Roman" w:cs="Times New Roman"/>
          <w:color w:val="auto"/>
          <w:sz w:val="24"/>
          <w:highlight w:val="none"/>
          <w:lang w:val="en-US" w:eastAsia="zh-CN"/>
        </w:rPr>
        <w:t>0.08%，</w:t>
      </w:r>
      <w:r>
        <w:rPr>
          <w:rFonts w:hint="default" w:ascii="Times New Roman" w:hAnsi="Times New Roman" w:cs="Times New Roman"/>
          <w:color w:val="auto"/>
          <w:sz w:val="24"/>
          <w:highlight w:val="none"/>
        </w:rPr>
        <w:t>对区域土地利用结构影响</w:t>
      </w:r>
      <w:r>
        <w:rPr>
          <w:rFonts w:hint="eastAsia" w:cs="Times New Roman"/>
          <w:color w:val="auto"/>
          <w:sz w:val="24"/>
          <w:highlight w:val="none"/>
          <w:lang w:eastAsia="zh-CN"/>
        </w:rPr>
        <w:t>很</w:t>
      </w:r>
      <w:r>
        <w:rPr>
          <w:rFonts w:hint="default" w:ascii="Times New Roman" w:hAnsi="Times New Roman" w:cs="Times New Roman"/>
          <w:color w:val="auto"/>
          <w:sz w:val="24"/>
          <w:highlight w:val="none"/>
        </w:rPr>
        <w:t>小。</w:t>
      </w:r>
    </w:p>
    <w:p w14:paraId="2686F6E6">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w:t>
      </w:r>
      <w:r>
        <w:rPr>
          <w:rFonts w:hint="default" w:ascii="Times New Roman" w:hAnsi="Times New Roman" w:eastAsia="宋体" w:cs="Times New Roman"/>
          <w:b/>
          <w:color w:val="auto"/>
          <w:kern w:val="2"/>
          <w:sz w:val="24"/>
          <w:szCs w:val="24"/>
          <w:highlight w:val="none"/>
          <w:lang w:val="en-US" w:eastAsia="zh-CN" w:bidi="ar-SA"/>
        </w:rPr>
        <w:t>1.2对临时占地的影响</w:t>
      </w:r>
    </w:p>
    <w:p w14:paraId="502E244E">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本项目施工</w:t>
      </w:r>
      <w:r>
        <w:rPr>
          <w:rFonts w:hint="eastAsia" w:cs="Times New Roman"/>
          <w:color w:val="auto"/>
          <w:sz w:val="24"/>
          <w:highlight w:val="none"/>
          <w:lang w:val="en-US" w:eastAsia="zh-CN"/>
        </w:rPr>
        <w:t>临时</w:t>
      </w:r>
      <w:r>
        <w:rPr>
          <w:rFonts w:hint="default" w:ascii="Times New Roman" w:hAnsi="Times New Roman" w:cs="Times New Roman"/>
          <w:color w:val="auto"/>
          <w:sz w:val="24"/>
          <w:highlight w:val="none"/>
        </w:rPr>
        <w:t>占地面积为</w:t>
      </w:r>
      <w:r>
        <w:rPr>
          <w:rFonts w:hint="eastAsia" w:cs="Times New Roman"/>
          <w:color w:val="auto"/>
          <w:sz w:val="24"/>
          <w:highlight w:val="none"/>
          <w:lang w:val="en-US" w:eastAsia="zh-CN"/>
        </w:rPr>
        <w:t>6.66</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，包括</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营地</w:t>
      </w:r>
      <w:r>
        <w:rPr>
          <w:rFonts w:hint="eastAsia" w:cs="Times New Roman" w:eastAsiaTheme="minorEastAsia"/>
          <w:color w:val="auto"/>
          <w:sz w:val="24"/>
          <w:highlight w:val="none"/>
          <w:lang w:eastAsia="zh-CN"/>
        </w:rPr>
        <w:t>、</w:t>
      </w:r>
      <w:r>
        <w:rPr>
          <w:rFonts w:hint="eastAsia" w:cs="Times New Roman" w:eastAsiaTheme="minorEastAsia"/>
          <w:color w:val="auto"/>
          <w:sz w:val="24"/>
          <w:highlight w:val="none"/>
          <w:lang w:val="en-US" w:eastAsia="zh-CN"/>
        </w:rPr>
        <w:t>站外供水及排水管线</w:t>
      </w:r>
      <w:r>
        <w:rPr>
          <w:rFonts w:hint="eastAsia" w:ascii="Times New Roman" w:hAnsi="Times New Roman" w:cs="Times New Roman" w:eastAsiaTheme="minorEastAsia"/>
          <w:color w:val="auto"/>
          <w:sz w:val="24"/>
          <w:highlight w:val="none"/>
          <w:lang w:val="en-US" w:eastAsia="zh-CN"/>
        </w:rPr>
        <w:t>以及</w:t>
      </w:r>
      <w:r>
        <w:rPr>
          <w:rFonts w:hint="default" w:ascii="Times New Roman" w:hAnsi="Times New Roman" w:cs="Times New Roman" w:eastAsiaTheme="minorEastAsia"/>
          <w:color w:val="auto"/>
          <w:sz w:val="24"/>
          <w:highlight w:val="none"/>
        </w:rPr>
        <w:t>输电线路塔基</w:t>
      </w:r>
      <w:r>
        <w:rPr>
          <w:rFonts w:hint="eastAsia" w:ascii="Times New Roman" w:hAnsi="Times New Roman" w:cs="Times New Roman" w:eastAsiaTheme="minorEastAsia"/>
          <w:color w:val="auto"/>
          <w:sz w:val="24"/>
          <w:highlight w:val="none"/>
          <w:lang w:val="en-US" w:eastAsia="zh-CN"/>
        </w:rPr>
        <w:t>临时</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区域</w:t>
      </w:r>
      <w:r>
        <w:rPr>
          <w:rFonts w:hint="eastAsia" w:cs="Times New Roman" w:eastAsiaTheme="minorEastAsia"/>
          <w:color w:val="auto"/>
          <w:sz w:val="24"/>
          <w:highlight w:val="none"/>
          <w:lang w:val="en-US" w:eastAsia="zh-CN"/>
        </w:rPr>
        <w:t>（含</w:t>
      </w:r>
      <w:r>
        <w:rPr>
          <w:rFonts w:hint="default" w:ascii="Times New Roman" w:hAnsi="Times New Roman" w:cs="Times New Roman" w:eastAsiaTheme="minorEastAsia"/>
          <w:color w:val="auto"/>
          <w:sz w:val="24"/>
          <w:highlight w:val="none"/>
          <w:lang w:val="en-US" w:eastAsia="zh-CN"/>
        </w:rPr>
        <w:t>10千伏</w:t>
      </w:r>
      <w:r>
        <w:rPr>
          <w:rFonts w:hint="eastAsia" w:cs="Times New Roman" w:eastAsiaTheme="minorEastAsia"/>
          <w:color w:val="auto"/>
          <w:sz w:val="24"/>
          <w:highlight w:val="none"/>
          <w:lang w:val="en-US" w:eastAsia="zh-CN"/>
        </w:rPr>
        <w:t>临时施工</w:t>
      </w:r>
      <w:r>
        <w:rPr>
          <w:rFonts w:hint="default" w:ascii="Times New Roman" w:hAnsi="Times New Roman" w:cs="Times New Roman" w:eastAsiaTheme="minorEastAsia"/>
          <w:color w:val="auto"/>
          <w:sz w:val="24"/>
          <w:highlight w:val="none"/>
          <w:lang w:val="en-US" w:eastAsia="zh-CN"/>
        </w:rPr>
        <w:t>电源线路</w:t>
      </w:r>
      <w:r>
        <w:rPr>
          <w:rFonts w:hint="eastAsia" w:cs="Times New Roman" w:eastAsiaTheme="minorEastAsia"/>
          <w:color w:val="auto"/>
          <w:sz w:val="24"/>
          <w:highlight w:val="none"/>
          <w:lang w:val="en-US" w:eastAsia="zh-CN"/>
        </w:rPr>
        <w:t>）</w:t>
      </w:r>
      <w:r>
        <w:rPr>
          <w:rFonts w:hint="default" w:ascii="Times New Roman" w:hAnsi="Times New Roman" w:cs="Times New Roman" w:eastAsiaTheme="minorEastAsia"/>
          <w:color w:val="auto"/>
          <w:sz w:val="24"/>
          <w:highlight w:val="none"/>
        </w:rPr>
        <w:t>、牵张场</w:t>
      </w:r>
      <w:r>
        <w:rPr>
          <w:rFonts w:hint="eastAsia"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rPr>
        <w:t>施工</w:t>
      </w:r>
      <w:r>
        <w:rPr>
          <w:rFonts w:hint="eastAsia" w:ascii="Times New Roman" w:hAnsi="Times New Roman" w:cs="Times New Roman" w:eastAsiaTheme="minorEastAsia"/>
          <w:color w:val="auto"/>
          <w:sz w:val="24"/>
          <w:highlight w:val="none"/>
          <w:lang w:val="en-US" w:eastAsia="zh-CN"/>
        </w:rPr>
        <w:t>便道</w:t>
      </w:r>
      <w:r>
        <w:rPr>
          <w:rFonts w:hint="eastAsia" w:ascii="Times New Roman" w:hAnsi="Times New Roman" w:cs="Times New Roman"/>
          <w:color w:val="auto"/>
          <w:sz w:val="24"/>
          <w:highlight w:val="none"/>
          <w:lang w:eastAsia="zh-CN"/>
        </w:rPr>
        <w:t>等</w:t>
      </w:r>
      <w:r>
        <w:rPr>
          <w:rFonts w:hint="default" w:ascii="Times New Roman" w:hAnsi="Times New Roman" w:cs="Times New Roman"/>
          <w:color w:val="auto"/>
          <w:sz w:val="24"/>
          <w:highlight w:val="none"/>
        </w:rPr>
        <w:t>，占地类型包括</w:t>
      </w:r>
      <w:r>
        <w:rPr>
          <w:rFonts w:hint="eastAsia" w:cs="Times New Roman"/>
          <w:color w:val="auto"/>
          <w:sz w:val="24"/>
          <w:highlight w:val="none"/>
          <w:lang w:val="en-US" w:eastAsia="zh-CN"/>
        </w:rPr>
        <w:t>旱地</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乔木林地、灌木林地、</w:t>
      </w:r>
      <w:r>
        <w:rPr>
          <w:rFonts w:hint="default" w:ascii="Times New Roman" w:hAnsi="Times New Roman" w:cs="Times New Roman"/>
          <w:color w:val="auto"/>
          <w:sz w:val="24"/>
          <w:highlight w:val="none"/>
        </w:rPr>
        <w:t>其他林地</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天然牧草地、其他草地、公路用地、农村道路等</w:t>
      </w:r>
      <w:r>
        <w:rPr>
          <w:rFonts w:hint="default" w:ascii="Times New Roman" w:hAnsi="Times New Roman" w:cs="Times New Roman"/>
          <w:color w:val="auto"/>
          <w:sz w:val="24"/>
          <w:highlight w:val="none"/>
        </w:rPr>
        <w:t>。工程占地会破坏一定植被，所以在项目建设期和运营期，要</w:t>
      </w:r>
      <w:r>
        <w:rPr>
          <w:rFonts w:hint="eastAsia" w:cs="Times New Roman"/>
          <w:color w:val="auto"/>
          <w:sz w:val="24"/>
          <w:highlight w:val="none"/>
          <w:lang w:eastAsia="zh-CN"/>
        </w:rPr>
        <w:t>尽早</w:t>
      </w:r>
      <w:r>
        <w:rPr>
          <w:rFonts w:hint="default" w:ascii="Times New Roman" w:hAnsi="Times New Roman" w:cs="Times New Roman"/>
          <w:color w:val="auto"/>
          <w:sz w:val="24"/>
          <w:highlight w:val="none"/>
        </w:rPr>
        <w:t>恢复占地的植被</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在采取相关措施后，整体上不会改变评价区内现有的土地利用类型的基本格局。</w:t>
      </w:r>
    </w:p>
    <w:p w14:paraId="1F3A6D46">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4.2</w:t>
      </w:r>
      <w:r>
        <w:rPr>
          <w:rFonts w:hint="default" w:ascii="Times New Roman" w:hAnsi="Times New Roman" w:eastAsia="宋体" w:cs="Times New Roman"/>
          <w:b/>
          <w:color w:val="auto"/>
          <w:kern w:val="2"/>
          <w:sz w:val="24"/>
          <w:szCs w:val="24"/>
          <w:highlight w:val="none"/>
          <w:lang w:val="en-US" w:eastAsia="zh-CN" w:bidi="ar-SA"/>
        </w:rPr>
        <w:t>对植物及植被影响分析</w:t>
      </w:r>
    </w:p>
    <w:p w14:paraId="4CF25EE8">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auto"/>
          <w:spacing w:val="0"/>
          <w:sz w:val="24"/>
          <w:highlight w:val="none"/>
          <w:u w:val="none"/>
        </w:rPr>
      </w:pPr>
      <w:r>
        <w:rPr>
          <w:rFonts w:hint="default" w:ascii="Times New Roman" w:hAnsi="Times New Roman" w:eastAsia="宋体" w:cs="Times New Roman"/>
          <w:b w:val="0"/>
          <w:i w:val="0"/>
          <w:strike w:val="0"/>
          <w:color w:val="auto"/>
          <w:spacing w:val="0"/>
          <w:sz w:val="24"/>
          <w:highlight w:val="none"/>
          <w:u w:val="none"/>
        </w:rPr>
        <w:t>本项目对植被的影响主要在施工期。影响主要表现为：①工程占地或扰动直接破坏植被，导致植物种群数量、物种丰富度、群落结构、分布范围受到一定影响；②工程占地或施工活动、物料堆放会改变土壤等的理化性质，使植物生境面积减少或生境质量受到暂时性破坏，影响植物生长、扩散；③植物个体或生境遭到破坏，导致植被覆盖度下降，生态系统功能受到一定影响。</w:t>
      </w:r>
    </w:p>
    <w:p w14:paraId="7AEAE0A5">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4.2.1</w:t>
      </w:r>
      <w:r>
        <w:rPr>
          <w:rFonts w:hint="default" w:ascii="Times New Roman" w:hAnsi="Times New Roman" w:eastAsia="宋体" w:cs="Times New Roman"/>
          <w:b/>
          <w:color w:val="auto"/>
          <w:kern w:val="2"/>
          <w:sz w:val="24"/>
          <w:szCs w:val="24"/>
          <w:highlight w:val="none"/>
          <w:lang w:val="en-US" w:eastAsia="zh-CN" w:bidi="ar-SA"/>
        </w:rPr>
        <w:t>对植被类型的影响</w:t>
      </w:r>
    </w:p>
    <w:p w14:paraId="7BBCDAEE">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auto"/>
          <w:spacing w:val="0"/>
          <w:sz w:val="24"/>
          <w:highlight w:val="none"/>
          <w:u w:val="none"/>
        </w:rPr>
      </w:pPr>
      <w:r>
        <w:rPr>
          <w:rFonts w:hint="default" w:ascii="Times New Roman" w:hAnsi="Times New Roman" w:eastAsia="宋体" w:cs="Times New Roman"/>
          <w:b w:val="0"/>
          <w:i w:val="0"/>
          <w:strike w:val="0"/>
          <w:color w:val="auto"/>
          <w:spacing w:val="0"/>
          <w:sz w:val="24"/>
          <w:highlight w:val="none"/>
          <w:u w:val="none"/>
          <w:lang w:val="en-US" w:eastAsia="zh-CN"/>
        </w:rPr>
        <w:t>本项目</w:t>
      </w:r>
      <w:r>
        <w:rPr>
          <w:rFonts w:hint="default" w:ascii="Times New Roman" w:hAnsi="Times New Roman" w:eastAsia="宋体" w:cs="Times New Roman"/>
          <w:b w:val="0"/>
          <w:i w:val="0"/>
          <w:strike w:val="0"/>
          <w:color w:val="auto"/>
          <w:spacing w:val="0"/>
          <w:sz w:val="24"/>
          <w:highlight w:val="none"/>
          <w:u w:val="none"/>
        </w:rPr>
        <w:t>评价区</w:t>
      </w:r>
      <w:r>
        <w:rPr>
          <w:rFonts w:hint="eastAsia" w:ascii="Times New Roman" w:hAnsi="Times New Roman" w:eastAsia="宋体" w:cs="Times New Roman"/>
          <w:b w:val="0"/>
          <w:i w:val="0"/>
          <w:strike w:val="0"/>
          <w:color w:val="auto"/>
          <w:spacing w:val="0"/>
          <w:sz w:val="24"/>
          <w:highlight w:val="none"/>
          <w:u w:val="none"/>
          <w:lang w:eastAsia="zh-CN"/>
        </w:rPr>
        <w:t>及工程占地区</w:t>
      </w:r>
      <w:r>
        <w:rPr>
          <w:rFonts w:hint="default" w:ascii="Times New Roman" w:hAnsi="Times New Roman" w:eastAsia="宋体" w:cs="Times New Roman"/>
          <w:b w:val="0"/>
          <w:i w:val="0"/>
          <w:strike w:val="0"/>
          <w:color w:val="auto"/>
          <w:spacing w:val="0"/>
          <w:sz w:val="24"/>
          <w:highlight w:val="none"/>
          <w:u w:val="none"/>
        </w:rPr>
        <w:t>植被生物量</w:t>
      </w:r>
      <w:r>
        <w:rPr>
          <w:rFonts w:hint="eastAsia" w:ascii="Times New Roman" w:hAnsi="Times New Roman" w:eastAsia="宋体" w:cs="Times New Roman"/>
          <w:b w:val="0"/>
          <w:i w:val="0"/>
          <w:strike w:val="0"/>
          <w:color w:val="auto"/>
          <w:spacing w:val="0"/>
          <w:sz w:val="24"/>
          <w:highlight w:val="none"/>
          <w:u w:val="none"/>
          <w:lang w:eastAsia="zh-CN"/>
        </w:rPr>
        <w:t>估算</w:t>
      </w:r>
      <w:r>
        <w:rPr>
          <w:rFonts w:hint="default" w:ascii="Times New Roman" w:hAnsi="Times New Roman" w:eastAsia="宋体" w:cs="Times New Roman"/>
          <w:b w:val="0"/>
          <w:i w:val="0"/>
          <w:strike w:val="0"/>
          <w:color w:val="auto"/>
          <w:spacing w:val="0"/>
          <w:sz w:val="24"/>
          <w:highlight w:val="none"/>
          <w:u w:val="none"/>
        </w:rPr>
        <w:t>见表</w:t>
      </w:r>
      <w:r>
        <w:rPr>
          <w:rFonts w:hint="eastAsia" w:ascii="Times New Roman" w:hAnsi="Times New Roman" w:eastAsia="宋体" w:cs="Times New Roman"/>
          <w:b w:val="0"/>
          <w:i w:val="0"/>
          <w:strike w:val="0"/>
          <w:color w:val="auto"/>
          <w:spacing w:val="0"/>
          <w:sz w:val="24"/>
          <w:highlight w:val="none"/>
          <w:u w:val="none"/>
          <w:lang w:val="en-US" w:eastAsia="zh-CN"/>
        </w:rPr>
        <w:t>4.2</w:t>
      </w:r>
      <w:r>
        <w:rPr>
          <w:rFonts w:hint="default" w:ascii="Times New Roman" w:hAnsi="Times New Roman" w:eastAsia="宋体" w:cs="Times New Roman"/>
          <w:b w:val="0"/>
          <w:i w:val="0"/>
          <w:strike w:val="0"/>
          <w:color w:val="auto"/>
          <w:spacing w:val="0"/>
          <w:sz w:val="24"/>
          <w:highlight w:val="none"/>
          <w:u w:val="none"/>
        </w:rPr>
        <w:t>-</w:t>
      </w:r>
      <w:r>
        <w:rPr>
          <w:rFonts w:hint="eastAsia" w:cs="Times New Roman"/>
          <w:b w:val="0"/>
          <w:i w:val="0"/>
          <w:strike w:val="0"/>
          <w:color w:val="auto"/>
          <w:spacing w:val="0"/>
          <w:sz w:val="24"/>
          <w:highlight w:val="none"/>
          <w:u w:val="none"/>
          <w:lang w:val="en-US" w:eastAsia="zh-CN"/>
        </w:rPr>
        <w:t>1</w:t>
      </w:r>
      <w:r>
        <w:rPr>
          <w:rFonts w:hint="default" w:ascii="Times New Roman" w:hAnsi="Times New Roman" w:eastAsia="宋体" w:cs="Times New Roman"/>
          <w:b w:val="0"/>
          <w:i w:val="0"/>
          <w:strike w:val="0"/>
          <w:color w:val="auto"/>
          <w:spacing w:val="0"/>
          <w:sz w:val="24"/>
          <w:highlight w:val="none"/>
          <w:u w:val="none"/>
        </w:rPr>
        <w:t>。</w:t>
      </w:r>
    </w:p>
    <w:p w14:paraId="1F36427B">
      <w:pPr>
        <w:adjustRightInd w:val="0"/>
        <w:snapToGrid w:val="0"/>
        <w:spacing w:before="120" w:beforeLines="50" w:line="360" w:lineRule="auto"/>
        <w:ind w:firstLine="1446" w:firstLineChars="600"/>
        <w:rPr>
          <w:rFonts w:hint="eastAsia" w:ascii="黑体" w:hAnsi="黑体" w:eastAsia="黑体" w:cs="黑体"/>
          <w:b/>
          <w:color w:val="auto"/>
          <w:kern w:val="0"/>
          <w:sz w:val="24"/>
          <w:highlight w:val="none"/>
          <w:lang w:bidi="ar"/>
        </w:rPr>
      </w:pPr>
      <w:r>
        <w:rPr>
          <w:rFonts w:hint="default" w:ascii="Times New Roman" w:hAnsi="Times New Roman" w:eastAsia="黑体" w:cs="Times New Roman"/>
          <w:b/>
          <w:bCs/>
          <w:sz w:val="24"/>
          <w:szCs w:val="24"/>
          <w:highlight w:val="none"/>
          <w:lang w:val="en-US" w:eastAsia="zh-CN"/>
        </w:rPr>
        <w:t>表</w:t>
      </w:r>
      <w:r>
        <w:rPr>
          <w:rFonts w:hint="default" w:ascii="Times New Roman" w:hAnsi="Times New Roman" w:eastAsia="黑体" w:cs="Times New Roman"/>
          <w:b/>
          <w:bCs/>
          <w:i w:val="0"/>
          <w:strike w:val="0"/>
          <w:color w:val="auto"/>
          <w:spacing w:val="0"/>
          <w:sz w:val="24"/>
          <w:szCs w:val="24"/>
          <w:highlight w:val="none"/>
          <w:u w:val="none"/>
          <w:lang w:val="en-US" w:eastAsia="zh-CN"/>
        </w:rPr>
        <w:t>4.2</w:t>
      </w:r>
      <w:r>
        <w:rPr>
          <w:rFonts w:hint="default" w:ascii="Times New Roman" w:hAnsi="Times New Roman" w:eastAsia="黑体" w:cs="Times New Roman"/>
          <w:b/>
          <w:bCs/>
          <w:i w:val="0"/>
          <w:strike w:val="0"/>
          <w:color w:val="auto"/>
          <w:spacing w:val="0"/>
          <w:sz w:val="24"/>
          <w:szCs w:val="24"/>
          <w:highlight w:val="none"/>
          <w:u w:val="none"/>
        </w:rPr>
        <w:t>-</w:t>
      </w:r>
      <w:r>
        <w:rPr>
          <w:rFonts w:hint="default" w:ascii="Times New Roman" w:hAnsi="Times New Roman" w:eastAsia="黑体" w:cs="Times New Roman"/>
          <w:b/>
          <w:bCs/>
          <w:i w:val="0"/>
          <w:strike w:val="0"/>
          <w:color w:val="auto"/>
          <w:spacing w:val="0"/>
          <w:sz w:val="24"/>
          <w:szCs w:val="24"/>
          <w:highlight w:val="none"/>
          <w:u w:val="none"/>
          <w:lang w:val="en-US" w:eastAsia="zh-CN"/>
        </w:rPr>
        <w:t>1</w:t>
      </w:r>
      <w:r>
        <w:rPr>
          <w:rFonts w:hint="default" w:ascii="Times New Roman" w:hAnsi="Times New Roman" w:eastAsia="黑体" w:cs="Times New Roman"/>
          <w:b/>
          <w:bCs/>
          <w:sz w:val="24"/>
          <w:szCs w:val="24"/>
          <w:highlight w:val="none"/>
          <w:lang w:val="en-US" w:eastAsia="zh-CN"/>
        </w:rPr>
        <w:t xml:space="preserve">  本项目</w:t>
      </w:r>
      <w:r>
        <w:rPr>
          <w:rFonts w:hint="default" w:ascii="Times New Roman" w:hAnsi="Times New Roman" w:eastAsia="黑体" w:cs="Times New Roman"/>
          <w:b/>
          <w:bCs/>
          <w:color w:val="auto"/>
          <w:kern w:val="0"/>
          <w:sz w:val="24"/>
          <w:szCs w:val="24"/>
          <w:highlight w:val="none"/>
          <w:lang w:bidi="ar"/>
        </w:rPr>
        <w:t>评价区</w:t>
      </w:r>
      <w:r>
        <w:rPr>
          <w:rFonts w:hint="default" w:ascii="Times New Roman" w:hAnsi="Times New Roman" w:eastAsia="黑体" w:cs="Times New Roman"/>
          <w:b/>
          <w:bCs/>
          <w:color w:val="auto"/>
          <w:kern w:val="0"/>
          <w:sz w:val="24"/>
          <w:szCs w:val="24"/>
          <w:highlight w:val="none"/>
          <w:lang w:eastAsia="zh-CN" w:bidi="ar"/>
        </w:rPr>
        <w:t>及工程占地区</w:t>
      </w:r>
      <w:r>
        <w:rPr>
          <w:rFonts w:hint="default" w:ascii="Times New Roman" w:hAnsi="Times New Roman" w:eastAsia="黑体" w:cs="Times New Roman"/>
          <w:b/>
          <w:bCs/>
          <w:color w:val="auto"/>
          <w:kern w:val="0"/>
          <w:sz w:val="24"/>
          <w:szCs w:val="24"/>
          <w:highlight w:val="none"/>
          <w:lang w:bidi="ar"/>
        </w:rPr>
        <w:t>植被生物量计算表</w:t>
      </w:r>
    </w:p>
    <w:tbl>
      <w:tblPr>
        <w:tblStyle w:val="28"/>
        <w:tblW w:w="5040" w:type="pct"/>
        <w:tblInd w:w="-69"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41"/>
        <w:gridCol w:w="1116"/>
        <w:gridCol w:w="949"/>
        <w:gridCol w:w="941"/>
        <w:gridCol w:w="1159"/>
        <w:gridCol w:w="1241"/>
        <w:gridCol w:w="1363"/>
        <w:gridCol w:w="1281"/>
      </w:tblGrid>
      <w:tr w14:paraId="7D351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4" w:type="pct"/>
            <w:tcBorders>
              <w:tl2br w:val="nil"/>
              <w:tr2bl w:val="nil"/>
            </w:tcBorders>
            <w:shd w:val="clear" w:color="auto" w:fill="auto"/>
            <w:noWrap/>
            <w:vAlign w:val="center"/>
          </w:tcPr>
          <w:p w14:paraId="318EA23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649" w:type="pct"/>
            <w:tcBorders>
              <w:tl2br w:val="nil"/>
              <w:tr2bl w:val="nil"/>
            </w:tcBorders>
            <w:shd w:val="clear" w:color="auto" w:fill="auto"/>
            <w:noWrap/>
            <w:vAlign w:val="center"/>
          </w:tcPr>
          <w:p w14:paraId="1B691C0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植被类型</w:t>
            </w:r>
          </w:p>
        </w:tc>
        <w:tc>
          <w:tcPr>
            <w:tcW w:w="552" w:type="pct"/>
            <w:tcBorders>
              <w:tl2br w:val="nil"/>
              <w:tr2bl w:val="nil"/>
            </w:tcBorders>
            <w:shd w:val="clear" w:color="auto" w:fill="auto"/>
            <w:noWrap/>
            <w:vAlign w:val="center"/>
          </w:tcPr>
          <w:p w14:paraId="5300292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评价区面积（hm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547" w:type="pct"/>
            <w:tcBorders>
              <w:tl2br w:val="nil"/>
              <w:tr2bl w:val="nil"/>
            </w:tcBorders>
            <w:shd w:val="clear" w:color="auto" w:fill="auto"/>
            <w:noWrap/>
            <w:vAlign w:val="center"/>
          </w:tcPr>
          <w:p w14:paraId="0F852A5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工程占地面积（hm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Fonts w:hint="default" w:ascii="Times New Roman" w:hAnsi="Times New Roman" w:eastAsia="宋体" w:cs="Times New Roman"/>
                <w:b/>
                <w:bCs/>
                <w:i w:val="0"/>
                <w:iCs w:val="0"/>
                <w:color w:val="000000"/>
                <w:kern w:val="0"/>
                <w:sz w:val="21"/>
                <w:szCs w:val="21"/>
                <w:u w:val="none"/>
                <w:lang w:val="en-US" w:eastAsia="zh-CN" w:bidi="ar"/>
              </w:rPr>
              <w:t>）</w:t>
            </w:r>
          </w:p>
        </w:tc>
        <w:tc>
          <w:tcPr>
            <w:tcW w:w="674" w:type="pct"/>
            <w:tcBorders>
              <w:tl2br w:val="nil"/>
              <w:tr2bl w:val="nil"/>
            </w:tcBorders>
            <w:shd w:val="clear" w:color="auto" w:fill="auto"/>
            <w:vAlign w:val="center"/>
          </w:tcPr>
          <w:p w14:paraId="3699E5A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单位面积生物量（t/hm</w:t>
            </w:r>
            <w:r>
              <w:rPr>
                <w:rFonts w:hint="default" w:ascii="Times New Roman" w:hAnsi="Times New Roman" w:eastAsia="宋体" w:cs="Times New Roman"/>
                <w:b/>
                <w:bCs/>
                <w:i w:val="0"/>
                <w:iCs w:val="0"/>
                <w:color w:val="000000"/>
                <w:kern w:val="0"/>
                <w:sz w:val="21"/>
                <w:szCs w:val="21"/>
                <w:u w:val="none"/>
                <w:vertAlign w:val="superscript"/>
                <w:lang w:val="en-US" w:eastAsia="zh-CN" w:bidi="ar"/>
              </w:rPr>
              <w:t>2</w:t>
            </w:r>
            <w:r>
              <w:rPr>
                <w:rStyle w:val="63"/>
                <w:rFonts w:hint="default" w:ascii="Times New Roman" w:hAnsi="Times New Roman" w:cs="Times New Roman"/>
                <w:b/>
                <w:bCs/>
                <w:sz w:val="21"/>
                <w:szCs w:val="21"/>
                <w:lang w:val="en-US" w:eastAsia="zh-CN" w:bidi="ar"/>
              </w:rPr>
              <w:t>）</w:t>
            </w:r>
          </w:p>
        </w:tc>
        <w:tc>
          <w:tcPr>
            <w:tcW w:w="722" w:type="pct"/>
            <w:tcBorders>
              <w:tl2br w:val="nil"/>
              <w:tr2bl w:val="nil"/>
            </w:tcBorders>
            <w:shd w:val="clear" w:color="auto" w:fill="auto"/>
            <w:noWrap/>
            <w:vAlign w:val="center"/>
          </w:tcPr>
          <w:p w14:paraId="0C14079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评价区生物量（t</w:t>
            </w:r>
            <w:r>
              <w:rPr>
                <w:rStyle w:val="63"/>
                <w:rFonts w:hint="default" w:ascii="Times New Roman" w:hAnsi="Times New Roman" w:cs="Times New Roman"/>
                <w:b/>
                <w:bCs/>
                <w:sz w:val="21"/>
                <w:szCs w:val="21"/>
                <w:lang w:val="en-US" w:eastAsia="zh-CN" w:bidi="ar"/>
              </w:rPr>
              <w:t>）</w:t>
            </w:r>
          </w:p>
        </w:tc>
        <w:tc>
          <w:tcPr>
            <w:tcW w:w="793" w:type="pct"/>
            <w:tcBorders>
              <w:tl2br w:val="nil"/>
              <w:tr2bl w:val="nil"/>
            </w:tcBorders>
            <w:shd w:val="clear" w:color="auto" w:fill="auto"/>
            <w:noWrap/>
            <w:vAlign w:val="center"/>
          </w:tcPr>
          <w:p w14:paraId="619810E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工程占地区生物量（t</w:t>
            </w:r>
            <w:r>
              <w:rPr>
                <w:rStyle w:val="63"/>
                <w:rFonts w:hint="default" w:ascii="Times New Roman" w:hAnsi="Times New Roman" w:cs="Times New Roman"/>
                <w:b/>
                <w:bCs/>
                <w:sz w:val="21"/>
                <w:szCs w:val="21"/>
                <w:lang w:val="en-US" w:eastAsia="zh-CN" w:bidi="ar"/>
              </w:rPr>
              <w:t>）</w:t>
            </w:r>
          </w:p>
        </w:tc>
        <w:tc>
          <w:tcPr>
            <w:tcW w:w="745" w:type="pct"/>
            <w:tcBorders>
              <w:tl2br w:val="nil"/>
              <w:tr2bl w:val="nil"/>
            </w:tcBorders>
            <w:shd w:val="clear" w:color="auto" w:fill="auto"/>
            <w:vAlign w:val="center"/>
          </w:tcPr>
          <w:p w14:paraId="1E5417B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占评价区生物量比例</w:t>
            </w:r>
          </w:p>
        </w:tc>
      </w:tr>
      <w:tr w14:paraId="7D418E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4" w:type="pct"/>
            <w:tcBorders>
              <w:tl2br w:val="nil"/>
              <w:tr2bl w:val="nil"/>
            </w:tcBorders>
            <w:shd w:val="clear" w:color="auto" w:fill="auto"/>
            <w:noWrap/>
            <w:vAlign w:val="center"/>
          </w:tcPr>
          <w:p w14:paraId="330939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49" w:type="pct"/>
            <w:tcBorders>
              <w:tl2br w:val="nil"/>
              <w:tr2bl w:val="nil"/>
            </w:tcBorders>
            <w:shd w:val="clear" w:color="auto" w:fill="auto"/>
            <w:noWrap/>
            <w:vAlign w:val="center"/>
          </w:tcPr>
          <w:p w14:paraId="04C952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针叶林、阔叶林</w:t>
            </w:r>
          </w:p>
        </w:tc>
        <w:tc>
          <w:tcPr>
            <w:tcW w:w="552" w:type="pct"/>
            <w:tcBorders>
              <w:tl2br w:val="nil"/>
              <w:tr2bl w:val="nil"/>
            </w:tcBorders>
            <w:shd w:val="clear" w:color="auto" w:fill="auto"/>
            <w:noWrap/>
            <w:vAlign w:val="center"/>
          </w:tcPr>
          <w:p w14:paraId="4553F5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246.29 </w:t>
            </w:r>
          </w:p>
        </w:tc>
        <w:tc>
          <w:tcPr>
            <w:tcW w:w="547" w:type="pct"/>
            <w:tcBorders>
              <w:tl2br w:val="nil"/>
              <w:tr2bl w:val="nil"/>
            </w:tcBorders>
            <w:shd w:val="clear" w:color="auto" w:fill="auto"/>
            <w:noWrap/>
            <w:vAlign w:val="center"/>
          </w:tcPr>
          <w:p w14:paraId="42E38D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0.65 </w:t>
            </w:r>
          </w:p>
        </w:tc>
        <w:tc>
          <w:tcPr>
            <w:tcW w:w="674" w:type="pct"/>
            <w:tcBorders>
              <w:tl2br w:val="nil"/>
              <w:tr2bl w:val="nil"/>
            </w:tcBorders>
            <w:shd w:val="clear" w:color="auto" w:fill="auto"/>
            <w:noWrap/>
            <w:vAlign w:val="center"/>
          </w:tcPr>
          <w:p w14:paraId="365A8C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54.24</w:t>
            </w:r>
          </w:p>
        </w:tc>
        <w:tc>
          <w:tcPr>
            <w:tcW w:w="722" w:type="pct"/>
            <w:tcBorders>
              <w:tl2br w:val="nil"/>
              <w:tr2bl w:val="nil"/>
            </w:tcBorders>
            <w:shd w:val="clear" w:color="auto" w:fill="auto"/>
            <w:noWrap/>
            <w:vAlign w:val="center"/>
          </w:tcPr>
          <w:p w14:paraId="704281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13358.57 </w:t>
            </w:r>
          </w:p>
        </w:tc>
        <w:tc>
          <w:tcPr>
            <w:tcW w:w="793" w:type="pct"/>
            <w:tcBorders>
              <w:tl2br w:val="nil"/>
              <w:tr2bl w:val="nil"/>
            </w:tcBorders>
            <w:shd w:val="clear" w:color="auto" w:fill="auto"/>
            <w:noWrap/>
            <w:vAlign w:val="center"/>
          </w:tcPr>
          <w:p w14:paraId="4657A0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35.23 </w:t>
            </w:r>
          </w:p>
        </w:tc>
        <w:tc>
          <w:tcPr>
            <w:tcW w:w="745" w:type="pct"/>
            <w:tcBorders>
              <w:tl2br w:val="nil"/>
              <w:tr2bl w:val="nil"/>
            </w:tcBorders>
            <w:shd w:val="clear" w:color="auto" w:fill="auto"/>
            <w:noWrap/>
            <w:vAlign w:val="center"/>
          </w:tcPr>
          <w:p w14:paraId="40365527">
            <w:pPr>
              <w:spacing w:line="240" w:lineRule="auto"/>
              <w:jc w:val="center"/>
              <w:rPr>
                <w:rFonts w:hint="default" w:ascii="Times New Roman" w:hAnsi="Times New Roman" w:eastAsia="宋体" w:cs="Times New Roman"/>
                <w:i w:val="0"/>
                <w:iCs w:val="0"/>
                <w:color w:val="000000"/>
                <w:sz w:val="21"/>
                <w:szCs w:val="21"/>
                <w:u w:val="none"/>
              </w:rPr>
            </w:pPr>
          </w:p>
        </w:tc>
      </w:tr>
      <w:tr w14:paraId="3FA26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4" w:type="pct"/>
            <w:tcBorders>
              <w:tl2br w:val="nil"/>
              <w:tr2bl w:val="nil"/>
            </w:tcBorders>
            <w:shd w:val="clear" w:color="auto" w:fill="auto"/>
            <w:noWrap/>
            <w:vAlign w:val="center"/>
          </w:tcPr>
          <w:p w14:paraId="45E687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49" w:type="pct"/>
            <w:tcBorders>
              <w:tl2br w:val="nil"/>
              <w:tr2bl w:val="nil"/>
            </w:tcBorders>
            <w:shd w:val="clear" w:color="auto" w:fill="auto"/>
            <w:noWrap/>
            <w:vAlign w:val="center"/>
          </w:tcPr>
          <w:p w14:paraId="033F94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落叶阔叶灌丛</w:t>
            </w:r>
          </w:p>
        </w:tc>
        <w:tc>
          <w:tcPr>
            <w:tcW w:w="552" w:type="pct"/>
            <w:tcBorders>
              <w:tl2br w:val="nil"/>
              <w:tr2bl w:val="nil"/>
            </w:tcBorders>
            <w:shd w:val="clear" w:color="auto" w:fill="auto"/>
            <w:noWrap/>
            <w:vAlign w:val="center"/>
          </w:tcPr>
          <w:p w14:paraId="4A6C13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19.28 </w:t>
            </w:r>
          </w:p>
        </w:tc>
        <w:tc>
          <w:tcPr>
            <w:tcW w:w="547" w:type="pct"/>
            <w:tcBorders>
              <w:tl2br w:val="nil"/>
              <w:tr2bl w:val="nil"/>
            </w:tcBorders>
            <w:shd w:val="clear" w:color="auto" w:fill="auto"/>
            <w:noWrap/>
            <w:vAlign w:val="center"/>
          </w:tcPr>
          <w:p w14:paraId="53A7C0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0.05 </w:t>
            </w:r>
          </w:p>
        </w:tc>
        <w:tc>
          <w:tcPr>
            <w:tcW w:w="674" w:type="pct"/>
            <w:tcBorders>
              <w:tl2br w:val="nil"/>
              <w:tr2bl w:val="nil"/>
            </w:tcBorders>
            <w:shd w:val="clear" w:color="auto" w:fill="auto"/>
            <w:noWrap/>
            <w:vAlign w:val="center"/>
          </w:tcPr>
          <w:p w14:paraId="09B607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25.89</w:t>
            </w:r>
          </w:p>
        </w:tc>
        <w:tc>
          <w:tcPr>
            <w:tcW w:w="722" w:type="pct"/>
            <w:tcBorders>
              <w:tl2br w:val="nil"/>
              <w:tr2bl w:val="nil"/>
            </w:tcBorders>
            <w:shd w:val="clear" w:color="auto" w:fill="auto"/>
            <w:noWrap/>
            <w:vAlign w:val="center"/>
          </w:tcPr>
          <w:p w14:paraId="29C1C6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499.20 </w:t>
            </w:r>
          </w:p>
        </w:tc>
        <w:tc>
          <w:tcPr>
            <w:tcW w:w="793" w:type="pct"/>
            <w:tcBorders>
              <w:tl2br w:val="nil"/>
              <w:tr2bl w:val="nil"/>
            </w:tcBorders>
            <w:shd w:val="clear" w:color="auto" w:fill="auto"/>
            <w:noWrap/>
            <w:vAlign w:val="center"/>
          </w:tcPr>
          <w:p w14:paraId="610D98A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1.28 </w:t>
            </w:r>
          </w:p>
        </w:tc>
        <w:tc>
          <w:tcPr>
            <w:tcW w:w="745" w:type="pct"/>
            <w:tcBorders>
              <w:tl2br w:val="nil"/>
              <w:tr2bl w:val="nil"/>
            </w:tcBorders>
            <w:shd w:val="clear" w:color="auto" w:fill="auto"/>
            <w:noWrap/>
            <w:vAlign w:val="center"/>
          </w:tcPr>
          <w:p w14:paraId="6BDBE267">
            <w:pPr>
              <w:spacing w:line="240" w:lineRule="auto"/>
              <w:jc w:val="center"/>
              <w:rPr>
                <w:rFonts w:hint="default" w:ascii="Times New Roman" w:hAnsi="Times New Roman" w:eastAsia="宋体" w:cs="Times New Roman"/>
                <w:i w:val="0"/>
                <w:iCs w:val="0"/>
                <w:color w:val="000000"/>
                <w:sz w:val="21"/>
                <w:szCs w:val="21"/>
                <w:u w:val="none"/>
              </w:rPr>
            </w:pPr>
          </w:p>
        </w:tc>
      </w:tr>
      <w:tr w14:paraId="3F2358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4" w:type="pct"/>
            <w:tcBorders>
              <w:tl2br w:val="nil"/>
              <w:tr2bl w:val="nil"/>
            </w:tcBorders>
            <w:shd w:val="clear" w:color="auto" w:fill="auto"/>
            <w:noWrap/>
            <w:vAlign w:val="center"/>
          </w:tcPr>
          <w:p w14:paraId="6EBD09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49" w:type="pct"/>
            <w:tcBorders>
              <w:tl2br w:val="nil"/>
              <w:tr2bl w:val="nil"/>
            </w:tcBorders>
            <w:shd w:val="clear" w:color="auto" w:fill="auto"/>
            <w:noWrap/>
            <w:vAlign w:val="center"/>
          </w:tcPr>
          <w:p w14:paraId="659A58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丛生禾草草原</w:t>
            </w:r>
          </w:p>
        </w:tc>
        <w:tc>
          <w:tcPr>
            <w:tcW w:w="552" w:type="pct"/>
            <w:tcBorders>
              <w:tl2br w:val="nil"/>
              <w:tr2bl w:val="nil"/>
            </w:tcBorders>
            <w:shd w:val="clear" w:color="auto" w:fill="auto"/>
            <w:noWrap/>
            <w:vAlign w:val="center"/>
          </w:tcPr>
          <w:p w14:paraId="7AEF30D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90.61 </w:t>
            </w:r>
          </w:p>
        </w:tc>
        <w:tc>
          <w:tcPr>
            <w:tcW w:w="547" w:type="pct"/>
            <w:tcBorders>
              <w:tl2br w:val="nil"/>
              <w:tr2bl w:val="nil"/>
            </w:tcBorders>
            <w:shd w:val="clear" w:color="auto" w:fill="auto"/>
            <w:noWrap/>
            <w:vAlign w:val="center"/>
          </w:tcPr>
          <w:p w14:paraId="428056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0.08 </w:t>
            </w:r>
          </w:p>
        </w:tc>
        <w:tc>
          <w:tcPr>
            <w:tcW w:w="674" w:type="pct"/>
            <w:tcBorders>
              <w:tl2br w:val="nil"/>
              <w:tr2bl w:val="nil"/>
            </w:tcBorders>
            <w:shd w:val="clear" w:color="auto" w:fill="auto"/>
            <w:noWrap/>
            <w:vAlign w:val="center"/>
          </w:tcPr>
          <w:p w14:paraId="49AC36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5.56</w:t>
            </w:r>
          </w:p>
        </w:tc>
        <w:tc>
          <w:tcPr>
            <w:tcW w:w="722" w:type="pct"/>
            <w:tcBorders>
              <w:tl2br w:val="nil"/>
              <w:tr2bl w:val="nil"/>
            </w:tcBorders>
            <w:shd w:val="clear" w:color="auto" w:fill="auto"/>
            <w:noWrap/>
            <w:vAlign w:val="center"/>
          </w:tcPr>
          <w:p w14:paraId="733DDC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503.79 </w:t>
            </w:r>
          </w:p>
        </w:tc>
        <w:tc>
          <w:tcPr>
            <w:tcW w:w="793" w:type="pct"/>
            <w:tcBorders>
              <w:tl2br w:val="nil"/>
              <w:tr2bl w:val="nil"/>
            </w:tcBorders>
            <w:shd w:val="clear" w:color="auto" w:fill="auto"/>
            <w:noWrap/>
            <w:vAlign w:val="center"/>
          </w:tcPr>
          <w:p w14:paraId="2CE3F4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0.44 </w:t>
            </w:r>
          </w:p>
        </w:tc>
        <w:tc>
          <w:tcPr>
            <w:tcW w:w="745" w:type="pct"/>
            <w:tcBorders>
              <w:tl2br w:val="nil"/>
              <w:tr2bl w:val="nil"/>
            </w:tcBorders>
            <w:shd w:val="clear" w:color="auto" w:fill="auto"/>
            <w:noWrap/>
            <w:vAlign w:val="center"/>
          </w:tcPr>
          <w:p w14:paraId="6FE3FEE6">
            <w:pPr>
              <w:spacing w:line="240" w:lineRule="auto"/>
              <w:jc w:val="center"/>
              <w:rPr>
                <w:rFonts w:hint="default" w:ascii="Times New Roman" w:hAnsi="Times New Roman" w:eastAsia="宋体" w:cs="Times New Roman"/>
                <w:i w:val="0"/>
                <w:iCs w:val="0"/>
                <w:color w:val="000000"/>
                <w:sz w:val="21"/>
                <w:szCs w:val="21"/>
                <w:u w:val="none"/>
              </w:rPr>
            </w:pPr>
          </w:p>
        </w:tc>
      </w:tr>
      <w:tr w14:paraId="1895BA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314" w:type="pct"/>
            <w:tcBorders>
              <w:tl2br w:val="nil"/>
              <w:tr2bl w:val="nil"/>
            </w:tcBorders>
            <w:shd w:val="clear" w:color="auto" w:fill="auto"/>
            <w:noWrap/>
            <w:vAlign w:val="center"/>
          </w:tcPr>
          <w:p w14:paraId="074D11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49" w:type="pct"/>
            <w:tcBorders>
              <w:tl2br w:val="nil"/>
              <w:tr2bl w:val="nil"/>
            </w:tcBorders>
            <w:shd w:val="clear" w:color="auto" w:fill="auto"/>
            <w:noWrap/>
            <w:vAlign w:val="center"/>
          </w:tcPr>
          <w:p w14:paraId="21EF16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农田栽培植被</w:t>
            </w:r>
          </w:p>
        </w:tc>
        <w:tc>
          <w:tcPr>
            <w:tcW w:w="552" w:type="pct"/>
            <w:tcBorders>
              <w:tl2br w:val="nil"/>
              <w:tr2bl w:val="nil"/>
            </w:tcBorders>
            <w:shd w:val="clear" w:color="auto" w:fill="auto"/>
            <w:noWrap/>
            <w:vAlign w:val="center"/>
          </w:tcPr>
          <w:p w14:paraId="27DEE2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701.86 </w:t>
            </w:r>
          </w:p>
        </w:tc>
        <w:tc>
          <w:tcPr>
            <w:tcW w:w="547" w:type="pct"/>
            <w:tcBorders>
              <w:tl2br w:val="nil"/>
              <w:tr2bl w:val="nil"/>
            </w:tcBorders>
            <w:shd w:val="clear" w:color="auto" w:fill="auto"/>
            <w:noWrap/>
            <w:vAlign w:val="center"/>
          </w:tcPr>
          <w:p w14:paraId="1F21CD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57</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74" w:type="pct"/>
            <w:tcBorders>
              <w:tl2br w:val="nil"/>
              <w:tr2bl w:val="nil"/>
            </w:tcBorders>
            <w:shd w:val="clear" w:color="auto" w:fill="auto"/>
            <w:noWrap/>
            <w:vAlign w:val="center"/>
          </w:tcPr>
          <w:p w14:paraId="703267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722" w:type="pct"/>
            <w:tcBorders>
              <w:tl2br w:val="nil"/>
              <w:tr2bl w:val="nil"/>
            </w:tcBorders>
            <w:shd w:val="clear" w:color="auto" w:fill="auto"/>
            <w:noWrap/>
            <w:vAlign w:val="center"/>
          </w:tcPr>
          <w:p w14:paraId="743E6A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6667.70 </w:t>
            </w:r>
          </w:p>
        </w:tc>
        <w:tc>
          <w:tcPr>
            <w:tcW w:w="793" w:type="pct"/>
            <w:tcBorders>
              <w:tl2br w:val="nil"/>
              <w:tr2bl w:val="nil"/>
            </w:tcBorders>
            <w:shd w:val="clear" w:color="auto" w:fill="auto"/>
            <w:noWrap/>
            <w:vAlign w:val="center"/>
          </w:tcPr>
          <w:p w14:paraId="330E77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62.42</w:t>
            </w:r>
          </w:p>
        </w:tc>
        <w:tc>
          <w:tcPr>
            <w:tcW w:w="745" w:type="pct"/>
            <w:tcBorders>
              <w:tl2br w:val="nil"/>
              <w:tr2bl w:val="nil"/>
            </w:tcBorders>
            <w:shd w:val="clear" w:color="auto" w:fill="auto"/>
            <w:noWrap/>
            <w:vAlign w:val="center"/>
          </w:tcPr>
          <w:p w14:paraId="5787F0C9">
            <w:pPr>
              <w:spacing w:line="240" w:lineRule="auto"/>
              <w:jc w:val="center"/>
              <w:rPr>
                <w:rFonts w:hint="default" w:ascii="Times New Roman" w:hAnsi="Times New Roman" w:eastAsia="宋体" w:cs="Times New Roman"/>
                <w:i w:val="0"/>
                <w:iCs w:val="0"/>
                <w:color w:val="000000"/>
                <w:sz w:val="21"/>
                <w:szCs w:val="21"/>
                <w:u w:val="none"/>
              </w:rPr>
            </w:pPr>
          </w:p>
        </w:tc>
      </w:tr>
      <w:tr w14:paraId="4F10D1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64" w:type="pct"/>
            <w:gridSpan w:val="2"/>
            <w:tcBorders>
              <w:tl2br w:val="nil"/>
              <w:tr2bl w:val="nil"/>
            </w:tcBorders>
            <w:shd w:val="clear" w:color="auto" w:fill="auto"/>
            <w:noWrap/>
            <w:vAlign w:val="center"/>
          </w:tcPr>
          <w:p w14:paraId="7D271B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552" w:type="pct"/>
            <w:tcBorders>
              <w:tl2br w:val="nil"/>
              <w:tr2bl w:val="nil"/>
            </w:tcBorders>
            <w:shd w:val="clear" w:color="auto" w:fill="auto"/>
            <w:noWrap/>
            <w:vAlign w:val="center"/>
          </w:tcPr>
          <w:p w14:paraId="233985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1058.04 </w:t>
            </w:r>
          </w:p>
        </w:tc>
        <w:tc>
          <w:tcPr>
            <w:tcW w:w="547" w:type="pct"/>
            <w:tcBorders>
              <w:tl2br w:val="nil"/>
              <w:tr2bl w:val="nil"/>
            </w:tcBorders>
            <w:shd w:val="clear" w:color="auto" w:fill="auto"/>
            <w:noWrap/>
            <w:vAlign w:val="center"/>
          </w:tcPr>
          <w:p w14:paraId="478A1A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7.35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74" w:type="pct"/>
            <w:tcBorders>
              <w:tl2br w:val="nil"/>
              <w:tr2bl w:val="nil"/>
            </w:tcBorders>
            <w:shd w:val="clear" w:color="auto" w:fill="auto"/>
            <w:noWrap/>
            <w:vAlign w:val="center"/>
          </w:tcPr>
          <w:p w14:paraId="51689618">
            <w:pPr>
              <w:spacing w:line="240" w:lineRule="auto"/>
              <w:jc w:val="center"/>
              <w:rPr>
                <w:rFonts w:hint="default" w:ascii="Times New Roman" w:hAnsi="Times New Roman" w:eastAsia="宋体" w:cs="Times New Roman"/>
                <w:i w:val="0"/>
                <w:iCs w:val="0"/>
                <w:color w:val="000000"/>
                <w:sz w:val="21"/>
                <w:szCs w:val="21"/>
                <w:u w:val="none"/>
              </w:rPr>
            </w:pPr>
          </w:p>
        </w:tc>
        <w:tc>
          <w:tcPr>
            <w:tcW w:w="722" w:type="pct"/>
            <w:tcBorders>
              <w:tl2br w:val="nil"/>
              <w:tr2bl w:val="nil"/>
            </w:tcBorders>
            <w:shd w:val="clear" w:color="auto" w:fill="auto"/>
            <w:noWrap/>
            <w:vAlign w:val="center"/>
          </w:tcPr>
          <w:p w14:paraId="1495ED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21029.26 </w:t>
            </w:r>
          </w:p>
        </w:tc>
        <w:tc>
          <w:tcPr>
            <w:tcW w:w="793" w:type="pct"/>
            <w:tcBorders>
              <w:tl2br w:val="nil"/>
              <w:tr2bl w:val="nil"/>
            </w:tcBorders>
            <w:shd w:val="clear" w:color="auto" w:fill="auto"/>
            <w:noWrap/>
            <w:vAlign w:val="center"/>
          </w:tcPr>
          <w:p w14:paraId="512E53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cs="Times New Roman"/>
                <w:i w:val="0"/>
                <w:iCs w:val="0"/>
                <w:color w:val="000000"/>
                <w:kern w:val="0"/>
                <w:sz w:val="21"/>
                <w:szCs w:val="21"/>
                <w:u w:val="none"/>
                <w:lang w:val="en-US" w:eastAsia="zh-CN" w:bidi="ar"/>
              </w:rPr>
              <w:t>9.37</w:t>
            </w:r>
          </w:p>
        </w:tc>
        <w:tc>
          <w:tcPr>
            <w:tcW w:w="745" w:type="pct"/>
            <w:tcBorders>
              <w:tl2br w:val="nil"/>
              <w:tr2bl w:val="nil"/>
            </w:tcBorders>
            <w:shd w:val="clear" w:color="auto" w:fill="auto"/>
            <w:noWrap/>
            <w:vAlign w:val="center"/>
          </w:tcPr>
          <w:p w14:paraId="5D9870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w:t>
            </w:r>
          </w:p>
        </w:tc>
      </w:tr>
    </w:tbl>
    <w:p w14:paraId="033A1280">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FF0000"/>
          <w:spacing w:val="0"/>
          <w:sz w:val="24"/>
          <w:szCs w:val="24"/>
          <w:highlight w:val="none"/>
          <w:u w:val="none"/>
        </w:rPr>
      </w:pPr>
      <w:r>
        <w:rPr>
          <w:rFonts w:hint="default" w:ascii="Times New Roman" w:hAnsi="Times New Roman" w:eastAsia="宋体" w:cs="Times New Roman"/>
          <w:b w:val="0"/>
          <w:i w:val="0"/>
          <w:strike w:val="0"/>
          <w:color w:val="auto"/>
          <w:spacing w:val="0"/>
          <w:sz w:val="24"/>
          <w:szCs w:val="24"/>
          <w:highlight w:val="none"/>
          <w:u w:val="none"/>
        </w:rPr>
        <w:t>由表</w:t>
      </w:r>
      <w:r>
        <w:rPr>
          <w:rFonts w:hint="eastAsia" w:cs="Times New Roman"/>
          <w:b w:val="0"/>
          <w:i w:val="0"/>
          <w:strike w:val="0"/>
          <w:color w:val="auto"/>
          <w:spacing w:val="0"/>
          <w:sz w:val="24"/>
          <w:szCs w:val="24"/>
          <w:highlight w:val="none"/>
          <w:u w:val="none"/>
          <w:lang w:val="en-US" w:eastAsia="zh-CN"/>
        </w:rPr>
        <w:t>4.2</w:t>
      </w:r>
      <w:r>
        <w:rPr>
          <w:rFonts w:hint="default" w:ascii="Times New Roman" w:hAnsi="Times New Roman" w:eastAsia="宋体" w:cs="Times New Roman"/>
          <w:b w:val="0"/>
          <w:i w:val="0"/>
          <w:strike w:val="0"/>
          <w:color w:val="auto"/>
          <w:spacing w:val="0"/>
          <w:sz w:val="24"/>
          <w:szCs w:val="24"/>
          <w:highlight w:val="none"/>
          <w:u w:val="none"/>
        </w:rPr>
        <w:t>-</w:t>
      </w:r>
      <w:r>
        <w:rPr>
          <w:rFonts w:hint="eastAsia" w:cs="Times New Roman"/>
          <w:b w:val="0"/>
          <w:i w:val="0"/>
          <w:strike w:val="0"/>
          <w:color w:val="auto"/>
          <w:spacing w:val="0"/>
          <w:sz w:val="24"/>
          <w:szCs w:val="24"/>
          <w:highlight w:val="none"/>
          <w:u w:val="none"/>
          <w:lang w:val="en-US" w:eastAsia="zh-CN"/>
        </w:rPr>
        <w:t>1</w:t>
      </w:r>
      <w:r>
        <w:rPr>
          <w:rFonts w:hint="default" w:ascii="Times New Roman" w:hAnsi="Times New Roman" w:eastAsia="宋体" w:cs="Times New Roman"/>
          <w:b w:val="0"/>
          <w:i w:val="0"/>
          <w:strike w:val="0"/>
          <w:color w:val="auto"/>
          <w:spacing w:val="0"/>
          <w:sz w:val="24"/>
          <w:szCs w:val="24"/>
          <w:highlight w:val="none"/>
          <w:u w:val="none"/>
        </w:rPr>
        <w:t>可知，</w:t>
      </w:r>
      <w:r>
        <w:rPr>
          <w:rFonts w:hint="default" w:ascii="Times New Roman" w:hAnsi="Times New Roman" w:cs="Times New Roman"/>
          <w:color w:val="auto"/>
          <w:kern w:val="0"/>
          <w:sz w:val="24"/>
          <w:szCs w:val="24"/>
          <w:highlight w:val="none"/>
          <w:lang w:bidi="ar"/>
        </w:rPr>
        <w:t>评价区域总生物量约为</w:t>
      </w:r>
      <w:r>
        <w:rPr>
          <w:rFonts w:hint="eastAsia" w:cs="Times New Roman"/>
          <w:color w:val="auto"/>
          <w:kern w:val="0"/>
          <w:sz w:val="24"/>
          <w:szCs w:val="24"/>
          <w:highlight w:val="none"/>
          <w:lang w:val="en-US" w:eastAsia="zh-CN" w:bidi="ar"/>
        </w:rPr>
        <w:t>21029.26</w:t>
      </w:r>
      <w:r>
        <w:rPr>
          <w:rFonts w:hint="default" w:ascii="Times New Roman" w:hAnsi="Times New Roman" w:cs="Times New Roman"/>
          <w:color w:val="auto"/>
          <w:kern w:val="0"/>
          <w:sz w:val="24"/>
          <w:szCs w:val="24"/>
          <w:highlight w:val="none"/>
          <w:lang w:bidi="ar"/>
        </w:rPr>
        <w:t>t，</w:t>
      </w:r>
      <w:r>
        <w:rPr>
          <w:rFonts w:hint="eastAsia" w:ascii="Times New Roman" w:hAnsi="Times New Roman" w:cs="Times New Roman"/>
          <w:color w:val="auto"/>
          <w:kern w:val="0"/>
          <w:sz w:val="24"/>
          <w:szCs w:val="24"/>
          <w:highlight w:val="none"/>
          <w:lang w:eastAsia="zh-CN" w:bidi="ar"/>
        </w:rPr>
        <w:t>工程占地区</w:t>
      </w:r>
      <w:r>
        <w:rPr>
          <w:rFonts w:hint="default" w:ascii="Times New Roman" w:hAnsi="Times New Roman" w:cs="Times New Roman"/>
          <w:color w:val="auto"/>
          <w:kern w:val="0"/>
          <w:sz w:val="24"/>
          <w:szCs w:val="24"/>
          <w:highlight w:val="none"/>
          <w:lang w:bidi="ar"/>
        </w:rPr>
        <w:t>总生物量</w:t>
      </w:r>
      <w:r>
        <w:rPr>
          <w:rFonts w:hint="eastAsia" w:ascii="Times New Roman" w:hAnsi="Times New Roman" w:cs="Times New Roman"/>
          <w:color w:val="auto"/>
          <w:kern w:val="0"/>
          <w:sz w:val="24"/>
          <w:szCs w:val="24"/>
          <w:highlight w:val="none"/>
          <w:lang w:eastAsia="zh-CN" w:bidi="ar"/>
        </w:rPr>
        <w:t>约为</w:t>
      </w:r>
      <w:r>
        <w:rPr>
          <w:rFonts w:hint="eastAsia" w:ascii="Times New Roman" w:hAnsi="Times New Roman" w:cs="Times New Roman"/>
          <w:color w:val="auto"/>
          <w:kern w:val="0"/>
          <w:sz w:val="24"/>
          <w:szCs w:val="24"/>
          <w:highlight w:val="none"/>
          <w:lang w:val="en-US" w:eastAsia="zh-CN" w:bidi="ar"/>
        </w:rPr>
        <w:t>9</w:t>
      </w:r>
      <w:r>
        <w:rPr>
          <w:rFonts w:hint="eastAsia" w:cs="Times New Roman"/>
          <w:color w:val="auto"/>
          <w:kern w:val="0"/>
          <w:sz w:val="24"/>
          <w:szCs w:val="24"/>
          <w:highlight w:val="none"/>
          <w:lang w:val="en-US" w:eastAsia="zh-CN" w:bidi="ar"/>
        </w:rPr>
        <w:t>9.37</w:t>
      </w:r>
      <w:r>
        <w:rPr>
          <w:rFonts w:hint="eastAsia" w:ascii="Times New Roman" w:hAnsi="Times New Roman" w:cs="Times New Roman"/>
          <w:color w:val="auto"/>
          <w:kern w:val="0"/>
          <w:sz w:val="24"/>
          <w:szCs w:val="24"/>
          <w:highlight w:val="none"/>
          <w:lang w:val="en-US" w:eastAsia="zh-CN" w:bidi="ar"/>
        </w:rPr>
        <w:t>t，占整个评价区</w:t>
      </w:r>
      <w:r>
        <w:rPr>
          <w:rFonts w:hint="default" w:ascii="Times New Roman" w:hAnsi="Times New Roman" w:cs="Times New Roman"/>
          <w:color w:val="auto"/>
          <w:kern w:val="0"/>
          <w:sz w:val="24"/>
          <w:szCs w:val="24"/>
          <w:highlight w:val="none"/>
          <w:lang w:bidi="ar"/>
        </w:rPr>
        <w:t>总生物量的</w:t>
      </w:r>
      <w:r>
        <w:rPr>
          <w:rFonts w:hint="eastAsia" w:cs="Times New Roman"/>
          <w:color w:val="auto"/>
          <w:kern w:val="0"/>
          <w:sz w:val="24"/>
          <w:szCs w:val="24"/>
          <w:highlight w:val="none"/>
          <w:lang w:val="en-US" w:eastAsia="zh-CN" w:bidi="ar"/>
        </w:rPr>
        <w:t>0.47</w:t>
      </w:r>
      <w:r>
        <w:rPr>
          <w:rFonts w:hint="default" w:ascii="Times New Roman" w:hAnsi="Times New Roman" w:cs="Times New Roman"/>
          <w:color w:val="auto"/>
          <w:kern w:val="0"/>
          <w:sz w:val="24"/>
          <w:szCs w:val="24"/>
          <w:highlight w:val="none"/>
          <w:lang w:bidi="ar"/>
        </w:rPr>
        <w:t>%，所占比重</w:t>
      </w:r>
      <w:r>
        <w:rPr>
          <w:rFonts w:hint="eastAsia" w:ascii="Times New Roman" w:hAnsi="Times New Roman" w:cs="Times New Roman"/>
          <w:color w:val="auto"/>
          <w:kern w:val="0"/>
          <w:sz w:val="24"/>
          <w:szCs w:val="24"/>
          <w:highlight w:val="none"/>
          <w:lang w:eastAsia="zh-CN" w:bidi="ar"/>
        </w:rPr>
        <w:t>很小</w:t>
      </w:r>
      <w:r>
        <w:rPr>
          <w:rFonts w:hint="default" w:ascii="Times New Roman" w:hAnsi="Times New Roman" w:cs="Times New Roman"/>
          <w:color w:val="auto"/>
          <w:kern w:val="0"/>
          <w:sz w:val="24"/>
          <w:szCs w:val="24"/>
          <w:highlight w:val="none"/>
          <w:lang w:bidi="ar"/>
        </w:rPr>
        <w:t>。</w:t>
      </w:r>
    </w:p>
    <w:p w14:paraId="5B36F1E7">
      <w:pPr>
        <w:autoSpaceDE w:val="0"/>
        <w:autoSpaceDN w:val="0"/>
        <w:adjustRightInd w:val="0"/>
        <w:spacing w:line="360" w:lineRule="auto"/>
        <w:ind w:firstLine="480" w:firstLineChars="200"/>
        <w:rPr>
          <w:rFonts w:hint="default" w:ascii="Times New Roman" w:hAnsi="Times New Roman" w:eastAsia="宋体" w:cs="Times New Roman"/>
          <w:b w:val="0"/>
          <w:i w:val="0"/>
          <w:strike w:val="0"/>
          <w:color w:val="auto"/>
          <w:spacing w:val="0"/>
          <w:sz w:val="24"/>
          <w:szCs w:val="24"/>
          <w:highlight w:val="none"/>
          <w:u w:val="none"/>
        </w:rPr>
      </w:pPr>
      <w:r>
        <w:rPr>
          <w:rFonts w:hint="default" w:ascii="Times New Roman" w:hAnsi="Times New Roman" w:eastAsia="宋体" w:cs="Times New Roman"/>
          <w:b w:val="0"/>
          <w:i w:val="0"/>
          <w:strike w:val="0"/>
          <w:color w:val="auto"/>
          <w:spacing w:val="0"/>
          <w:sz w:val="24"/>
          <w:szCs w:val="24"/>
          <w:highlight w:val="none"/>
          <w:u w:val="none"/>
        </w:rPr>
        <w:t>据</w:t>
      </w:r>
      <w:r>
        <w:rPr>
          <w:rFonts w:hint="eastAsia" w:ascii="Times New Roman" w:hAnsi="Times New Roman" w:eastAsia="宋体" w:cs="Times New Roman"/>
          <w:b w:val="0"/>
          <w:i w:val="0"/>
          <w:strike w:val="0"/>
          <w:color w:val="auto"/>
          <w:spacing w:val="0"/>
          <w:sz w:val="24"/>
          <w:szCs w:val="24"/>
          <w:highlight w:val="none"/>
          <w:u w:val="none"/>
          <w:lang w:eastAsia="zh-CN"/>
        </w:rPr>
        <w:t>资料及</w:t>
      </w:r>
      <w:r>
        <w:rPr>
          <w:rFonts w:hint="default" w:ascii="Times New Roman" w:hAnsi="Times New Roman" w:eastAsia="宋体" w:cs="Times New Roman"/>
          <w:b w:val="0"/>
          <w:i w:val="0"/>
          <w:strike w:val="0"/>
          <w:color w:val="auto"/>
          <w:spacing w:val="0"/>
          <w:sz w:val="24"/>
          <w:szCs w:val="24"/>
          <w:highlight w:val="none"/>
          <w:u w:val="none"/>
        </w:rPr>
        <w:t>现场调查</w:t>
      </w:r>
      <w:r>
        <w:rPr>
          <w:rFonts w:hint="eastAsia" w:cs="Times New Roman"/>
          <w:b w:val="0"/>
          <w:i w:val="0"/>
          <w:strike w:val="0"/>
          <w:color w:val="auto"/>
          <w:spacing w:val="0"/>
          <w:sz w:val="24"/>
          <w:szCs w:val="24"/>
          <w:highlight w:val="none"/>
          <w:u w:val="none"/>
          <w:lang w:eastAsia="zh-CN"/>
        </w:rPr>
        <w:t>，</w:t>
      </w:r>
      <w:r>
        <w:rPr>
          <w:rFonts w:hint="default" w:ascii="Times New Roman" w:hAnsi="Times New Roman" w:cs="Times New Roman"/>
          <w:color w:val="auto"/>
          <w:kern w:val="0"/>
          <w:sz w:val="24"/>
          <w:szCs w:val="24"/>
          <w:highlight w:val="none"/>
          <w:lang w:bidi="ar"/>
        </w:rPr>
        <w:t>整个评价区植被构成中农作物主要为玉米、小麦</w:t>
      </w:r>
      <w:r>
        <w:rPr>
          <w:rFonts w:hint="eastAsia" w:ascii="Times New Roman" w:hAnsi="Times New Roman" w:cs="Times New Roman"/>
          <w:color w:val="auto"/>
          <w:kern w:val="0"/>
          <w:sz w:val="24"/>
          <w:szCs w:val="24"/>
          <w:highlight w:val="none"/>
          <w:lang w:eastAsia="zh-CN" w:bidi="ar"/>
        </w:rPr>
        <w:t>，林地植被主要为山桃、山杏及林间补栽的云杉，</w:t>
      </w:r>
      <w:r>
        <w:rPr>
          <w:rFonts w:hint="default" w:ascii="Times New Roman" w:hAnsi="Times New Roman" w:cs="Times New Roman"/>
          <w:color w:val="auto"/>
          <w:kern w:val="0"/>
          <w:sz w:val="24"/>
          <w:szCs w:val="24"/>
          <w:highlight w:val="none"/>
          <w:lang w:bidi="ar"/>
        </w:rPr>
        <w:t>生物生产能力相对较高</w:t>
      </w:r>
      <w:r>
        <w:rPr>
          <w:rFonts w:hint="eastAsia"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草原单位生物量较低且生产力受环境限制，主要为针茅、</w:t>
      </w:r>
      <w:r>
        <w:rPr>
          <w:rFonts w:hint="eastAsia" w:ascii="Times New Roman" w:hAnsi="Times New Roman" w:cs="Times New Roman"/>
          <w:color w:val="auto"/>
          <w:kern w:val="0"/>
          <w:sz w:val="24"/>
          <w:szCs w:val="24"/>
          <w:highlight w:val="none"/>
          <w:lang w:eastAsia="zh-CN" w:bidi="ar"/>
        </w:rPr>
        <w:t>芒草、</w:t>
      </w:r>
      <w:r>
        <w:rPr>
          <w:rFonts w:hint="eastAsia" w:cs="Times New Roman"/>
          <w:color w:val="auto"/>
          <w:kern w:val="0"/>
          <w:sz w:val="24"/>
          <w:szCs w:val="24"/>
          <w:highlight w:val="none"/>
          <w:lang w:val="en-US" w:eastAsia="zh-CN" w:bidi="ar"/>
        </w:rPr>
        <w:t>百里香、铁杆蒿</w:t>
      </w:r>
      <w:r>
        <w:rPr>
          <w:rFonts w:hint="default" w:ascii="Times New Roman" w:hAnsi="Times New Roman" w:cs="Times New Roman"/>
          <w:color w:val="auto"/>
          <w:kern w:val="0"/>
          <w:sz w:val="24"/>
          <w:szCs w:val="24"/>
          <w:highlight w:val="none"/>
          <w:lang w:bidi="ar"/>
        </w:rPr>
        <w:t>、</w:t>
      </w:r>
      <w:r>
        <w:rPr>
          <w:rFonts w:hint="eastAsia" w:cs="Times New Roman"/>
          <w:color w:val="auto"/>
          <w:kern w:val="0"/>
          <w:sz w:val="24"/>
          <w:szCs w:val="24"/>
          <w:highlight w:val="none"/>
          <w:lang w:val="en-US" w:eastAsia="zh-CN" w:bidi="ar"/>
        </w:rPr>
        <w:t>冰草</w:t>
      </w:r>
      <w:r>
        <w:rPr>
          <w:rFonts w:hint="default" w:ascii="Times New Roman" w:hAnsi="Times New Roman" w:cs="Times New Roman"/>
          <w:color w:val="auto"/>
          <w:kern w:val="0"/>
          <w:sz w:val="24"/>
          <w:szCs w:val="24"/>
          <w:highlight w:val="none"/>
          <w:lang w:bidi="ar"/>
        </w:rPr>
        <w:t>、</w:t>
      </w:r>
      <w:r>
        <w:rPr>
          <w:rFonts w:hint="eastAsia"/>
          <w:color w:val="auto"/>
          <w:kern w:val="0"/>
          <w:sz w:val="24"/>
          <w:szCs w:val="24"/>
          <w:highlight w:val="none"/>
          <w:lang w:val="en-US" w:eastAsia="zh-CN"/>
        </w:rPr>
        <w:t>猪毛蒿</w:t>
      </w:r>
      <w:r>
        <w:rPr>
          <w:rFonts w:hint="default" w:ascii="Times New Roman" w:hAnsi="Times New Roman" w:cs="Times New Roman"/>
          <w:color w:val="auto"/>
          <w:kern w:val="0"/>
          <w:sz w:val="24"/>
          <w:szCs w:val="24"/>
          <w:highlight w:val="none"/>
          <w:lang w:bidi="ar"/>
        </w:rPr>
        <w:t>等当地易生长的</w:t>
      </w:r>
      <w:r>
        <w:rPr>
          <w:rFonts w:hint="eastAsia" w:cs="Times New Roman"/>
          <w:color w:val="auto"/>
          <w:kern w:val="0"/>
          <w:sz w:val="24"/>
          <w:szCs w:val="24"/>
          <w:highlight w:val="none"/>
          <w:lang w:val="en-US" w:eastAsia="zh-CN" w:bidi="ar"/>
        </w:rPr>
        <w:t>草原</w:t>
      </w:r>
      <w:r>
        <w:rPr>
          <w:rFonts w:hint="default" w:ascii="Times New Roman" w:hAnsi="Times New Roman" w:cs="Times New Roman"/>
          <w:color w:val="auto"/>
          <w:kern w:val="0"/>
          <w:sz w:val="24"/>
          <w:szCs w:val="24"/>
          <w:highlight w:val="none"/>
          <w:lang w:bidi="ar"/>
        </w:rPr>
        <w:t>植被。</w:t>
      </w:r>
      <w:r>
        <w:rPr>
          <w:rFonts w:hint="default" w:ascii="Times New Roman" w:hAnsi="Times New Roman" w:eastAsia="宋体" w:cs="Times New Roman"/>
          <w:b w:val="0"/>
          <w:i w:val="0"/>
          <w:strike w:val="0"/>
          <w:color w:val="auto"/>
          <w:spacing w:val="0"/>
          <w:sz w:val="24"/>
          <w:szCs w:val="24"/>
          <w:highlight w:val="none"/>
          <w:u w:val="none"/>
        </w:rPr>
        <w:t>此外，项目建设对植物群落内各类植物影响基本一致，不会对评价区内某一种或某几种植被群系造成特殊破坏。</w:t>
      </w:r>
    </w:p>
    <w:p w14:paraId="186374AC">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4.2.2</w:t>
      </w:r>
      <w:r>
        <w:rPr>
          <w:rFonts w:hint="default" w:ascii="Times New Roman" w:hAnsi="Times New Roman" w:eastAsia="宋体" w:cs="Times New Roman"/>
          <w:b/>
          <w:color w:val="auto"/>
          <w:kern w:val="2"/>
          <w:sz w:val="24"/>
          <w:szCs w:val="24"/>
          <w:highlight w:val="none"/>
          <w:lang w:val="en-US" w:eastAsia="zh-CN" w:bidi="ar-SA"/>
        </w:rPr>
        <w:t>对植物多样性的影响</w:t>
      </w:r>
    </w:p>
    <w:p w14:paraId="2F95C26C">
      <w:pPr>
        <w:numPr>
          <w:ilvl w:val="0"/>
          <w:numId w:val="0"/>
        </w:numPr>
        <w:spacing w:line="360" w:lineRule="auto"/>
        <w:ind w:firstLine="480" w:firstLineChars="200"/>
        <w:rPr>
          <w:rFonts w:hint="eastAsia" w:ascii="宋体" w:hAnsi="宋体" w:cs="宋体"/>
          <w:b w:val="0"/>
          <w:i w:val="0"/>
          <w:color w:val="auto"/>
          <w:sz w:val="24"/>
          <w:szCs w:val="24"/>
          <w:lang w:eastAsia="zh-CN"/>
        </w:rPr>
      </w:pPr>
      <w:r>
        <w:rPr>
          <w:rFonts w:ascii="宋体" w:hAnsi="宋体" w:eastAsia="宋体" w:cs="宋体"/>
          <w:b w:val="0"/>
          <w:i w:val="0"/>
          <w:color w:val="auto"/>
          <w:sz w:val="24"/>
          <w:szCs w:val="24"/>
        </w:rPr>
        <w:t>本项目占地类型</w:t>
      </w:r>
      <w:r>
        <w:rPr>
          <w:rFonts w:hint="eastAsia" w:ascii="宋体" w:hAnsi="宋体" w:eastAsia="宋体" w:cs="宋体"/>
          <w:b w:val="0"/>
          <w:i w:val="0"/>
          <w:color w:val="auto"/>
          <w:sz w:val="24"/>
          <w:szCs w:val="24"/>
          <w:lang w:eastAsia="zh-CN"/>
        </w:rPr>
        <w:t>主要</w:t>
      </w:r>
      <w:r>
        <w:rPr>
          <w:rFonts w:ascii="宋体" w:hAnsi="宋体" w:eastAsia="宋体" w:cs="宋体"/>
          <w:b w:val="0"/>
          <w:i w:val="0"/>
          <w:color w:val="auto"/>
          <w:sz w:val="24"/>
          <w:szCs w:val="24"/>
        </w:rPr>
        <w:t>包括耕地、林地</w:t>
      </w:r>
      <w:r>
        <w:rPr>
          <w:rFonts w:hint="eastAsia" w:ascii="宋体" w:hAnsi="宋体" w:eastAsia="宋体" w:cs="宋体"/>
          <w:b w:val="0"/>
          <w:i w:val="0"/>
          <w:color w:val="auto"/>
          <w:sz w:val="24"/>
          <w:szCs w:val="24"/>
          <w:lang w:eastAsia="zh-CN"/>
        </w:rPr>
        <w:t>和</w:t>
      </w:r>
      <w:r>
        <w:rPr>
          <w:rFonts w:ascii="宋体" w:hAnsi="宋体" w:eastAsia="宋体" w:cs="宋体"/>
          <w:b w:val="0"/>
          <w:i w:val="0"/>
          <w:color w:val="auto"/>
          <w:sz w:val="24"/>
          <w:szCs w:val="24"/>
        </w:rPr>
        <w:t>草地。项目施工期间，不可避免地将造成用地范围内</w:t>
      </w:r>
      <w:r>
        <w:rPr>
          <w:rFonts w:hint="eastAsia" w:ascii="宋体" w:hAnsi="宋体" w:cs="宋体"/>
          <w:b w:val="0"/>
          <w:i w:val="0"/>
          <w:color w:val="auto"/>
          <w:sz w:val="24"/>
          <w:szCs w:val="24"/>
          <w:lang w:eastAsia="zh-CN"/>
        </w:rPr>
        <w:t>植物</w:t>
      </w:r>
      <w:r>
        <w:rPr>
          <w:rFonts w:ascii="宋体" w:hAnsi="宋体" w:eastAsia="宋体" w:cs="宋体"/>
          <w:b w:val="0"/>
          <w:i w:val="0"/>
          <w:color w:val="auto"/>
          <w:sz w:val="24"/>
          <w:szCs w:val="24"/>
        </w:rPr>
        <w:t>资源不同程度</w:t>
      </w:r>
      <w:r>
        <w:rPr>
          <w:rFonts w:hint="eastAsia" w:ascii="宋体" w:hAnsi="宋体" w:cs="宋体"/>
          <w:b w:val="0"/>
          <w:i w:val="0"/>
          <w:color w:val="auto"/>
          <w:sz w:val="24"/>
          <w:szCs w:val="24"/>
          <w:lang w:eastAsia="zh-CN"/>
        </w:rPr>
        <w:t>地</w:t>
      </w:r>
      <w:r>
        <w:rPr>
          <w:rFonts w:ascii="宋体" w:hAnsi="宋体" w:eastAsia="宋体" w:cs="宋体"/>
          <w:b w:val="0"/>
          <w:i w:val="0"/>
          <w:color w:val="auto"/>
          <w:sz w:val="24"/>
          <w:szCs w:val="24"/>
        </w:rPr>
        <w:t>损毁</w:t>
      </w:r>
      <w:r>
        <w:rPr>
          <w:rFonts w:hint="eastAsia" w:ascii="宋体" w:hAnsi="宋体" w:eastAsia="宋体" w:cs="宋体"/>
          <w:b w:val="0"/>
          <w:i w:val="0"/>
          <w:color w:val="auto"/>
          <w:sz w:val="24"/>
          <w:szCs w:val="24"/>
          <w:lang w:eastAsia="zh-CN"/>
        </w:rPr>
        <w:t>，造成</w:t>
      </w:r>
      <w:r>
        <w:rPr>
          <w:rFonts w:ascii="宋体" w:hAnsi="宋体" w:eastAsia="宋体" w:cs="宋体"/>
          <w:b w:val="0"/>
          <w:i w:val="0"/>
          <w:color w:val="auto"/>
          <w:sz w:val="24"/>
          <w:szCs w:val="24"/>
        </w:rPr>
        <w:t>植被生物量的减少和损失</w:t>
      </w:r>
      <w:r>
        <w:rPr>
          <w:rFonts w:hint="eastAsia" w:ascii="宋体" w:hAnsi="宋体" w:cs="宋体"/>
          <w:b w:val="0"/>
          <w:i w:val="0"/>
          <w:color w:val="auto"/>
          <w:sz w:val="24"/>
          <w:szCs w:val="24"/>
          <w:lang w:eastAsia="zh-CN"/>
        </w:rPr>
        <w:t>。</w:t>
      </w:r>
      <w:r>
        <w:rPr>
          <w:rFonts w:ascii="宋体" w:hAnsi="宋体" w:eastAsia="宋体" w:cs="宋体"/>
          <w:b w:val="0"/>
          <w:i w:val="0"/>
          <w:color w:val="auto"/>
          <w:sz w:val="24"/>
          <w:szCs w:val="24"/>
        </w:rPr>
        <w:t>但输电线路属于线型工程，点状分布，项目施工占地面积小，且分散，项目涉及的植物均为项目区常见植物，故项目建设造成的植被数量减少，不会引起区域各种植被种类和群落类型发生变化，亦不会影响区域植物的物种多样性</w:t>
      </w:r>
      <w:r>
        <w:rPr>
          <w:rFonts w:hint="eastAsia" w:ascii="宋体" w:hAnsi="宋体" w:cs="宋体"/>
          <w:b w:val="0"/>
          <w:i w:val="0"/>
          <w:color w:val="auto"/>
          <w:sz w:val="24"/>
          <w:szCs w:val="24"/>
          <w:lang w:eastAsia="zh-CN"/>
        </w:rPr>
        <w:t>。</w:t>
      </w:r>
    </w:p>
    <w:p w14:paraId="1650D76C">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4.3</w:t>
      </w:r>
      <w:r>
        <w:rPr>
          <w:rFonts w:hint="default" w:ascii="Times New Roman" w:hAnsi="Times New Roman" w:eastAsia="宋体" w:cs="Times New Roman"/>
          <w:b/>
          <w:color w:val="auto"/>
          <w:kern w:val="2"/>
          <w:sz w:val="24"/>
          <w:szCs w:val="24"/>
          <w:highlight w:val="none"/>
          <w:lang w:val="en-US" w:eastAsia="zh-CN" w:bidi="ar-SA"/>
        </w:rPr>
        <w:t>对野生动物的影响</w:t>
      </w:r>
    </w:p>
    <w:p w14:paraId="041B3AC4">
      <w:pPr>
        <w:keepNext/>
        <w:keepLines/>
        <w:pageBreakBefore w:val="0"/>
        <w:widowControl w:val="0"/>
        <w:kinsoku/>
        <w:wordWrap/>
        <w:overflowPunct/>
        <w:topLinePunct w:val="0"/>
        <w:autoSpaceDE/>
        <w:autoSpaceDN/>
        <w:bidi w:val="0"/>
        <w:adjustRightInd/>
        <w:snapToGrid/>
        <w:spacing w:beforeLines="0" w:beforeAutospacing="0" w:afterLines="0" w:afterAutospacing="0" w:line="360" w:lineRule="auto"/>
        <w:ind w:firstLine="0" w:firstLineChars="0"/>
        <w:jc w:val="left"/>
        <w:textAlignment w:val="auto"/>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4.3.1</w:t>
      </w:r>
      <w:r>
        <w:rPr>
          <w:rFonts w:hint="default" w:ascii="Times New Roman" w:hAnsi="Times New Roman" w:eastAsia="宋体" w:cs="Times New Roman"/>
          <w:b/>
          <w:color w:val="auto"/>
          <w:kern w:val="2"/>
          <w:sz w:val="24"/>
          <w:szCs w:val="24"/>
          <w:highlight w:val="none"/>
          <w:lang w:val="en-US" w:eastAsia="zh-CN" w:bidi="ar-SA"/>
        </w:rPr>
        <w:t>施工期对野生动物的影响</w:t>
      </w:r>
    </w:p>
    <w:p w14:paraId="63C94030">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auto"/>
          <w:spacing w:val="0"/>
          <w:sz w:val="24"/>
          <w:highlight w:val="none"/>
          <w:u w:val="none"/>
        </w:rPr>
      </w:pPr>
      <w:r>
        <w:rPr>
          <w:rFonts w:hint="default" w:ascii="Times New Roman" w:hAnsi="Times New Roman" w:eastAsia="宋体" w:cs="Times New Roman"/>
          <w:b w:val="0"/>
          <w:i w:val="0"/>
          <w:strike w:val="0"/>
          <w:color w:val="auto"/>
          <w:spacing w:val="0"/>
          <w:sz w:val="24"/>
          <w:highlight w:val="none"/>
          <w:u w:val="none"/>
        </w:rPr>
        <w:t>工程基础开挖、立塔架线等施工作业，可能会影响沿线野生动物生境，施工干扰可能会使野生动物受到惊吓，被迫离开施工区周围栖息地或活动区域。但输电线路工程单个塔基占地少，施工时间短，施工点分散，施工强度小，工程建设仅对沿线局部区域（主要为塔基区及牵张场等施工临时用地）植被造成破坏和影响，不会造成野生动物生境和栖息地大面积减少；同时野生动物栖息环境和活动范围较大，食性广泛，且有较强迁移能力，只要工程建设过程中加强施工管理、杜绝人为捕猎，工程建设对线路沿线区域野生动物不会造成明显影响。</w:t>
      </w:r>
    </w:p>
    <w:p w14:paraId="7519C436">
      <w:pPr>
        <w:keepNext/>
        <w:keepLines/>
        <w:widowControl w:val="0"/>
        <w:bidi w:val="0"/>
        <w:spacing w:beforeLines="0" w:beforeAutospacing="0" w:afterLines="0" w:afterAutospacing="0" w:line="360" w:lineRule="auto"/>
        <w:ind w:firstLine="0" w:firstLineChars="0"/>
        <w:jc w:val="left"/>
        <w:outlineLvl w:val="2"/>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4.3.2</w:t>
      </w:r>
      <w:r>
        <w:rPr>
          <w:rFonts w:hint="default" w:ascii="Times New Roman" w:hAnsi="Times New Roman" w:eastAsia="宋体" w:cs="Times New Roman"/>
          <w:b/>
          <w:color w:val="auto"/>
          <w:kern w:val="2"/>
          <w:sz w:val="24"/>
          <w:szCs w:val="24"/>
          <w:highlight w:val="none"/>
          <w:lang w:val="en-US" w:eastAsia="zh-CN" w:bidi="ar-SA"/>
        </w:rPr>
        <w:t>运行期对野生动物的影响</w:t>
      </w:r>
    </w:p>
    <w:p w14:paraId="3EB90EDD">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auto"/>
          <w:spacing w:val="0"/>
          <w:sz w:val="24"/>
          <w:highlight w:val="none"/>
          <w:u w:val="none"/>
        </w:rPr>
      </w:pPr>
      <w:r>
        <w:rPr>
          <w:rFonts w:hint="default" w:ascii="Times New Roman" w:hAnsi="Times New Roman" w:eastAsia="宋体" w:cs="Times New Roman"/>
          <w:b w:val="0"/>
          <w:i w:val="0"/>
          <w:strike w:val="0"/>
          <w:color w:val="auto"/>
          <w:spacing w:val="0"/>
          <w:sz w:val="24"/>
          <w:highlight w:val="none"/>
          <w:u w:val="none"/>
        </w:rPr>
        <w:t>工程建设对陆生动物的影响主要发生在施工期，而在运行期间对陆生动物的整体影响很小。输电线路运行期间的主要环境影响有工频电场、工频磁场、噪声。</w:t>
      </w:r>
    </w:p>
    <w:p w14:paraId="0F8C1687">
      <w:pPr>
        <w:pStyle w:val="12"/>
        <w:keepNext w:val="0"/>
        <w:keepLines w:val="0"/>
        <w:pageBreakBefore w:val="0"/>
        <w:widowControl w:val="0"/>
        <w:kinsoku/>
        <w:wordWrap/>
        <w:overflowPunct/>
        <w:topLinePunct w:val="0"/>
        <w:autoSpaceDE/>
        <w:autoSpaceDN/>
        <w:bidi w:val="0"/>
        <w:adjustRightInd/>
        <w:snapToGrid/>
        <w:spacing w:after="0" w:line="360" w:lineRule="auto"/>
        <w:ind w:right="0" w:firstLine="480" w:firstLineChars="200"/>
        <w:jc w:val="left"/>
        <w:textAlignment w:val="auto"/>
        <w:rPr>
          <w:rFonts w:hint="default" w:ascii="Times New Roman" w:hAnsi="Times New Roman" w:eastAsia="宋体" w:cs="Times New Roman"/>
          <w:b w:val="0"/>
          <w:i w:val="0"/>
          <w:strike w:val="0"/>
          <w:color w:val="auto"/>
          <w:spacing w:val="0"/>
          <w:sz w:val="24"/>
          <w:highlight w:val="none"/>
          <w:u w:val="none"/>
        </w:rPr>
      </w:pPr>
      <w:r>
        <w:rPr>
          <w:rFonts w:hint="default" w:ascii="Times New Roman" w:hAnsi="Times New Roman" w:eastAsia="宋体" w:cs="Times New Roman"/>
          <w:b w:val="0"/>
          <w:i w:val="0"/>
          <w:strike w:val="0"/>
          <w:color w:val="auto"/>
          <w:spacing w:val="0"/>
          <w:sz w:val="24"/>
          <w:highlight w:val="none"/>
          <w:u w:val="none"/>
        </w:rPr>
        <w:t>输电线路运行期人为活动影响减弱，污染减少，工程占地区的部分区域自然环境逐步得到恢复，在建设期迁移减少的动物将逐渐回到现状区域附近，评价区域均为常见动物，受到的影响很小。</w:t>
      </w:r>
    </w:p>
    <w:p w14:paraId="529119C2">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4.4</w:t>
      </w:r>
      <w:r>
        <w:rPr>
          <w:rFonts w:hint="default" w:ascii="Times New Roman" w:hAnsi="Times New Roman" w:eastAsia="宋体" w:cs="Times New Roman"/>
          <w:b/>
          <w:color w:val="auto"/>
          <w:kern w:val="2"/>
          <w:sz w:val="24"/>
          <w:szCs w:val="24"/>
          <w:highlight w:val="none"/>
          <w:lang w:val="en-US" w:eastAsia="zh-CN" w:bidi="ar-SA"/>
        </w:rPr>
        <w:t>对</w:t>
      </w:r>
      <w:r>
        <w:rPr>
          <w:rFonts w:hint="eastAsia" w:ascii="Times New Roman" w:hAnsi="Times New Roman" w:eastAsia="宋体" w:cs="Times New Roman"/>
          <w:b/>
          <w:color w:val="auto"/>
          <w:kern w:val="2"/>
          <w:sz w:val="24"/>
          <w:szCs w:val="24"/>
          <w:highlight w:val="none"/>
          <w:lang w:val="en-US" w:eastAsia="zh-CN" w:bidi="ar-SA"/>
        </w:rPr>
        <w:t>生态保护红线</w:t>
      </w:r>
      <w:r>
        <w:rPr>
          <w:rFonts w:hint="default" w:ascii="Times New Roman" w:hAnsi="Times New Roman" w:eastAsia="宋体" w:cs="Times New Roman"/>
          <w:b/>
          <w:color w:val="auto"/>
          <w:kern w:val="2"/>
          <w:sz w:val="24"/>
          <w:szCs w:val="24"/>
          <w:highlight w:val="none"/>
          <w:lang w:val="en-US" w:eastAsia="zh-CN" w:bidi="ar-SA"/>
        </w:rPr>
        <w:t>的影响</w:t>
      </w:r>
    </w:p>
    <w:p w14:paraId="39CE3501">
      <w:pPr>
        <w:adjustRightInd w:val="0"/>
        <w:snapToGrid w:val="0"/>
        <w:spacing w:line="348" w:lineRule="auto"/>
        <w:ind w:firstLine="482"/>
        <w:rPr>
          <w:rFonts w:hint="default" w:ascii="Times New Roman" w:hAnsi="Times New Roman" w:cs="Times New Roman"/>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b w:val="0"/>
          <w:bCs w:val="0"/>
          <w:color w:val="auto"/>
          <w:spacing w:val="0"/>
          <w:kern w:val="2"/>
          <w:sz w:val="24"/>
          <w:szCs w:val="24"/>
          <w:highlight w:val="none"/>
          <w:lang w:val="zh-CN" w:eastAsia="zh-CN" w:bidi="ar-SA"/>
        </w:rPr>
        <w:t>本项目输电线路虽然跨越生态保护红线，长度约</w:t>
      </w:r>
      <w:r>
        <w:rPr>
          <w:rFonts w:hint="eastAsia" w:ascii="Times New Roman" w:hAnsi="Times New Roman" w:eastAsia="宋体" w:cs="Times New Roman"/>
          <w:b w:val="0"/>
          <w:bCs w:val="0"/>
          <w:color w:val="auto"/>
          <w:spacing w:val="0"/>
          <w:kern w:val="2"/>
          <w:sz w:val="24"/>
          <w:szCs w:val="24"/>
          <w:highlight w:val="none"/>
          <w:lang w:val="en-US" w:eastAsia="zh-CN" w:bidi="ar-SA"/>
        </w:rPr>
        <w:t>13m</w:t>
      </w:r>
      <w:r>
        <w:rPr>
          <w:rFonts w:hint="eastAsia" w:ascii="Times New Roman" w:hAnsi="Times New Roman" w:eastAsia="宋体" w:cs="Times New Roman"/>
          <w:b w:val="0"/>
          <w:bCs w:val="0"/>
          <w:color w:val="auto"/>
          <w:spacing w:val="0"/>
          <w:kern w:val="2"/>
          <w:sz w:val="24"/>
          <w:szCs w:val="24"/>
          <w:highlight w:val="none"/>
          <w:lang w:val="zh-CN" w:eastAsia="zh-CN" w:bidi="ar-SA"/>
        </w:rPr>
        <w:t>，但在生态保护红线内不占地。项目涉及跨越的</w:t>
      </w:r>
      <w:r>
        <w:rPr>
          <w:rFonts w:hint="default" w:ascii="Times New Roman" w:hAnsi="Times New Roman" w:eastAsia="宋体" w:cs="Times New Roman"/>
          <w:b w:val="0"/>
          <w:bCs w:val="0"/>
          <w:color w:val="auto"/>
          <w:spacing w:val="0"/>
          <w:kern w:val="2"/>
          <w:sz w:val="24"/>
          <w:szCs w:val="24"/>
          <w:highlight w:val="none"/>
          <w:lang w:val="zh-CN" w:eastAsia="zh-CN" w:bidi="ar-SA"/>
        </w:rPr>
        <w:t>生态</w:t>
      </w:r>
      <w:r>
        <w:rPr>
          <w:rFonts w:hint="eastAsia" w:ascii="Times New Roman" w:hAnsi="Times New Roman" w:eastAsia="宋体" w:cs="Times New Roman"/>
          <w:b w:val="0"/>
          <w:bCs w:val="0"/>
          <w:color w:val="auto"/>
          <w:spacing w:val="0"/>
          <w:kern w:val="2"/>
          <w:sz w:val="24"/>
          <w:szCs w:val="24"/>
          <w:highlight w:val="none"/>
          <w:lang w:val="en-US" w:eastAsia="zh-CN" w:bidi="ar-SA"/>
        </w:rPr>
        <w:t>保护</w:t>
      </w:r>
      <w:r>
        <w:rPr>
          <w:rFonts w:hint="default" w:ascii="Times New Roman" w:hAnsi="Times New Roman" w:eastAsia="宋体" w:cs="Times New Roman"/>
          <w:b w:val="0"/>
          <w:bCs w:val="0"/>
          <w:color w:val="auto"/>
          <w:spacing w:val="0"/>
          <w:kern w:val="2"/>
          <w:sz w:val="24"/>
          <w:szCs w:val="24"/>
          <w:highlight w:val="none"/>
          <w:lang w:val="zh-CN" w:eastAsia="zh-CN" w:bidi="ar-SA"/>
        </w:rPr>
        <w:t>红线为******，</w:t>
      </w:r>
      <w:r>
        <w:rPr>
          <w:rFonts w:hint="eastAsia" w:ascii="Times New Roman" w:hAnsi="Times New Roman" w:eastAsia="宋体" w:cs="Times New Roman"/>
          <w:b w:val="0"/>
          <w:bCs w:val="0"/>
          <w:color w:val="auto"/>
          <w:spacing w:val="0"/>
          <w:kern w:val="2"/>
          <w:sz w:val="24"/>
          <w:szCs w:val="24"/>
          <w:highlight w:val="none"/>
          <w:lang w:val="en-US" w:eastAsia="zh-CN" w:bidi="ar-SA"/>
        </w:rPr>
        <w:t>生态保护</w:t>
      </w:r>
      <w:r>
        <w:rPr>
          <w:rFonts w:hint="default" w:ascii="Times New Roman" w:hAnsi="Times New Roman" w:eastAsia="宋体" w:cs="Times New Roman"/>
          <w:b w:val="0"/>
          <w:bCs w:val="0"/>
          <w:color w:val="auto"/>
          <w:spacing w:val="0"/>
          <w:kern w:val="2"/>
          <w:sz w:val="24"/>
          <w:szCs w:val="24"/>
          <w:highlight w:val="none"/>
          <w:lang w:val="zh-CN" w:eastAsia="zh-CN" w:bidi="ar-SA"/>
        </w:rPr>
        <w:t>红线内植被类型以</w:t>
      </w:r>
      <w:r>
        <w:rPr>
          <w:rFonts w:hint="eastAsia" w:ascii="Times New Roman" w:hAnsi="Times New Roman" w:eastAsia="宋体" w:cs="Times New Roman"/>
          <w:b w:val="0"/>
          <w:bCs w:val="0"/>
          <w:color w:val="auto"/>
          <w:spacing w:val="0"/>
          <w:kern w:val="2"/>
          <w:sz w:val="24"/>
          <w:szCs w:val="24"/>
          <w:highlight w:val="none"/>
          <w:lang w:val="zh-CN" w:eastAsia="zh-CN" w:bidi="ar-SA"/>
        </w:rPr>
        <w:t>人工林及</w:t>
      </w:r>
      <w:r>
        <w:rPr>
          <w:rFonts w:hint="eastAsia" w:ascii="Times New Roman" w:hAnsi="Times New Roman" w:eastAsia="宋体" w:cs="Times New Roman"/>
          <w:b w:val="0"/>
          <w:bCs w:val="0"/>
          <w:color w:val="auto"/>
          <w:spacing w:val="0"/>
          <w:kern w:val="2"/>
          <w:sz w:val="24"/>
          <w:szCs w:val="24"/>
          <w:highlight w:val="none"/>
          <w:lang w:val="en-US" w:eastAsia="zh-CN" w:bidi="ar-SA"/>
        </w:rPr>
        <w:t>灌丛</w:t>
      </w:r>
      <w:r>
        <w:rPr>
          <w:rFonts w:hint="default" w:ascii="Times New Roman" w:hAnsi="Times New Roman" w:eastAsia="宋体" w:cs="Times New Roman"/>
          <w:b w:val="0"/>
          <w:bCs w:val="0"/>
          <w:color w:val="auto"/>
          <w:spacing w:val="0"/>
          <w:kern w:val="2"/>
          <w:sz w:val="24"/>
          <w:szCs w:val="24"/>
          <w:highlight w:val="none"/>
          <w:lang w:val="zh-CN" w:eastAsia="zh-CN" w:bidi="ar-SA"/>
        </w:rPr>
        <w:t>为主，</w:t>
      </w:r>
      <w:r>
        <w:rPr>
          <w:rFonts w:hint="eastAsia" w:ascii="Times New Roman" w:hAnsi="Times New Roman" w:eastAsia="宋体" w:cs="Times New Roman"/>
          <w:b w:val="0"/>
          <w:bCs w:val="0"/>
          <w:color w:val="auto"/>
          <w:spacing w:val="0"/>
          <w:kern w:val="2"/>
          <w:sz w:val="24"/>
          <w:szCs w:val="24"/>
          <w:highlight w:val="none"/>
          <w:lang w:val="en-US" w:eastAsia="zh-CN" w:bidi="ar-SA"/>
        </w:rPr>
        <w:t>乔木</w:t>
      </w:r>
      <w:r>
        <w:rPr>
          <w:rFonts w:hint="default" w:ascii="Times New Roman" w:hAnsi="Times New Roman" w:eastAsia="宋体" w:cs="Times New Roman"/>
          <w:b w:val="0"/>
          <w:bCs w:val="0"/>
          <w:color w:val="auto"/>
          <w:spacing w:val="0"/>
          <w:kern w:val="2"/>
          <w:sz w:val="24"/>
          <w:szCs w:val="24"/>
          <w:highlight w:val="none"/>
          <w:lang w:val="zh-CN" w:eastAsia="zh-CN" w:bidi="ar-SA"/>
        </w:rPr>
        <w:t>植被主要以</w:t>
      </w:r>
      <w:r>
        <w:rPr>
          <w:rFonts w:hint="eastAsia" w:ascii="Times New Roman" w:hAnsi="Times New Roman" w:eastAsia="宋体" w:cs="Times New Roman"/>
          <w:b w:val="0"/>
          <w:bCs w:val="0"/>
          <w:color w:val="auto"/>
          <w:spacing w:val="0"/>
          <w:kern w:val="2"/>
          <w:sz w:val="24"/>
          <w:szCs w:val="24"/>
          <w:highlight w:val="none"/>
          <w:lang w:val="zh-CN" w:eastAsia="zh-CN" w:bidi="ar-SA"/>
        </w:rPr>
        <w:t>云杉</w:t>
      </w:r>
      <w:r>
        <w:rPr>
          <w:rFonts w:hint="default" w:ascii="Times New Roman" w:hAnsi="Times New Roman" w:eastAsia="宋体" w:cs="Times New Roman"/>
          <w:b w:val="0"/>
          <w:bCs w:val="0"/>
          <w:color w:val="auto"/>
          <w:spacing w:val="0"/>
          <w:kern w:val="2"/>
          <w:sz w:val="24"/>
          <w:szCs w:val="24"/>
          <w:highlight w:val="none"/>
          <w:lang w:val="zh-CN" w:eastAsia="zh-CN" w:bidi="ar-SA"/>
        </w:rPr>
        <w:t>、</w:t>
      </w:r>
      <w:r>
        <w:rPr>
          <w:rFonts w:hint="eastAsia" w:ascii="Times New Roman" w:hAnsi="Times New Roman" w:eastAsia="宋体" w:cs="Times New Roman"/>
          <w:b w:val="0"/>
          <w:bCs w:val="0"/>
          <w:color w:val="auto"/>
          <w:spacing w:val="0"/>
          <w:kern w:val="2"/>
          <w:sz w:val="24"/>
          <w:szCs w:val="24"/>
          <w:highlight w:val="none"/>
          <w:lang w:val="en-US" w:eastAsia="zh-CN" w:bidi="ar-SA"/>
        </w:rPr>
        <w:t>山桃、山杏为主，灌丛以柠条锦鸡儿、沙棘</w:t>
      </w:r>
      <w:r>
        <w:rPr>
          <w:rFonts w:hint="default" w:ascii="Times New Roman" w:hAnsi="Times New Roman" w:eastAsia="宋体" w:cs="Times New Roman"/>
          <w:b w:val="0"/>
          <w:bCs w:val="0"/>
          <w:color w:val="auto"/>
          <w:spacing w:val="0"/>
          <w:kern w:val="2"/>
          <w:sz w:val="24"/>
          <w:szCs w:val="24"/>
          <w:highlight w:val="none"/>
          <w:lang w:val="zh-CN" w:eastAsia="zh-CN" w:bidi="ar-SA"/>
        </w:rPr>
        <w:t>为主</w:t>
      </w:r>
      <w:r>
        <w:rPr>
          <w:rFonts w:hint="eastAsia" w:ascii="Times New Roman" w:hAnsi="Times New Roman" w:eastAsia="宋体" w:cs="Times New Roman"/>
          <w:b w:val="0"/>
          <w:bCs w:val="0"/>
          <w:color w:val="auto"/>
          <w:spacing w:val="0"/>
          <w:kern w:val="2"/>
          <w:sz w:val="24"/>
          <w:szCs w:val="24"/>
          <w:highlight w:val="none"/>
          <w:lang w:val="zh-CN" w:eastAsia="zh-CN" w:bidi="ar-SA"/>
        </w:rPr>
        <w:t>，由于项目在生态保护红线内不占地，因此对</w:t>
      </w:r>
      <w:r>
        <w:rPr>
          <w:rFonts w:hint="default" w:ascii="Times New Roman" w:hAnsi="Times New Roman" w:eastAsia="宋体" w:cs="Times New Roman"/>
          <w:color w:val="000000"/>
          <w:sz w:val="24"/>
          <w:szCs w:val="24"/>
          <w:highlight w:val="none"/>
          <w:lang w:val="en-US" w:eastAsia="zh-CN"/>
        </w:rPr>
        <w:t>对生态保护红线</w:t>
      </w:r>
      <w:r>
        <w:rPr>
          <w:rFonts w:hint="eastAsia" w:ascii="Times New Roman" w:hAnsi="Times New Roman" w:eastAsia="宋体" w:cs="Times New Roman"/>
          <w:color w:val="000000"/>
          <w:sz w:val="24"/>
          <w:szCs w:val="24"/>
          <w:highlight w:val="none"/>
          <w:lang w:val="en-US" w:eastAsia="zh-CN"/>
        </w:rPr>
        <w:t>的</w:t>
      </w:r>
      <w:r>
        <w:rPr>
          <w:rFonts w:hint="default" w:ascii="Times New Roman" w:hAnsi="Times New Roman" w:eastAsia="宋体" w:cs="Times New Roman"/>
          <w:color w:val="000000"/>
          <w:sz w:val="24"/>
          <w:szCs w:val="24"/>
          <w:highlight w:val="none"/>
          <w:lang w:val="en-US" w:eastAsia="zh-CN"/>
        </w:rPr>
        <w:t>植物</w:t>
      </w:r>
      <w:r>
        <w:rPr>
          <w:rFonts w:hint="eastAsia" w:ascii="Times New Roman" w:hAnsi="Times New Roman" w:eastAsia="宋体" w:cs="Times New Roman"/>
          <w:color w:val="000000"/>
          <w:sz w:val="24"/>
          <w:szCs w:val="24"/>
          <w:highlight w:val="none"/>
          <w:lang w:val="en-US" w:eastAsia="zh-CN"/>
        </w:rPr>
        <w:t>基本不会产生影响；施工过程中可能会对周边栖息的动物产生一定的惊扰，暂时远离施工区域，</w:t>
      </w:r>
      <w:r>
        <w:rPr>
          <w:rFonts w:hint="default" w:ascii="Times New Roman" w:hAnsi="Times New Roman" w:cs="Times New Roman"/>
          <w:color w:val="auto"/>
          <w:sz w:val="24"/>
          <w:szCs w:val="24"/>
          <w:highlight w:val="none"/>
        </w:rPr>
        <w:t>附近区域找到替代生境</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cs="Times New Roman"/>
          <w:color w:val="auto"/>
          <w:sz w:val="24"/>
          <w:szCs w:val="24"/>
          <w:highlight w:val="none"/>
        </w:rPr>
        <w:t>施工结束后，影响</w:t>
      </w:r>
      <w:r>
        <w:rPr>
          <w:rFonts w:hint="eastAsia" w:ascii="Times New Roman" w:hAnsi="Times New Roman" w:cs="Times New Roman"/>
          <w:color w:val="auto"/>
          <w:sz w:val="24"/>
          <w:szCs w:val="24"/>
          <w:highlight w:val="none"/>
          <w:lang w:eastAsia="zh-CN"/>
        </w:rPr>
        <w:t>动物</w:t>
      </w:r>
      <w:r>
        <w:rPr>
          <w:rFonts w:hint="default" w:ascii="Times New Roman" w:hAnsi="Times New Roman" w:cs="Times New Roman"/>
          <w:color w:val="auto"/>
          <w:sz w:val="24"/>
          <w:szCs w:val="24"/>
          <w:highlight w:val="none"/>
        </w:rPr>
        <w:t>生存的人为活动因素消失，在施工区</w:t>
      </w:r>
      <w:r>
        <w:rPr>
          <w:rFonts w:hint="eastAsia" w:ascii="Times New Roman" w:hAnsi="Times New Roman" w:cs="Times New Roman"/>
          <w:color w:val="auto"/>
          <w:sz w:val="24"/>
          <w:szCs w:val="24"/>
          <w:highlight w:val="none"/>
          <w:lang w:eastAsia="zh-CN"/>
        </w:rPr>
        <w:t>周围</w:t>
      </w:r>
      <w:r>
        <w:rPr>
          <w:rFonts w:hint="default" w:ascii="Times New Roman" w:hAnsi="Times New Roman" w:cs="Times New Roman"/>
          <w:color w:val="auto"/>
          <w:sz w:val="24"/>
          <w:szCs w:val="24"/>
          <w:highlight w:val="none"/>
        </w:rPr>
        <w:t>活动的</w:t>
      </w:r>
      <w:r>
        <w:rPr>
          <w:rFonts w:hint="eastAsia" w:ascii="Times New Roman" w:hAnsi="Times New Roman" w:cs="Times New Roman"/>
          <w:color w:val="auto"/>
          <w:sz w:val="24"/>
          <w:szCs w:val="24"/>
          <w:highlight w:val="none"/>
          <w:lang w:eastAsia="zh-CN"/>
        </w:rPr>
        <w:t>动物</w:t>
      </w:r>
      <w:r>
        <w:rPr>
          <w:rFonts w:hint="default" w:ascii="Times New Roman" w:hAnsi="Times New Roman" w:cs="Times New Roman"/>
          <w:color w:val="auto"/>
          <w:sz w:val="24"/>
          <w:szCs w:val="24"/>
          <w:highlight w:val="none"/>
        </w:rPr>
        <w:t>会重新分布，线路巡检人员，沿固定巡检道路行驶定期对沿线生态保护和防护措施进行检查，跟踪生态保护与恢复效果</w:t>
      </w:r>
      <w:r>
        <w:rPr>
          <w:rFonts w:hint="eastAsia" w:cs="Times New Roman"/>
          <w:color w:val="auto"/>
          <w:sz w:val="24"/>
          <w:szCs w:val="24"/>
          <w:highlight w:val="none"/>
          <w:lang w:eastAsia="zh-CN"/>
        </w:rPr>
        <w:t>，对</w:t>
      </w:r>
      <w:r>
        <w:rPr>
          <w:rFonts w:hint="default" w:ascii="Times New Roman" w:hAnsi="Times New Roman" w:eastAsia="宋体" w:cs="Times New Roman"/>
          <w:b w:val="0"/>
          <w:bCs w:val="0"/>
          <w:color w:val="auto"/>
          <w:spacing w:val="0"/>
          <w:kern w:val="2"/>
          <w:sz w:val="24"/>
          <w:szCs w:val="24"/>
          <w:highlight w:val="none"/>
          <w:lang w:val="zh-CN" w:eastAsia="zh-CN" w:bidi="ar-SA"/>
        </w:rPr>
        <w:t>生态保护红线内</w:t>
      </w:r>
      <w:r>
        <w:rPr>
          <w:rFonts w:hint="eastAsia" w:ascii="Times New Roman" w:hAnsi="Times New Roman" w:eastAsia="宋体" w:cs="Times New Roman"/>
          <w:b w:val="0"/>
          <w:bCs w:val="0"/>
          <w:color w:val="auto"/>
          <w:spacing w:val="0"/>
          <w:kern w:val="2"/>
          <w:sz w:val="24"/>
          <w:szCs w:val="24"/>
          <w:highlight w:val="none"/>
          <w:lang w:val="zh-CN" w:eastAsia="zh-CN" w:bidi="ar-SA"/>
        </w:rPr>
        <w:t>动植物</w:t>
      </w:r>
      <w:r>
        <w:rPr>
          <w:rFonts w:hint="default" w:ascii="Times New Roman" w:hAnsi="Times New Roman" w:eastAsia="宋体" w:cs="Times New Roman"/>
          <w:b w:val="0"/>
          <w:bCs w:val="0"/>
          <w:color w:val="auto"/>
          <w:spacing w:val="0"/>
          <w:kern w:val="2"/>
          <w:sz w:val="24"/>
          <w:szCs w:val="24"/>
          <w:highlight w:val="none"/>
          <w:lang w:val="zh-CN" w:eastAsia="zh-CN" w:bidi="ar-SA"/>
        </w:rPr>
        <w:t>资源的影响</w:t>
      </w:r>
      <w:r>
        <w:rPr>
          <w:rFonts w:hint="eastAsia" w:ascii="Times New Roman" w:hAnsi="Times New Roman" w:eastAsia="宋体" w:cs="Times New Roman"/>
          <w:b w:val="0"/>
          <w:bCs w:val="0"/>
          <w:color w:val="auto"/>
          <w:spacing w:val="0"/>
          <w:kern w:val="2"/>
          <w:sz w:val="24"/>
          <w:szCs w:val="24"/>
          <w:highlight w:val="none"/>
          <w:lang w:val="zh-CN" w:eastAsia="zh-CN" w:bidi="ar-SA"/>
        </w:rPr>
        <w:t>很小</w:t>
      </w:r>
      <w:r>
        <w:rPr>
          <w:rFonts w:hint="default" w:ascii="Times New Roman" w:hAnsi="Times New Roman" w:cs="Times New Roman"/>
          <w:color w:val="auto"/>
          <w:sz w:val="24"/>
          <w:szCs w:val="24"/>
          <w:highlight w:val="none"/>
        </w:rPr>
        <w:t>。</w:t>
      </w:r>
    </w:p>
    <w:p w14:paraId="26470335">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95" w:name="_Toc23274"/>
      <w:r>
        <w:rPr>
          <w:rFonts w:hint="eastAsia" w:ascii="Times New Roman" w:hAnsi="Times New Roman" w:eastAsia="宋体" w:cs="Times New Roman"/>
          <w:b/>
          <w:color w:val="auto"/>
          <w:kern w:val="44"/>
          <w:sz w:val="24"/>
          <w:szCs w:val="24"/>
          <w:highlight w:val="none"/>
          <w:lang w:val="en-US" w:eastAsia="zh-CN" w:bidi="ar-SA"/>
        </w:rPr>
        <w:t>5</w:t>
      </w:r>
      <w:r>
        <w:rPr>
          <w:rFonts w:hint="default" w:ascii="Times New Roman" w:hAnsi="Times New Roman" w:eastAsia="宋体" w:cs="Times New Roman"/>
          <w:b/>
          <w:color w:val="auto"/>
          <w:kern w:val="44"/>
          <w:sz w:val="24"/>
          <w:szCs w:val="24"/>
          <w:highlight w:val="none"/>
          <w:lang w:val="en-US" w:eastAsia="zh-CN" w:bidi="ar-SA"/>
        </w:rPr>
        <w:t xml:space="preserve"> 生态保护措施</w:t>
      </w:r>
      <w:bookmarkEnd w:id="95"/>
    </w:p>
    <w:p w14:paraId="1CE0F3E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工程的实施将对工程建设区域生态产生一定影响，应采取积极的避让、减缓措施。按照生态恢复原则，应遵循“避让、减缓、修复、补偿”的顺序，能避让的尽量避让，不能避让则采取措施减缓，减缓不能生效的，制定修复和补偿方案。</w:t>
      </w:r>
    </w:p>
    <w:p w14:paraId="54F02947">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w:t>
      </w:r>
      <w:r>
        <w:rPr>
          <w:rFonts w:hint="default" w:ascii="Times New Roman" w:hAnsi="Times New Roman" w:eastAsia="宋体" w:cs="Times New Roman"/>
          <w:b/>
          <w:color w:val="auto"/>
          <w:kern w:val="2"/>
          <w:sz w:val="24"/>
          <w:szCs w:val="24"/>
          <w:highlight w:val="none"/>
          <w:lang w:val="en-US" w:eastAsia="zh-CN" w:bidi="ar-SA"/>
        </w:rPr>
        <w:t>1 设计阶段生态保护措施</w:t>
      </w:r>
    </w:p>
    <w:p w14:paraId="0A9DF0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①在设计过程中应按照避让、减缓、恢复</w:t>
      </w:r>
      <w:r>
        <w:rPr>
          <w:rFonts w:hint="default" w:ascii="Times New Roman" w:hAnsi="Times New Roman" w:cs="Times New Roman"/>
          <w:color w:val="000000"/>
          <w:kern w:val="0"/>
          <w:sz w:val="24"/>
          <w:szCs w:val="24"/>
          <w:highlight w:val="none"/>
          <w:lang w:val="en-US" w:eastAsia="zh-CN" w:bidi="ar"/>
        </w:rPr>
        <w:t>、补偿</w:t>
      </w:r>
      <w:r>
        <w:rPr>
          <w:rFonts w:hint="default" w:ascii="Times New Roman" w:hAnsi="Times New Roman" w:eastAsia="宋体" w:cs="Times New Roman"/>
          <w:color w:val="000000"/>
          <w:kern w:val="0"/>
          <w:sz w:val="24"/>
          <w:szCs w:val="24"/>
          <w:highlight w:val="none"/>
          <w:lang w:val="en-US" w:eastAsia="zh-CN" w:bidi="ar"/>
        </w:rPr>
        <w:t xml:space="preserve">的次序提出生态影响防护与恢复的措施。 </w:t>
      </w:r>
    </w:p>
    <w:p w14:paraId="2ED9FD4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 xml:space="preserve">②输电线路应因地制宜合理选择塔基基础，在山区应采用全方位长短腿与不等高基础设计，以减少土石方开挖。输电线路无法避让集中林区时，应采取控制导线高度设计，以减少林木砍伐，保护生态环境。 </w:t>
      </w:r>
    </w:p>
    <w:p w14:paraId="21D472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 xml:space="preserve">③线路工程施工建设临时占地，应因地制宜进行土地功能恢复设计。 </w:t>
      </w:r>
    </w:p>
    <w:p w14:paraId="78FEA6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 xml:space="preserve">④塔位有坡度时考虑修筑护坡、排水沟，减少对生态环境的影响。 </w:t>
      </w:r>
    </w:p>
    <w:p w14:paraId="5D6C21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⑤对塔基进行绿化优化设计，对边坡、塔基周边范围等进行全面绿化。设计应选择适宜的当地物种进行植被恢复。</w:t>
      </w:r>
    </w:p>
    <w:p w14:paraId="627B40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 xml:space="preserve">⑥ 施工方案应对施工场地进行合理设计，并充分利用周边已有道路作为项目的施工道路，特别是在生态敏感区范围内，减少施工期临时道路的占用。 </w:t>
      </w:r>
    </w:p>
    <w:p w14:paraId="2584F1EE">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highlight w:val="none"/>
        </w:rPr>
      </w:pPr>
      <w:r>
        <w:rPr>
          <w:rFonts w:hint="default" w:ascii="Times New Roman" w:hAnsi="Times New Roman" w:eastAsia="宋体" w:cs="Times New Roman"/>
          <w:color w:val="000000"/>
          <w:kern w:val="0"/>
          <w:sz w:val="24"/>
          <w:szCs w:val="24"/>
          <w:highlight w:val="none"/>
          <w:lang w:val="en-US" w:eastAsia="zh-CN" w:bidi="ar"/>
        </w:rPr>
        <w:t>⑦</w:t>
      </w:r>
      <w:r>
        <w:rPr>
          <w:rFonts w:hint="default" w:ascii="Times New Roman" w:hAnsi="Times New Roman" w:cs="Times New Roman"/>
          <w:color w:val="000000"/>
          <w:highlight w:val="none"/>
          <w:lang w:val="en-US" w:eastAsia="zh-CN"/>
        </w:rPr>
        <w:t>山区坡度较大的区域，采用施工索道运输材料，减少因修施工道路引起的生态破坏。</w:t>
      </w:r>
    </w:p>
    <w:p w14:paraId="04BD7A5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fldChar w:fldCharType="begin"/>
      </w:r>
      <w:r>
        <w:rPr>
          <w:rFonts w:hint="default" w:ascii="Times New Roman" w:hAnsi="Times New Roman" w:eastAsia="宋体" w:cs="Times New Roman"/>
          <w:color w:val="000000"/>
          <w:kern w:val="0"/>
          <w:sz w:val="24"/>
          <w:szCs w:val="24"/>
          <w:highlight w:val="none"/>
          <w:lang w:val="en-US" w:eastAsia="zh-CN" w:bidi="ar"/>
        </w:rPr>
        <w:instrText xml:space="preserve"> = 8 \* GB3 \* MERGEFORMAT </w:instrText>
      </w:r>
      <w:r>
        <w:rPr>
          <w:rFonts w:hint="default" w:ascii="Times New Roman" w:hAnsi="Times New Roman" w:eastAsia="宋体" w:cs="Times New Roman"/>
          <w:color w:val="000000"/>
          <w:kern w:val="0"/>
          <w:sz w:val="24"/>
          <w:szCs w:val="24"/>
          <w:highlight w:val="none"/>
          <w:lang w:val="en-US" w:eastAsia="zh-CN" w:bidi="ar"/>
        </w:rPr>
        <w:fldChar w:fldCharType="separate"/>
      </w:r>
      <w:r>
        <w:rPr>
          <w:rFonts w:hint="default" w:ascii="Times New Roman" w:hAnsi="Times New Roman" w:cs="Times New Roman"/>
          <w:color w:val="000000"/>
          <w:highlight w:val="none"/>
        </w:rPr>
        <w:t>⑧</w:t>
      </w:r>
      <w:r>
        <w:rPr>
          <w:rFonts w:hint="default" w:ascii="Times New Roman" w:hAnsi="Times New Roman" w:eastAsia="宋体" w:cs="Times New Roman"/>
          <w:color w:val="000000"/>
          <w:kern w:val="0"/>
          <w:sz w:val="24"/>
          <w:szCs w:val="24"/>
          <w:highlight w:val="none"/>
          <w:lang w:val="en-US" w:eastAsia="zh-CN" w:bidi="ar"/>
        </w:rPr>
        <w:fldChar w:fldCharType="end"/>
      </w:r>
      <w:r>
        <w:rPr>
          <w:rFonts w:hint="default" w:ascii="Times New Roman" w:hAnsi="Times New Roman" w:cs="Times New Roman"/>
          <w:color w:val="000000"/>
          <w:highlight w:val="none"/>
          <w:lang w:val="en-US" w:eastAsia="zh-CN"/>
        </w:rPr>
        <w:t>优化线路塔基施工、临时道路等临时占地布局及面积，减少在该生态红线布设杆塔的数量</w:t>
      </w:r>
      <w:r>
        <w:rPr>
          <w:rFonts w:hint="default" w:ascii="Times New Roman" w:hAnsi="Times New Roman" w:eastAsia="宋体" w:cs="Times New Roman"/>
          <w:color w:val="000000"/>
          <w:kern w:val="0"/>
          <w:sz w:val="24"/>
          <w:szCs w:val="24"/>
          <w:highlight w:val="none"/>
          <w:lang w:val="en-US" w:eastAsia="zh-CN" w:bidi="ar"/>
        </w:rPr>
        <w:t>，除必要的施工设施外，</w:t>
      </w:r>
      <w:r>
        <w:rPr>
          <w:rFonts w:hint="default" w:ascii="Times New Roman" w:hAnsi="Times New Roman" w:eastAsia="宋体" w:cs="Times New Roman"/>
          <w:color w:val="000000"/>
          <w:kern w:val="0"/>
          <w:sz w:val="24"/>
          <w:szCs w:val="24"/>
          <w:highlight w:val="none"/>
          <w:lang w:val="en-US" w:eastAsia="zh-CN"/>
        </w:rPr>
        <w:t>禁止其他临时设施的搭建。</w:t>
      </w:r>
    </w:p>
    <w:p w14:paraId="0D30E2BC">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w:t>
      </w:r>
      <w:r>
        <w:rPr>
          <w:rFonts w:hint="default" w:ascii="Times New Roman" w:hAnsi="Times New Roman" w:eastAsia="宋体" w:cs="Times New Roman"/>
          <w:b/>
          <w:color w:val="auto"/>
          <w:kern w:val="2"/>
          <w:sz w:val="24"/>
          <w:szCs w:val="24"/>
          <w:highlight w:val="none"/>
          <w:lang w:val="en-US" w:eastAsia="zh-CN" w:bidi="ar-SA"/>
        </w:rPr>
        <w:t>.2 施工期生态保护措施</w:t>
      </w:r>
    </w:p>
    <w:p w14:paraId="1ACB1A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highlight w:val="none"/>
          <w:lang w:val="en-US"/>
        </w:rPr>
      </w:pPr>
      <w:r>
        <w:rPr>
          <w:rFonts w:hint="default" w:ascii="Times New Roman" w:hAnsi="Times New Roman" w:eastAsia="宋体" w:cs="Times New Roman"/>
          <w:color w:val="000000"/>
          <w:kern w:val="0"/>
          <w:sz w:val="24"/>
          <w:szCs w:val="24"/>
          <w:highlight w:val="none"/>
          <w:lang w:val="en-US" w:eastAsia="zh-CN" w:bidi="ar"/>
        </w:rPr>
        <w:t>①本项目输电线路</w:t>
      </w:r>
      <w:r>
        <w:rPr>
          <w:rFonts w:hint="default" w:ascii="Times New Roman" w:hAnsi="Times New Roman" w:cs="Times New Roman"/>
          <w:color w:val="000000"/>
          <w:highlight w:val="none"/>
        </w:rPr>
        <w:t>施工临时占地设置围栏，防止扩大扰动面积；施工场地内采取遮盖、铺垫措施，防止施工机械机械泄漏，污染土壤；进场的器械、塔材，及时做好铺垫及拦挡，减小对地表植被的破坏。</w:t>
      </w:r>
    </w:p>
    <w:p w14:paraId="473F0D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eastAsia" w:cs="Times New Roman"/>
          <w:color w:val="auto"/>
          <w:kern w:val="0"/>
          <w:sz w:val="24"/>
          <w:szCs w:val="24"/>
          <w:highlight w:val="none"/>
          <w:lang w:val="en-US" w:eastAsia="zh-CN" w:bidi="ar"/>
        </w:rPr>
        <w:t>施工扰动区域</w:t>
      </w:r>
      <w:r>
        <w:rPr>
          <w:rFonts w:hint="default" w:ascii="Times New Roman" w:hAnsi="Times New Roman" w:eastAsia="宋体" w:cs="Times New Roman"/>
          <w:color w:val="auto"/>
          <w:kern w:val="0"/>
          <w:sz w:val="24"/>
          <w:szCs w:val="24"/>
          <w:highlight w:val="none"/>
          <w:lang w:val="en-US" w:eastAsia="zh-CN" w:bidi="ar"/>
        </w:rPr>
        <w:t xml:space="preserve">均进行表土剥离、单独存放并采取相应的保护措施，施工结束后用于临时占地植被恢复使用。 </w:t>
      </w:r>
    </w:p>
    <w:p w14:paraId="2390EF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w:t>
      </w:r>
      <w:r>
        <w:rPr>
          <w:rFonts w:hint="eastAsia" w:cs="Times New Roman"/>
          <w:color w:val="auto"/>
          <w:sz w:val="24"/>
          <w:highlight w:val="none"/>
          <w:lang w:val="en-US" w:eastAsia="zh-CN"/>
        </w:rPr>
        <w:t>项目施工所有临时占地区域</w:t>
      </w:r>
      <w:r>
        <w:rPr>
          <w:rFonts w:hint="default" w:ascii="Times New Roman" w:hAnsi="Times New Roman" w:eastAsia="宋体" w:cs="Times New Roman"/>
          <w:color w:val="auto"/>
          <w:sz w:val="24"/>
          <w:highlight w:val="none"/>
        </w:rPr>
        <w:t>施工结束后</w:t>
      </w:r>
      <w:r>
        <w:rPr>
          <w:rFonts w:hint="eastAsia" w:cs="Times New Roman"/>
          <w:color w:val="auto"/>
          <w:sz w:val="24"/>
          <w:highlight w:val="none"/>
          <w:lang w:val="en-US" w:eastAsia="zh-CN"/>
        </w:rPr>
        <w:t>按照原地表植被类型进行恢复，</w:t>
      </w:r>
      <w:r>
        <w:rPr>
          <w:rFonts w:hint="default" w:ascii="Times New Roman" w:hAnsi="Times New Roman" w:eastAsia="宋体" w:cs="Times New Roman"/>
          <w:color w:val="auto"/>
          <w:sz w:val="24"/>
          <w:highlight w:val="none"/>
        </w:rPr>
        <w:t>通过及时</w:t>
      </w:r>
      <w:r>
        <w:rPr>
          <w:rFonts w:hint="eastAsia" w:cs="Times New Roman"/>
          <w:color w:val="auto"/>
          <w:sz w:val="24"/>
          <w:highlight w:val="none"/>
          <w:lang w:val="en-US" w:eastAsia="zh-CN"/>
        </w:rPr>
        <w:t>栽植和</w:t>
      </w:r>
      <w:r>
        <w:rPr>
          <w:rFonts w:hint="default" w:ascii="Times New Roman" w:hAnsi="Times New Roman" w:eastAsia="宋体" w:cs="Times New Roman"/>
          <w:color w:val="auto"/>
          <w:sz w:val="24"/>
          <w:highlight w:val="none"/>
        </w:rPr>
        <w:t>撒播</w:t>
      </w:r>
      <w:r>
        <w:rPr>
          <w:rFonts w:hint="default" w:ascii="Times New Roman" w:hAnsi="Times New Roman" w:eastAsia="宋体" w:cs="Times New Roman"/>
          <w:color w:val="auto"/>
          <w:sz w:val="24"/>
          <w:highlight w:val="none"/>
          <w:lang w:val="en-US" w:eastAsia="zh-CN"/>
        </w:rPr>
        <w:t>当地优势</w:t>
      </w:r>
      <w:r>
        <w:rPr>
          <w:rFonts w:hint="eastAsia" w:cs="Times New Roman"/>
          <w:color w:val="auto"/>
          <w:sz w:val="24"/>
          <w:highlight w:val="none"/>
          <w:lang w:val="en-US" w:eastAsia="zh-CN"/>
        </w:rPr>
        <w:t>树、草种</w:t>
      </w:r>
      <w:r>
        <w:rPr>
          <w:rFonts w:hint="default" w:ascii="Times New Roman" w:hAnsi="Times New Roman" w:eastAsia="宋体" w:cs="Times New Roman"/>
          <w:color w:val="auto"/>
          <w:sz w:val="24"/>
          <w:highlight w:val="none"/>
        </w:rPr>
        <w:t>进行植被恢复。</w:t>
      </w:r>
    </w:p>
    <w:p w14:paraId="1FECD56C">
      <w:pPr>
        <w:pStyle w:val="8"/>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④</w:t>
      </w:r>
      <w:r>
        <w:rPr>
          <w:rFonts w:hint="default" w:ascii="Times New Roman" w:hAnsi="Times New Roman" w:eastAsia="宋体" w:cs="Times New Roman"/>
          <w:color w:val="000000"/>
          <w:sz w:val="24"/>
          <w:highlight w:val="none"/>
        </w:rPr>
        <w:t>施工材料等运输过程中严格按照规定的车辆行驶路线，</w:t>
      </w:r>
      <w:r>
        <w:rPr>
          <w:rFonts w:hint="default" w:ascii="Times New Roman" w:hAnsi="Times New Roman" w:eastAsia="宋体" w:cs="Times New Roman"/>
          <w:color w:val="000000"/>
          <w:sz w:val="24"/>
          <w:highlight w:val="none"/>
          <w:lang w:eastAsia="zh-CN"/>
        </w:rPr>
        <w:t>施工便道应尽可能</w:t>
      </w:r>
      <w:r>
        <w:rPr>
          <w:rFonts w:hint="default" w:ascii="Times New Roman" w:hAnsi="Times New Roman" w:eastAsia="宋体" w:cs="Times New Roman"/>
          <w:color w:val="000000"/>
          <w:sz w:val="24"/>
          <w:szCs w:val="24"/>
          <w:highlight w:val="none"/>
        </w:rPr>
        <w:t>利用现有道路，修建的少部分到达塔基的临时施工便道宽度</w:t>
      </w:r>
      <w:r>
        <w:rPr>
          <w:rFonts w:hint="default" w:ascii="Times New Roman" w:hAnsi="Times New Roman" w:eastAsia="宋体" w:cs="Times New Roman"/>
          <w:color w:val="000000"/>
          <w:sz w:val="24"/>
          <w:szCs w:val="24"/>
          <w:highlight w:val="none"/>
          <w:lang w:eastAsia="zh-CN"/>
        </w:rPr>
        <w:t>严格</w:t>
      </w:r>
      <w:r>
        <w:rPr>
          <w:rFonts w:hint="default" w:ascii="Times New Roman" w:hAnsi="Times New Roman" w:eastAsia="宋体" w:cs="Times New Roman"/>
          <w:color w:val="000000"/>
          <w:sz w:val="24"/>
          <w:szCs w:val="24"/>
          <w:highlight w:val="none"/>
        </w:rPr>
        <w:t>控制在</w:t>
      </w:r>
      <w:r>
        <w:rPr>
          <w:rFonts w:hint="eastAsia"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m范围内，</w:t>
      </w:r>
      <w:r>
        <w:rPr>
          <w:rFonts w:hint="default" w:ascii="Times New Roman" w:hAnsi="Times New Roman" w:eastAsia="宋体" w:cs="Times New Roman"/>
          <w:color w:val="000000"/>
          <w:sz w:val="24"/>
          <w:szCs w:val="24"/>
          <w:highlight w:val="none"/>
          <w:lang w:eastAsia="zh-CN"/>
        </w:rPr>
        <w:t>以</w:t>
      </w:r>
      <w:r>
        <w:rPr>
          <w:rFonts w:hint="default" w:ascii="Times New Roman" w:hAnsi="Times New Roman" w:eastAsia="宋体" w:cs="Times New Roman"/>
          <w:color w:val="000000"/>
          <w:sz w:val="24"/>
          <w:szCs w:val="24"/>
          <w:highlight w:val="none"/>
        </w:rPr>
        <w:t>减少新开辟施工便道对</w:t>
      </w:r>
      <w:r>
        <w:rPr>
          <w:rFonts w:hint="default" w:ascii="Times New Roman" w:hAnsi="Times New Roman" w:eastAsia="宋体" w:cs="Times New Roman"/>
          <w:color w:val="000000"/>
          <w:sz w:val="24"/>
          <w:szCs w:val="24"/>
          <w:highlight w:val="none"/>
          <w:lang w:val="en-US" w:eastAsia="zh-CN"/>
        </w:rPr>
        <w:t>地表</w:t>
      </w:r>
      <w:r>
        <w:rPr>
          <w:rFonts w:hint="default" w:ascii="Times New Roman" w:hAnsi="Times New Roman" w:eastAsia="宋体" w:cs="Times New Roman"/>
          <w:color w:val="000000"/>
          <w:sz w:val="24"/>
          <w:szCs w:val="24"/>
          <w:highlight w:val="none"/>
        </w:rPr>
        <w:t>植被的破坏。</w:t>
      </w:r>
    </w:p>
    <w:p w14:paraId="603685AD">
      <w:pPr>
        <w:pStyle w:val="8"/>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fldChar w:fldCharType="begin"/>
      </w:r>
      <w:r>
        <w:rPr>
          <w:rFonts w:hint="default" w:ascii="Times New Roman" w:hAnsi="Times New Roman" w:eastAsia="宋体" w:cs="Times New Roman"/>
          <w:color w:val="000000"/>
          <w:kern w:val="0"/>
          <w:sz w:val="24"/>
          <w:szCs w:val="24"/>
          <w:highlight w:val="none"/>
          <w:lang w:val="en-US" w:eastAsia="zh-CN" w:bidi="ar"/>
        </w:rPr>
        <w:instrText xml:space="preserve"> = 5 \* GB3 \* MERGEFORMAT </w:instrText>
      </w:r>
      <w:r>
        <w:rPr>
          <w:rFonts w:hint="default" w:ascii="Times New Roman" w:hAnsi="Times New Roman" w:eastAsia="宋体" w:cs="Times New Roman"/>
          <w:color w:val="000000"/>
          <w:kern w:val="0"/>
          <w:sz w:val="24"/>
          <w:szCs w:val="24"/>
          <w:highlight w:val="none"/>
          <w:lang w:val="en-US" w:eastAsia="zh-CN" w:bidi="ar"/>
        </w:rPr>
        <w:fldChar w:fldCharType="separate"/>
      </w:r>
      <w:r>
        <w:rPr>
          <w:rFonts w:hint="default" w:ascii="Times New Roman" w:hAnsi="Times New Roman" w:cs="Times New Roman"/>
          <w:color w:val="000000"/>
          <w:sz w:val="24"/>
          <w:szCs w:val="24"/>
          <w:highlight w:val="none"/>
        </w:rPr>
        <w:t>⑤</w:t>
      </w:r>
      <w:r>
        <w:rPr>
          <w:rFonts w:hint="default" w:ascii="Times New Roman" w:hAnsi="Times New Roman" w:eastAsia="宋体" w:cs="Times New Roman"/>
          <w:color w:val="000000"/>
          <w:kern w:val="0"/>
          <w:sz w:val="24"/>
          <w:szCs w:val="24"/>
          <w:highlight w:val="none"/>
          <w:lang w:val="en-US" w:eastAsia="zh-CN" w:bidi="ar"/>
        </w:rPr>
        <w:fldChar w:fldCharType="end"/>
      </w:r>
      <w:r>
        <w:rPr>
          <w:rFonts w:hint="default" w:ascii="Times New Roman" w:hAnsi="Times New Roman" w:eastAsia="宋体" w:cs="Times New Roman"/>
          <w:color w:val="000000"/>
          <w:sz w:val="24"/>
          <w:szCs w:val="24"/>
          <w:highlight w:val="none"/>
        </w:rPr>
        <w:t>在各项基础施工中，严格按设计施工，减少基础开挖量，并将挖出的土方集中堆放，以减少对附近植被的覆盖，保护局部植被的生长。基坑开挖完工后，尽快浇注混凝土，并对其表层进行碾压，缩短裸露时间。土方施工避开雨天，遇有大风天气时暂停土石方的施工，对临时堆放的土石方采取遮盖、拦挡等临时性防护措施，以免造成更大面积的植被破坏和土壤表层的破坏。</w:t>
      </w:r>
    </w:p>
    <w:p w14:paraId="05D8D905">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szCs w:val="24"/>
          <w:highlight w:val="none"/>
        </w:rPr>
      </w:pPr>
      <w:r>
        <w:rPr>
          <w:rFonts w:hint="default" w:ascii="Times New Roman" w:hAnsi="Times New Roman" w:cs="Times New Roman"/>
          <w:color w:val="000000"/>
          <w:sz w:val="24"/>
          <w:szCs w:val="24"/>
          <w:highlight w:val="none"/>
          <w:lang w:val="en-US" w:eastAsia="zh-CN"/>
        </w:rPr>
        <w:fldChar w:fldCharType="begin"/>
      </w:r>
      <w:r>
        <w:rPr>
          <w:rFonts w:hint="default" w:ascii="Times New Roman" w:hAnsi="Times New Roman" w:cs="Times New Roman"/>
          <w:color w:val="000000"/>
          <w:sz w:val="24"/>
          <w:szCs w:val="24"/>
          <w:highlight w:val="none"/>
          <w:lang w:val="en-US" w:eastAsia="zh-CN"/>
        </w:rPr>
        <w:instrText xml:space="preserve"> = 6 \* GB3 \* MERGEFORMAT </w:instrText>
      </w:r>
      <w:r>
        <w:rPr>
          <w:rFonts w:hint="default" w:ascii="Times New Roman" w:hAnsi="Times New Roman" w:cs="Times New Roman"/>
          <w:color w:val="000000"/>
          <w:sz w:val="24"/>
          <w:szCs w:val="24"/>
          <w:highlight w:val="none"/>
          <w:lang w:val="en-US" w:eastAsia="zh-CN"/>
        </w:rPr>
        <w:fldChar w:fldCharType="separate"/>
      </w:r>
      <w:r>
        <w:rPr>
          <w:rFonts w:hint="default" w:ascii="Times New Roman" w:hAnsi="Times New Roman" w:cs="Times New Roman"/>
          <w:color w:val="000000"/>
          <w:sz w:val="24"/>
          <w:szCs w:val="24"/>
          <w:highlight w:val="none"/>
        </w:rPr>
        <w:t>⑥</w:t>
      </w:r>
      <w:r>
        <w:rPr>
          <w:rFonts w:hint="default" w:ascii="Times New Roman" w:hAnsi="Times New Roman" w:cs="Times New Roman"/>
          <w:color w:val="000000"/>
          <w:sz w:val="24"/>
          <w:szCs w:val="24"/>
          <w:highlight w:val="none"/>
          <w:lang w:val="en-US" w:eastAsia="zh-CN"/>
        </w:rPr>
        <w:fldChar w:fldCharType="end"/>
      </w:r>
      <w:r>
        <w:rPr>
          <w:rFonts w:hint="default" w:ascii="Times New Roman" w:hAnsi="Times New Roman" w:eastAsia="宋体" w:cs="Times New Roman"/>
          <w:color w:val="000000"/>
          <w:sz w:val="24"/>
          <w:szCs w:val="24"/>
          <w:highlight w:val="none"/>
          <w:lang w:eastAsia="zh-CN"/>
        </w:rPr>
        <w:t>本项目线路采用</w:t>
      </w:r>
      <w:r>
        <w:rPr>
          <w:rFonts w:hint="default" w:ascii="Times New Roman" w:hAnsi="Times New Roman" w:eastAsia="宋体" w:cs="Times New Roman"/>
          <w:color w:val="000000"/>
          <w:sz w:val="24"/>
          <w:szCs w:val="24"/>
          <w:highlight w:val="none"/>
          <w:lang w:val="en-US" w:eastAsia="zh-CN"/>
        </w:rPr>
        <w:t>灌注桩</w:t>
      </w:r>
      <w:r>
        <w:rPr>
          <w:rFonts w:hint="eastAsia" w:cs="Times New Roman"/>
          <w:color w:val="000000"/>
          <w:sz w:val="24"/>
          <w:szCs w:val="24"/>
          <w:highlight w:val="none"/>
          <w:lang w:val="en-US" w:eastAsia="zh-CN"/>
        </w:rPr>
        <w:t>及挖孔</w:t>
      </w:r>
      <w:r>
        <w:rPr>
          <w:rFonts w:hint="default" w:ascii="Times New Roman" w:hAnsi="Times New Roman" w:eastAsia="宋体" w:cs="Times New Roman"/>
          <w:color w:val="000000"/>
          <w:sz w:val="24"/>
          <w:szCs w:val="24"/>
          <w:highlight w:val="none"/>
          <w:lang w:val="en-US" w:eastAsia="zh-CN"/>
        </w:rPr>
        <w:t>基础</w:t>
      </w:r>
      <w:r>
        <w:rPr>
          <w:rFonts w:hint="default" w:ascii="Times New Roman" w:hAnsi="Times New Roman" w:eastAsia="宋体" w:cs="Times New Roman"/>
          <w:color w:val="000000"/>
          <w:sz w:val="24"/>
          <w:szCs w:val="24"/>
          <w:highlight w:val="none"/>
          <w:lang w:eastAsia="zh-CN"/>
        </w:rPr>
        <w:t>，占地面积小，</w:t>
      </w:r>
      <w:r>
        <w:rPr>
          <w:rFonts w:hint="default" w:ascii="Times New Roman" w:hAnsi="Times New Roman" w:eastAsia="宋体" w:cs="Times New Roman"/>
          <w:color w:val="000000"/>
          <w:sz w:val="24"/>
          <w:szCs w:val="24"/>
          <w:highlight w:val="none"/>
        </w:rPr>
        <w:t>土石方产生量，土壤扰动相对较小</w:t>
      </w:r>
      <w:r>
        <w:rPr>
          <w:rFonts w:hint="default" w:ascii="Times New Roman" w:hAnsi="Times New Roman" w:eastAsia="宋体" w:cs="Times New Roman"/>
          <w:color w:val="000000"/>
          <w:sz w:val="24"/>
          <w:szCs w:val="24"/>
          <w:highlight w:val="none"/>
          <w:lang w:eastAsia="zh-CN"/>
        </w:rPr>
        <w:t>。</w:t>
      </w:r>
    </w:p>
    <w:p w14:paraId="0DDF23BA">
      <w:pPr>
        <w:pStyle w:val="8"/>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sz w:val="24"/>
          <w:szCs w:val="24"/>
          <w:highlight w:val="none"/>
          <w:lang w:val="en-US" w:eastAsia="zh-CN"/>
        </w:rPr>
        <w:fldChar w:fldCharType="begin"/>
      </w:r>
      <w:r>
        <w:rPr>
          <w:rFonts w:hint="default" w:ascii="Times New Roman" w:hAnsi="Times New Roman" w:cs="Times New Roman"/>
          <w:color w:val="000000"/>
          <w:sz w:val="24"/>
          <w:szCs w:val="24"/>
          <w:highlight w:val="none"/>
          <w:lang w:val="en-US" w:eastAsia="zh-CN"/>
        </w:rPr>
        <w:instrText xml:space="preserve"> = 7 \* GB3 \* MERGEFORMAT </w:instrText>
      </w:r>
      <w:r>
        <w:rPr>
          <w:rFonts w:hint="default" w:ascii="Times New Roman" w:hAnsi="Times New Roman" w:cs="Times New Roman"/>
          <w:color w:val="000000"/>
          <w:sz w:val="24"/>
          <w:szCs w:val="24"/>
          <w:highlight w:val="none"/>
          <w:lang w:val="en-US" w:eastAsia="zh-CN"/>
        </w:rPr>
        <w:fldChar w:fldCharType="separate"/>
      </w:r>
      <w:r>
        <w:rPr>
          <w:rFonts w:hint="default" w:ascii="Times New Roman" w:hAnsi="Times New Roman" w:cs="Times New Roman"/>
          <w:color w:val="000000"/>
          <w:sz w:val="24"/>
          <w:szCs w:val="24"/>
          <w:highlight w:val="none"/>
        </w:rPr>
        <w:t>⑦</w:t>
      </w:r>
      <w:r>
        <w:rPr>
          <w:rFonts w:hint="default" w:ascii="Times New Roman" w:hAnsi="Times New Roman" w:cs="Times New Roman"/>
          <w:color w:val="000000"/>
          <w:sz w:val="24"/>
          <w:szCs w:val="24"/>
          <w:highlight w:val="none"/>
          <w:lang w:val="en-US" w:eastAsia="zh-CN"/>
        </w:rPr>
        <w:fldChar w:fldCharType="end"/>
      </w:r>
      <w:r>
        <w:rPr>
          <w:rFonts w:hint="default" w:ascii="Times New Roman" w:hAnsi="Times New Roman" w:cs="Times New Roman"/>
          <w:color w:val="000000"/>
          <w:sz w:val="24"/>
          <w:szCs w:val="24"/>
          <w:highlight w:val="none"/>
        </w:rPr>
        <w:t>本项目开工建设前建设单位和施工单位必须对施工人员进行环保知识宣传，提高施工人员的环保意识，</w:t>
      </w:r>
      <w:r>
        <w:rPr>
          <w:rFonts w:hint="default" w:ascii="Times New Roman" w:hAnsi="Times New Roman" w:cs="Times New Roman"/>
          <w:color w:val="000000"/>
          <w:kern w:val="0"/>
          <w:sz w:val="24"/>
          <w:szCs w:val="24"/>
          <w:highlight w:val="none"/>
        </w:rPr>
        <w:t>严禁捕猎野生动物。</w:t>
      </w:r>
    </w:p>
    <w:p w14:paraId="2ACD77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fldChar w:fldCharType="begin"/>
      </w:r>
      <w:r>
        <w:rPr>
          <w:rFonts w:hint="default" w:ascii="Times New Roman" w:hAnsi="Times New Roman" w:cs="Times New Roman"/>
          <w:color w:val="000000"/>
          <w:sz w:val="24"/>
          <w:szCs w:val="24"/>
          <w:highlight w:val="none"/>
        </w:rPr>
        <w:instrText xml:space="preserve"> = 8 \* GB3 \* MERGEFORMAT </w:instrText>
      </w:r>
      <w:r>
        <w:rPr>
          <w:rFonts w:hint="default" w:ascii="Times New Roman" w:hAnsi="Times New Roman" w:cs="Times New Roman"/>
          <w:color w:val="000000"/>
          <w:sz w:val="24"/>
          <w:szCs w:val="24"/>
          <w:highlight w:val="none"/>
        </w:rPr>
        <w:fldChar w:fldCharType="separate"/>
      </w:r>
      <w:r>
        <w:rPr>
          <w:rFonts w:hint="default" w:ascii="Times New Roman" w:hAnsi="Times New Roman" w:cs="Times New Roman"/>
          <w:color w:val="000000"/>
          <w:sz w:val="24"/>
          <w:szCs w:val="24"/>
          <w:highlight w:val="none"/>
        </w:rPr>
        <w:t>⑧</w:t>
      </w:r>
      <w:r>
        <w:rPr>
          <w:rFonts w:hint="default" w:ascii="Times New Roman" w:hAnsi="Times New Roman" w:cs="Times New Roman"/>
          <w:color w:val="000000"/>
          <w:sz w:val="24"/>
          <w:szCs w:val="24"/>
          <w:highlight w:val="none"/>
        </w:rPr>
        <w:fldChar w:fldCharType="end"/>
      </w:r>
      <w:r>
        <w:rPr>
          <w:rFonts w:hint="default" w:ascii="Times New Roman" w:hAnsi="Times New Roman" w:cs="Times New Roman"/>
          <w:color w:val="000000"/>
          <w:sz w:val="24"/>
          <w:szCs w:val="24"/>
          <w:highlight w:val="none"/>
          <w:lang w:val="en-US" w:eastAsia="zh-CN"/>
        </w:rPr>
        <w:t>生态保护红线环境保护措施：施工期前组织专业人员对施工人员进行环保宣传教育，施工现场张贴重要湿地相关标语和具体要求。在重要湿地附近施工时，严格控制施工车辆、施工人员的活动范围。施工期采取对施工作业区域、施工道路适时洒水、对塔基开挖的土方及时苫盖等措施，防止扬尘污染，并在施工结束后及时清理施工作业现场、植被恢复。在落实以上措施后，本项目对</w:t>
      </w:r>
      <w:r>
        <w:rPr>
          <w:rFonts w:hint="eastAsia" w:cs="Times New Roman"/>
          <w:color w:val="000000"/>
          <w:sz w:val="24"/>
          <w:szCs w:val="24"/>
          <w:highlight w:val="none"/>
          <w:lang w:val="en-US" w:eastAsia="zh-CN"/>
        </w:rPr>
        <w:t>生态红线</w:t>
      </w:r>
      <w:r>
        <w:rPr>
          <w:rFonts w:hint="default" w:ascii="Times New Roman" w:hAnsi="Times New Roman" w:cs="Times New Roman"/>
          <w:color w:val="000000"/>
          <w:sz w:val="24"/>
          <w:szCs w:val="24"/>
          <w:highlight w:val="none"/>
          <w:lang w:val="en-US" w:eastAsia="zh-CN"/>
        </w:rPr>
        <w:t>的环境质量、</w:t>
      </w:r>
      <w:r>
        <w:rPr>
          <w:rFonts w:hint="default" w:ascii="Times New Roman" w:hAnsi="Times New Roman" w:cs="Times New Roman"/>
          <w:color w:val="000000"/>
          <w:sz w:val="24"/>
          <w:szCs w:val="24"/>
          <w:highlight w:val="none"/>
        </w:rPr>
        <w:t>生态系统完整性</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生物多样性等生态功能无影响</w:t>
      </w:r>
      <w:r>
        <w:rPr>
          <w:rFonts w:hint="default" w:ascii="Times New Roman" w:hAnsi="Times New Roman" w:cs="Times New Roman"/>
          <w:color w:val="000000"/>
          <w:sz w:val="24"/>
          <w:szCs w:val="24"/>
          <w:highlight w:val="none"/>
        </w:rPr>
        <w:t>。</w:t>
      </w:r>
    </w:p>
    <w:p w14:paraId="5B86A7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⑨</w:t>
      </w:r>
      <w:r>
        <w:rPr>
          <w:rFonts w:hint="default" w:ascii="Times New Roman" w:hAnsi="Times New Roman" w:eastAsia="宋体" w:cs="Times New Roman"/>
          <w:color w:val="000000"/>
          <w:kern w:val="0"/>
          <w:sz w:val="24"/>
          <w:szCs w:val="24"/>
          <w:highlight w:val="none"/>
          <w:lang w:val="en-US" w:eastAsia="zh-CN" w:bidi="ar"/>
        </w:rPr>
        <w:t>针对不同施工场地的生态保护措施如下：</w:t>
      </w:r>
    </w:p>
    <w:p w14:paraId="539B94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塔基施工场地：施工前对建筑物压占区域进行表土剥离，表土集中存放并进行苫盖；施工过程对施工临时道路进行洒水抑尘，临时堆土采取防尘网苫盖措施；施工结束后对扰动区域进行土地整治及植被恢复。</w:t>
      </w:r>
    </w:p>
    <w:p w14:paraId="5368F2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牵张场及跨越场：对牵张场及跨越场施工扰动区域，施工过程采用彩条布对施工区域进行铺垫，保护植被。</w:t>
      </w:r>
    </w:p>
    <w:p w14:paraId="3D3EB81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施工道路：施工前对占用草地、林地等区域进行表土剥离，表土集中存放并进行苫盖；施工过程对施工道路采取洒水抑尘措施；施工结束后对扰动区域进行土地整治、植被恢复。</w:t>
      </w:r>
    </w:p>
    <w:p w14:paraId="0B0F93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管线敷设施工场地：施工前进行表土剥离，表土集中存放并进行苫盖；施工过程中采取洒水抑尘措施；施工结束后对扰动区域进行土地整治、植被恢复。</w:t>
      </w:r>
    </w:p>
    <w:p w14:paraId="05AC32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⑩</w:t>
      </w:r>
      <w:r>
        <w:rPr>
          <w:rFonts w:hint="default" w:ascii="Times New Roman" w:hAnsi="Times New Roman" w:eastAsia="宋体" w:cs="Times New Roman"/>
          <w:color w:val="000000"/>
          <w:kern w:val="0"/>
          <w:sz w:val="24"/>
          <w:szCs w:val="24"/>
          <w:highlight w:val="none"/>
          <w:lang w:val="en-US" w:eastAsia="zh-CN" w:bidi="ar"/>
        </w:rPr>
        <w:t>植被恢复应根据当地原有地形地貌进行林、灌、草结合的方式恢复。植被避免引入外来入侵物种，应尽可能选择播种、栽植容易、成活率高的乡土种。</w:t>
      </w:r>
    </w:p>
    <w:p w14:paraId="07FCA7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在落实以上措施后，本项目施工期对周围生态环境影响较小。</w:t>
      </w:r>
    </w:p>
    <w:p w14:paraId="7D7EFBF1">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w:t>
      </w:r>
      <w:r>
        <w:rPr>
          <w:rFonts w:hint="default" w:ascii="Times New Roman" w:hAnsi="Times New Roman" w:eastAsia="宋体" w:cs="Times New Roman"/>
          <w:b/>
          <w:color w:val="auto"/>
          <w:kern w:val="2"/>
          <w:sz w:val="24"/>
          <w:szCs w:val="24"/>
          <w:highlight w:val="none"/>
          <w:lang w:val="en-US" w:eastAsia="zh-CN" w:bidi="ar-SA"/>
        </w:rPr>
        <w:t>3 运行期生态影响缓解措施</w:t>
      </w:r>
    </w:p>
    <w:p w14:paraId="7BACE4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项目运行单位应制定生态跟踪监测计划，配合相关部门，完善生态保护措施，定期对沿线植被生态保护和防护措施及设施进行检查，加强维护，实施跟踪，及时修复遭破坏的设施，了解生态恢复效果，及时采取后续措施。在</w:t>
      </w:r>
      <w:r>
        <w:rPr>
          <w:rFonts w:hint="eastAsia" w:ascii="Times New Roman" w:hAnsi="Times New Roman" w:eastAsia="宋体" w:cs="Times New Roman"/>
          <w:color w:val="000000"/>
          <w:kern w:val="0"/>
          <w:sz w:val="24"/>
          <w:szCs w:val="24"/>
          <w:highlight w:val="none"/>
          <w:lang w:val="en-US" w:eastAsia="zh-CN" w:bidi="ar"/>
        </w:rPr>
        <w:t>涉及的</w:t>
      </w:r>
      <w:r>
        <w:rPr>
          <w:rFonts w:hint="default" w:ascii="Times New Roman" w:hAnsi="Times New Roman" w:eastAsia="宋体" w:cs="Times New Roman"/>
          <w:color w:val="000000"/>
          <w:kern w:val="0"/>
          <w:sz w:val="24"/>
          <w:szCs w:val="24"/>
          <w:highlight w:val="none"/>
          <w:lang w:val="en-US" w:eastAsia="zh-CN" w:bidi="ar"/>
        </w:rPr>
        <w:t>生态保护红线区域加强现场生态检查与监测，完善生态恢复等各项措施，加强与生态保护红线管理部门的联系，及时强化生态保护措施。</w:t>
      </w:r>
    </w:p>
    <w:p w14:paraId="3E7B78BF">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5.4</w:t>
      </w:r>
      <w:r>
        <w:rPr>
          <w:rFonts w:hint="default" w:ascii="Times New Roman" w:hAnsi="Times New Roman" w:eastAsia="宋体" w:cs="Times New Roman"/>
          <w:b/>
          <w:color w:val="auto"/>
          <w:kern w:val="2"/>
          <w:sz w:val="24"/>
          <w:szCs w:val="24"/>
          <w:highlight w:val="none"/>
          <w:lang w:val="en-US" w:eastAsia="zh-CN" w:bidi="ar-SA"/>
        </w:rPr>
        <w:t xml:space="preserve"> 生态保护红线区域生态保护措施</w:t>
      </w:r>
    </w:p>
    <w:p w14:paraId="76A488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除遵守以上生态保护措施以外，施工期在生态保护红线区域应同时落实以下生态保护措施：</w:t>
      </w:r>
    </w:p>
    <w:p w14:paraId="09053E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①</w:t>
      </w:r>
      <w:r>
        <w:rPr>
          <w:rFonts w:hint="eastAsia" w:ascii="Times New Roman" w:hAnsi="Times New Roman" w:eastAsia="宋体" w:cs="Times New Roman"/>
          <w:color w:val="000000"/>
          <w:kern w:val="0"/>
          <w:sz w:val="24"/>
          <w:szCs w:val="24"/>
          <w:highlight w:val="none"/>
          <w:lang w:val="en-US" w:eastAsia="zh-CN" w:bidi="ar"/>
        </w:rPr>
        <w:t>严控</w:t>
      </w:r>
      <w:r>
        <w:rPr>
          <w:rFonts w:hint="default" w:ascii="Times New Roman" w:hAnsi="Times New Roman" w:eastAsia="宋体" w:cs="Times New Roman"/>
          <w:color w:val="000000"/>
          <w:kern w:val="0"/>
          <w:sz w:val="24"/>
          <w:szCs w:val="24"/>
          <w:highlight w:val="none"/>
          <w:lang w:val="en-US" w:eastAsia="zh-CN" w:bidi="ar"/>
        </w:rPr>
        <w:t>施工</w:t>
      </w:r>
      <w:r>
        <w:rPr>
          <w:rFonts w:hint="eastAsia" w:ascii="Times New Roman" w:hAnsi="Times New Roman" w:eastAsia="宋体" w:cs="Times New Roman"/>
          <w:color w:val="000000"/>
          <w:kern w:val="0"/>
          <w:sz w:val="24"/>
          <w:szCs w:val="24"/>
          <w:highlight w:val="none"/>
          <w:lang w:val="en-US" w:eastAsia="zh-CN" w:bidi="ar"/>
        </w:rPr>
        <w:t>活动</w:t>
      </w:r>
      <w:r>
        <w:rPr>
          <w:rFonts w:hint="default" w:ascii="Times New Roman" w:hAnsi="Times New Roman" w:eastAsia="宋体" w:cs="Times New Roman"/>
          <w:color w:val="000000"/>
          <w:kern w:val="0"/>
          <w:sz w:val="24"/>
          <w:szCs w:val="24"/>
          <w:highlight w:val="none"/>
          <w:lang w:val="en-US" w:eastAsia="zh-CN" w:bidi="ar"/>
        </w:rPr>
        <w:t>范围：</w:t>
      </w:r>
      <w:r>
        <w:rPr>
          <w:rFonts w:hint="eastAsia" w:ascii="Times New Roman" w:hAnsi="Times New Roman" w:eastAsia="宋体" w:cs="Times New Roman"/>
          <w:color w:val="000000"/>
          <w:kern w:val="0"/>
          <w:sz w:val="24"/>
          <w:szCs w:val="24"/>
          <w:highlight w:val="none"/>
          <w:lang w:val="en-US" w:eastAsia="zh-CN" w:bidi="ar"/>
        </w:rPr>
        <w:t>非必要和未经允许禁止施工人员进入生态保护红线</w:t>
      </w:r>
      <w:r>
        <w:rPr>
          <w:rFonts w:hint="default" w:ascii="Times New Roman" w:hAnsi="Times New Roman" w:eastAsia="宋体" w:cs="Times New Roman"/>
          <w:color w:val="000000"/>
          <w:kern w:val="0"/>
          <w:sz w:val="24"/>
          <w:szCs w:val="24"/>
          <w:highlight w:val="none"/>
          <w:lang w:val="en-US" w:eastAsia="zh-CN" w:bidi="ar"/>
        </w:rPr>
        <w:t>。</w:t>
      </w:r>
    </w:p>
    <w:p w14:paraId="7BCDB8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②除已取得相关许可的施工区域外，禁止采摘、砍伐生态保护红线内的植物。</w:t>
      </w:r>
    </w:p>
    <w:p w14:paraId="65852E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color w:val="000000"/>
          <w:kern w:val="0"/>
          <w:sz w:val="24"/>
          <w:szCs w:val="24"/>
          <w:highlight w:val="none"/>
          <w:lang w:val="en-US" w:eastAsia="zh-CN" w:bidi="ar"/>
        </w:rPr>
        <w:t>③禁止捕猎野生动物，禁止携带火种进入林区。</w:t>
      </w:r>
    </w:p>
    <w:p w14:paraId="5AB203D8">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en-US" w:eastAsia="zh-CN" w:bidi="ar-SA"/>
        </w:rPr>
      </w:pPr>
      <w:bookmarkStart w:id="96" w:name="_Toc1148"/>
      <w:r>
        <w:rPr>
          <w:rFonts w:hint="eastAsia" w:ascii="Times New Roman" w:hAnsi="Times New Roman" w:eastAsia="宋体" w:cs="Times New Roman"/>
          <w:b/>
          <w:color w:val="auto"/>
          <w:kern w:val="44"/>
          <w:sz w:val="24"/>
          <w:szCs w:val="24"/>
          <w:highlight w:val="none"/>
          <w:lang w:val="en-US" w:eastAsia="zh-CN" w:bidi="ar-SA"/>
        </w:rPr>
        <w:t>6</w:t>
      </w:r>
      <w:r>
        <w:rPr>
          <w:rFonts w:hint="default" w:ascii="Times New Roman" w:hAnsi="Times New Roman" w:eastAsia="宋体" w:cs="Times New Roman"/>
          <w:b/>
          <w:color w:val="auto"/>
          <w:kern w:val="44"/>
          <w:sz w:val="24"/>
          <w:szCs w:val="24"/>
          <w:highlight w:val="none"/>
          <w:lang w:val="en-US" w:eastAsia="zh-CN" w:bidi="ar-SA"/>
        </w:rPr>
        <w:t xml:space="preserve"> 生态监测及环境管理</w:t>
      </w:r>
      <w:bookmarkEnd w:id="96"/>
    </w:p>
    <w:p w14:paraId="35FC29EC">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.1 生态监测</w:t>
      </w:r>
    </w:p>
    <w:p w14:paraId="6F7E7152">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生态监测可委托有资质和丰富经验的单位完成，结合项目规模、生态影响特点及所在区域的生态敏感性，重点监测工程穿越的生态敏感区。针对本项目穿越的生态敏感区（******）输电线路开展生态监测，监测时间为施工期、运行初期（投产运行后2年内）和运行期。</w:t>
      </w:r>
    </w:p>
    <w:p w14:paraId="6A3CFABA">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按《环境影响评价技术导则 生态影响》（HJ19</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2022）的要求，本工程需要开展长期跟踪生态监测。由于工程对生态的影响具有相似性，重点监测本工程穿越生态敏感区，各项监测内容如下：</w:t>
      </w:r>
    </w:p>
    <w:p w14:paraId="6590B547">
      <w:pPr>
        <w:keepNext w:val="0"/>
        <w:keepLines w:val="0"/>
        <w:pageBreakBefore w:val="0"/>
        <w:numPr>
          <w:ilvl w:val="0"/>
          <w:numId w:val="9"/>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植物监测</w:t>
      </w:r>
    </w:p>
    <w:p w14:paraId="1075720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①监测点位的布置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监测点选择在输电线路穿越生态敏感区（</w:t>
      </w:r>
      <w:r>
        <w:rPr>
          <w:rFonts w:hint="eastAsia"/>
          <w:color w:val="auto"/>
          <w:sz w:val="24"/>
          <w:highlight w:val="none"/>
          <w:lang w:val="en-US" w:eastAsia="zh-CN"/>
        </w:rPr>
        <w:t>******</w:t>
      </w:r>
      <w:r>
        <w:rPr>
          <w:rFonts w:hint="default" w:ascii="Times New Roman" w:hAnsi="Times New Roman" w:cs="Times New Roman"/>
          <w:color w:val="auto"/>
          <w:sz w:val="24"/>
          <w:szCs w:val="24"/>
          <w:highlight w:val="none"/>
        </w:rPr>
        <w:t>）处走廊的正下方和输电线路边导线外0~50m处及敏感区内塔基临时占地处，选择不同的植被类型进行监测。</w:t>
      </w:r>
    </w:p>
    <w:p w14:paraId="2657DFCF">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在生态敏感区范围，根据项目区存在的每种群落类型，设置不少于3个样方，乔木每个样方大小为10m×10m，灌丛样方大小为5m×5m，草本样方大小为1m×1m。</w:t>
      </w:r>
    </w:p>
    <w:p w14:paraId="7E2DD9A7">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②监测内容</w:t>
      </w:r>
    </w:p>
    <w:p w14:paraId="63B07B61">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监测输电线路正下方的植物种类及生理生态指标与边导线外具有可比性的样方群落中的相关指标是否有差别。</w:t>
      </w:r>
    </w:p>
    <w:p w14:paraId="42282018">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监测内容：植物物种、植物群落、植被类型、种植密度、存活率、覆盖率等。</w:t>
      </w:r>
    </w:p>
    <w:p w14:paraId="5A7775AD">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③监测时间</w:t>
      </w:r>
    </w:p>
    <w:p w14:paraId="64EEBF32">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监测时间段为施工期至投运后5年。监测频次为施工期、运行初期（竣工环保验收时）、运行期各监测一次，选择植物生长旺盛季节。</w:t>
      </w:r>
    </w:p>
    <w:p w14:paraId="5B0A877C">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（2）野生动物监测</w:t>
      </w:r>
    </w:p>
    <w:p w14:paraId="5B871AB1">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①监测点位</w:t>
      </w:r>
    </w:p>
    <w:p w14:paraId="4F1C76FA">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布置监测点选择在生态敏感区（</w:t>
      </w:r>
      <w:r>
        <w:rPr>
          <w:rFonts w:hint="eastAsia"/>
          <w:color w:val="auto"/>
          <w:sz w:val="24"/>
          <w:highlight w:val="none"/>
          <w:lang w:val="en-US" w:eastAsia="zh-CN"/>
        </w:rPr>
        <w:t>******</w:t>
      </w:r>
      <w:r>
        <w:rPr>
          <w:rFonts w:hint="default" w:ascii="Times New Roman" w:hAnsi="Times New Roman" w:cs="Times New Roman"/>
          <w:color w:val="auto"/>
          <w:sz w:val="24"/>
          <w:szCs w:val="24"/>
          <w:highlight w:val="none"/>
        </w:rPr>
        <w:t>）。</w:t>
      </w:r>
    </w:p>
    <w:p w14:paraId="32963B7F">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②监测内容</w:t>
      </w:r>
    </w:p>
    <w:p w14:paraId="17A34AE4">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野生动物的种类、数量进行定点观测。</w:t>
      </w:r>
    </w:p>
    <w:p w14:paraId="4080FF76">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③监测时间</w:t>
      </w:r>
    </w:p>
    <w:p w14:paraId="23C59A36">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监测时间段为施工期至投运后5年。监测频次为施工期、运行初期（竣工环保验收时）、运行期各监测一次。</w:t>
      </w:r>
    </w:p>
    <w:p w14:paraId="60C224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生态监测计划见表6.1-1，生态监测布点图可参照附图。</w:t>
      </w:r>
    </w:p>
    <w:p w14:paraId="65D8A775">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b/>
          <w:bCs/>
          <w:sz w:val="24"/>
          <w:szCs w:val="24"/>
          <w:highlight w:val="none"/>
          <w:lang w:val="en-US" w:eastAsia="zh-CN"/>
        </w:rPr>
      </w:pPr>
      <w:r>
        <w:rPr>
          <w:rFonts w:hint="default" w:ascii="Times New Roman" w:hAnsi="Times New Roman" w:eastAsia="黑体" w:cs="Times New Roman"/>
          <w:b/>
          <w:bCs/>
          <w:sz w:val="24"/>
          <w:szCs w:val="24"/>
          <w:highlight w:val="none"/>
          <w:lang w:val="en-US" w:eastAsia="zh-CN"/>
        </w:rPr>
        <w:t>表6.1-1  生态监测计划</w:t>
      </w:r>
    </w:p>
    <w:tbl>
      <w:tblPr>
        <w:tblStyle w:val="28"/>
        <w:tblW w:w="8313" w:type="dxa"/>
        <w:tblInd w:w="0"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07"/>
        <w:gridCol w:w="2215"/>
        <w:gridCol w:w="1191"/>
        <w:gridCol w:w="1211"/>
        <w:gridCol w:w="1103"/>
        <w:gridCol w:w="1986"/>
      </w:tblGrid>
      <w:tr w14:paraId="290ED0E7">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607" w:type="dxa"/>
            <w:tcBorders>
              <w:top w:val="single" w:color="000000" w:sz="12" w:space="0"/>
              <w:left w:val="nil"/>
              <w:tl2br w:val="nil"/>
            </w:tcBorders>
            <w:shd w:val="clear" w:color="auto" w:fill="auto"/>
            <w:noWrap w:val="0"/>
            <w:vAlign w:val="center"/>
          </w:tcPr>
          <w:p w14:paraId="3EF3E253">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阶段</w:t>
            </w:r>
          </w:p>
        </w:tc>
        <w:tc>
          <w:tcPr>
            <w:tcW w:w="2215" w:type="dxa"/>
            <w:tcBorders>
              <w:top w:val="single" w:color="000000" w:sz="12" w:space="0"/>
            </w:tcBorders>
            <w:shd w:val="clear" w:color="auto" w:fill="auto"/>
            <w:noWrap w:val="0"/>
            <w:vAlign w:val="center"/>
          </w:tcPr>
          <w:p w14:paraId="11EE890D">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监测点位</w:t>
            </w:r>
          </w:p>
        </w:tc>
        <w:tc>
          <w:tcPr>
            <w:tcW w:w="1191" w:type="dxa"/>
            <w:tcBorders>
              <w:top w:val="single" w:color="000000" w:sz="12" w:space="0"/>
            </w:tcBorders>
            <w:shd w:val="clear" w:color="auto" w:fill="auto"/>
            <w:noWrap w:val="0"/>
            <w:vAlign w:val="center"/>
          </w:tcPr>
          <w:p w14:paraId="582AD2E3">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监测因子</w:t>
            </w:r>
          </w:p>
        </w:tc>
        <w:tc>
          <w:tcPr>
            <w:tcW w:w="1211" w:type="dxa"/>
            <w:tcBorders>
              <w:top w:val="single" w:color="000000" w:sz="12" w:space="0"/>
            </w:tcBorders>
            <w:shd w:val="clear" w:color="auto" w:fill="auto"/>
            <w:noWrap w:val="0"/>
            <w:vAlign w:val="center"/>
          </w:tcPr>
          <w:p w14:paraId="547E2D21">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监测频次</w:t>
            </w:r>
          </w:p>
        </w:tc>
        <w:tc>
          <w:tcPr>
            <w:tcW w:w="1103" w:type="dxa"/>
            <w:tcBorders>
              <w:top w:val="single" w:color="000000" w:sz="12" w:space="0"/>
            </w:tcBorders>
            <w:shd w:val="clear" w:color="auto" w:fill="auto"/>
            <w:noWrap w:val="0"/>
            <w:vAlign w:val="center"/>
          </w:tcPr>
          <w:p w14:paraId="2D73B5CC">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监测方法</w:t>
            </w:r>
          </w:p>
        </w:tc>
        <w:tc>
          <w:tcPr>
            <w:tcW w:w="1986" w:type="dxa"/>
            <w:tcBorders>
              <w:top w:val="single" w:color="000000" w:sz="12" w:space="0"/>
              <w:right w:val="nil"/>
            </w:tcBorders>
            <w:shd w:val="clear" w:color="auto" w:fill="auto"/>
            <w:noWrap w:val="0"/>
            <w:vAlign w:val="center"/>
          </w:tcPr>
          <w:p w14:paraId="4392D98F">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备注</w:t>
            </w:r>
          </w:p>
        </w:tc>
      </w:tr>
      <w:tr w14:paraId="2FD78ACF">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0" w:type="dxa"/>
            <w:bottom w:w="0" w:type="dxa"/>
            <w:right w:w="0" w:type="dxa"/>
          </w:tblCellMar>
        </w:tblPrEx>
        <w:trPr>
          <w:trHeight w:val="1362" w:hRule="atLeast"/>
        </w:trPr>
        <w:tc>
          <w:tcPr>
            <w:tcW w:w="607" w:type="dxa"/>
            <w:tcBorders>
              <w:left w:val="nil"/>
            </w:tcBorders>
            <w:shd w:val="clear" w:color="auto" w:fill="auto"/>
            <w:noWrap w:val="0"/>
            <w:vAlign w:val="center"/>
          </w:tcPr>
          <w:p w14:paraId="2ED805B5">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施工期</w:t>
            </w:r>
          </w:p>
        </w:tc>
        <w:tc>
          <w:tcPr>
            <w:tcW w:w="2215" w:type="dxa"/>
            <w:shd w:val="clear" w:color="auto" w:fill="auto"/>
            <w:noWrap w:val="0"/>
            <w:vAlign w:val="center"/>
          </w:tcPr>
          <w:p w14:paraId="10B54287">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项目施工扰动区，重点监测</w:t>
            </w:r>
            <w:r>
              <w:rPr>
                <w:rFonts w:hint="eastAsia" w:ascii="Times New Roman" w:hAnsi="Times New Roman" w:cs="Times New Roman"/>
                <w:b w:val="0"/>
                <w:bCs/>
                <w:color w:val="000000"/>
                <w:sz w:val="21"/>
                <w:szCs w:val="21"/>
                <w:highlight w:val="none"/>
                <w:lang w:val="en-US" w:eastAsia="zh-CN"/>
              </w:rPr>
              <w:t>临近</w:t>
            </w:r>
            <w:r>
              <w:rPr>
                <w:rFonts w:hint="default" w:ascii="Times New Roman" w:hAnsi="Times New Roman" w:eastAsia="宋体" w:cs="Times New Roman"/>
                <w:b w:val="0"/>
                <w:bCs/>
                <w:color w:val="000000"/>
                <w:sz w:val="21"/>
                <w:szCs w:val="21"/>
                <w:highlight w:val="none"/>
              </w:rPr>
              <w:t>生态保护红线输电线路施工扰动区</w:t>
            </w:r>
          </w:p>
        </w:tc>
        <w:tc>
          <w:tcPr>
            <w:tcW w:w="1191" w:type="dxa"/>
            <w:shd w:val="clear" w:color="auto" w:fill="auto"/>
            <w:noWrap w:val="0"/>
            <w:vAlign w:val="center"/>
          </w:tcPr>
          <w:p w14:paraId="3B0D6B34">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物种组成；群落类型和结构</w:t>
            </w:r>
          </w:p>
        </w:tc>
        <w:tc>
          <w:tcPr>
            <w:tcW w:w="1211" w:type="dxa"/>
            <w:shd w:val="clear" w:color="auto" w:fill="auto"/>
            <w:noWrap w:val="0"/>
            <w:vAlign w:val="center"/>
          </w:tcPr>
          <w:p w14:paraId="06669DBF">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施工期总计1次</w:t>
            </w:r>
          </w:p>
        </w:tc>
        <w:tc>
          <w:tcPr>
            <w:tcW w:w="1103" w:type="dxa"/>
            <w:shd w:val="clear" w:color="auto" w:fill="auto"/>
            <w:noWrap w:val="0"/>
            <w:vAlign w:val="center"/>
          </w:tcPr>
          <w:p w14:paraId="2916C020">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野外调查法、遥感分析法等</w:t>
            </w:r>
          </w:p>
        </w:tc>
        <w:tc>
          <w:tcPr>
            <w:tcW w:w="1986" w:type="dxa"/>
            <w:tcBorders>
              <w:right w:val="nil"/>
            </w:tcBorders>
            <w:shd w:val="clear" w:color="auto" w:fill="auto"/>
            <w:noWrap w:val="0"/>
            <w:vAlign w:val="center"/>
          </w:tcPr>
          <w:p w14:paraId="559FB105">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重点监测施工活动干扰下生态保护目标的受影响状况，如重要物种的活动和分布变化、植物群落变化等</w:t>
            </w:r>
          </w:p>
        </w:tc>
      </w:tr>
      <w:tr w14:paraId="6ADCEAF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16" w:hRule="atLeast"/>
        </w:trPr>
        <w:tc>
          <w:tcPr>
            <w:tcW w:w="607" w:type="dxa"/>
            <w:tcBorders>
              <w:left w:val="nil"/>
            </w:tcBorders>
            <w:shd w:val="clear" w:color="auto" w:fill="auto"/>
            <w:noWrap w:val="0"/>
            <w:vAlign w:val="center"/>
          </w:tcPr>
          <w:p w14:paraId="44C847FF">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运行</w:t>
            </w:r>
          </w:p>
          <w:p w14:paraId="2BA7944D">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初期</w:t>
            </w:r>
          </w:p>
        </w:tc>
        <w:tc>
          <w:tcPr>
            <w:tcW w:w="2215" w:type="dxa"/>
            <w:shd w:val="clear" w:color="auto" w:fill="auto"/>
            <w:noWrap w:val="0"/>
            <w:vAlign w:val="center"/>
          </w:tcPr>
          <w:p w14:paraId="1FCCF6D6">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项目施工扰动区，重点</w:t>
            </w:r>
          </w:p>
          <w:p w14:paraId="3D49C732">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监测</w:t>
            </w:r>
            <w:r>
              <w:rPr>
                <w:rFonts w:hint="eastAsia" w:ascii="Times New Roman" w:hAnsi="Times New Roman" w:cs="Times New Roman"/>
                <w:b w:val="0"/>
                <w:bCs/>
                <w:color w:val="000000"/>
                <w:sz w:val="21"/>
                <w:szCs w:val="21"/>
                <w:highlight w:val="none"/>
                <w:lang w:val="en-US" w:eastAsia="zh-CN"/>
              </w:rPr>
              <w:t>临近</w:t>
            </w:r>
            <w:r>
              <w:rPr>
                <w:rFonts w:hint="default" w:ascii="Times New Roman" w:hAnsi="Times New Roman" w:eastAsia="宋体" w:cs="Times New Roman"/>
                <w:b w:val="0"/>
                <w:bCs/>
                <w:color w:val="000000"/>
                <w:sz w:val="21"/>
                <w:szCs w:val="21"/>
                <w:highlight w:val="none"/>
              </w:rPr>
              <w:t>生态保护红线输电线路工程占地区</w:t>
            </w:r>
          </w:p>
        </w:tc>
        <w:tc>
          <w:tcPr>
            <w:tcW w:w="1191" w:type="dxa"/>
            <w:shd w:val="clear" w:color="auto" w:fill="auto"/>
            <w:noWrap w:val="0"/>
            <w:vAlign w:val="center"/>
          </w:tcPr>
          <w:p w14:paraId="3840FB92">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物种组成；群落类型和结构</w:t>
            </w:r>
          </w:p>
        </w:tc>
        <w:tc>
          <w:tcPr>
            <w:tcW w:w="1211" w:type="dxa"/>
            <w:shd w:val="clear" w:color="auto" w:fill="auto"/>
            <w:noWrap w:val="0"/>
            <w:vAlign w:val="center"/>
          </w:tcPr>
          <w:p w14:paraId="2EB52F0F">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运营初期总计1次</w:t>
            </w:r>
          </w:p>
        </w:tc>
        <w:tc>
          <w:tcPr>
            <w:tcW w:w="1103" w:type="dxa"/>
            <w:shd w:val="clear" w:color="auto" w:fill="auto"/>
            <w:noWrap w:val="0"/>
            <w:vAlign w:val="center"/>
          </w:tcPr>
          <w:p w14:paraId="73DF8B16">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野外调查</w:t>
            </w:r>
          </w:p>
          <w:p w14:paraId="279BA2C4">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法、遥感分析法等</w:t>
            </w:r>
          </w:p>
        </w:tc>
        <w:tc>
          <w:tcPr>
            <w:tcW w:w="1986" w:type="dxa"/>
            <w:vMerge w:val="restart"/>
            <w:tcBorders>
              <w:right w:val="nil"/>
            </w:tcBorders>
            <w:shd w:val="clear" w:color="auto" w:fill="auto"/>
            <w:noWrap w:val="0"/>
            <w:vAlign w:val="center"/>
          </w:tcPr>
          <w:p w14:paraId="24A9E2FF">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重点监测对生态保护目标的实际影响、生态保护对策措施的有效性以及生态修复效果等</w:t>
            </w:r>
          </w:p>
        </w:tc>
      </w:tr>
      <w:tr w14:paraId="3E702197">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17" w:hRule="atLeast"/>
        </w:trPr>
        <w:tc>
          <w:tcPr>
            <w:tcW w:w="607" w:type="dxa"/>
            <w:tcBorders>
              <w:left w:val="nil"/>
              <w:bottom w:val="single" w:color="000000" w:sz="12" w:space="0"/>
            </w:tcBorders>
            <w:shd w:val="clear" w:color="auto" w:fill="auto"/>
            <w:noWrap w:val="0"/>
            <w:vAlign w:val="center"/>
          </w:tcPr>
          <w:p w14:paraId="724C4338">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运行期</w:t>
            </w:r>
          </w:p>
        </w:tc>
        <w:tc>
          <w:tcPr>
            <w:tcW w:w="2215" w:type="dxa"/>
            <w:tcBorders>
              <w:bottom w:val="single" w:color="000000" w:sz="12" w:space="0"/>
            </w:tcBorders>
            <w:shd w:val="clear" w:color="auto" w:fill="auto"/>
            <w:noWrap w:val="0"/>
            <w:vAlign w:val="center"/>
          </w:tcPr>
          <w:p w14:paraId="26E44A97">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项目施工扰动区，重点</w:t>
            </w:r>
          </w:p>
          <w:p w14:paraId="0C7E6E7A">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监测</w:t>
            </w:r>
            <w:r>
              <w:rPr>
                <w:rFonts w:hint="eastAsia" w:ascii="Times New Roman" w:hAnsi="Times New Roman" w:cs="Times New Roman"/>
                <w:b w:val="0"/>
                <w:bCs/>
                <w:color w:val="000000"/>
                <w:sz w:val="21"/>
                <w:szCs w:val="21"/>
                <w:highlight w:val="none"/>
                <w:lang w:val="en-US" w:eastAsia="zh-CN"/>
              </w:rPr>
              <w:t>临近</w:t>
            </w:r>
            <w:r>
              <w:rPr>
                <w:rFonts w:hint="default" w:ascii="Times New Roman" w:hAnsi="Times New Roman" w:eastAsia="宋体" w:cs="Times New Roman"/>
                <w:b w:val="0"/>
                <w:bCs/>
                <w:color w:val="000000"/>
                <w:sz w:val="21"/>
                <w:szCs w:val="21"/>
                <w:highlight w:val="none"/>
              </w:rPr>
              <w:t>生态保护红线输电线路工程占地区</w:t>
            </w:r>
          </w:p>
        </w:tc>
        <w:tc>
          <w:tcPr>
            <w:tcW w:w="1191" w:type="dxa"/>
            <w:tcBorders>
              <w:bottom w:val="single" w:color="000000" w:sz="12" w:space="0"/>
            </w:tcBorders>
            <w:shd w:val="clear" w:color="auto" w:fill="auto"/>
            <w:noWrap w:val="0"/>
            <w:vAlign w:val="center"/>
          </w:tcPr>
          <w:p w14:paraId="34F8A352">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物种组成；群落类型和结构</w:t>
            </w:r>
          </w:p>
        </w:tc>
        <w:tc>
          <w:tcPr>
            <w:tcW w:w="1211" w:type="dxa"/>
            <w:tcBorders>
              <w:bottom w:val="single" w:color="000000" w:sz="12" w:space="0"/>
            </w:tcBorders>
            <w:shd w:val="clear" w:color="auto" w:fill="auto"/>
            <w:noWrap w:val="0"/>
            <w:vAlign w:val="center"/>
          </w:tcPr>
          <w:p w14:paraId="346F30E3">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运行期总计1</w:t>
            </w:r>
          </w:p>
          <w:p w14:paraId="38FAFF10">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次（第5~10年之间）</w:t>
            </w:r>
          </w:p>
        </w:tc>
        <w:tc>
          <w:tcPr>
            <w:tcW w:w="1103" w:type="dxa"/>
            <w:tcBorders>
              <w:bottom w:val="single" w:color="000000" w:sz="12" w:space="0"/>
            </w:tcBorders>
            <w:shd w:val="clear" w:color="auto" w:fill="auto"/>
            <w:noWrap w:val="0"/>
            <w:vAlign w:val="center"/>
          </w:tcPr>
          <w:p w14:paraId="4F82EAD6">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野外调查</w:t>
            </w:r>
          </w:p>
          <w:p w14:paraId="0CBE3C08">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r>
              <w:rPr>
                <w:rFonts w:hint="default" w:ascii="Times New Roman" w:hAnsi="Times New Roman" w:eastAsia="宋体" w:cs="Times New Roman"/>
                <w:b w:val="0"/>
                <w:bCs/>
                <w:color w:val="000000"/>
                <w:sz w:val="21"/>
                <w:szCs w:val="21"/>
                <w:highlight w:val="none"/>
              </w:rPr>
              <w:t>法、遥感分析法等</w:t>
            </w:r>
          </w:p>
        </w:tc>
        <w:tc>
          <w:tcPr>
            <w:tcW w:w="1986" w:type="dxa"/>
            <w:vMerge w:val="continue"/>
            <w:tcBorders>
              <w:bottom w:val="single" w:color="000000" w:sz="12" w:space="0"/>
              <w:right w:val="nil"/>
            </w:tcBorders>
            <w:shd w:val="clear" w:color="auto" w:fill="auto"/>
            <w:noWrap w:val="0"/>
            <w:vAlign w:val="center"/>
          </w:tcPr>
          <w:p w14:paraId="2C12D3FC">
            <w:pPr>
              <w:pStyle w:val="57"/>
              <w:keepNext w:val="0"/>
              <w:keepLines w:val="0"/>
              <w:pageBreakBefore w:val="0"/>
              <w:widowControl w:val="0"/>
              <w:kinsoku/>
              <w:wordWrap/>
              <w:overflowPunct/>
              <w:topLinePunct w:val="0"/>
              <w:autoSpaceDE/>
              <w:autoSpaceDN/>
              <w:bidi w:val="0"/>
              <w:adjustRightInd/>
              <w:snapToGrid/>
              <w:spacing w:beforeLines="0" w:afterLines="0" w:line="240" w:lineRule="auto"/>
              <w:ind w:left="0" w:right="0" w:firstLine="0"/>
              <w:jc w:val="center"/>
              <w:textAlignment w:val="auto"/>
              <w:rPr>
                <w:rFonts w:hint="default" w:ascii="Times New Roman" w:hAnsi="Times New Roman" w:eastAsia="宋体" w:cs="Times New Roman"/>
                <w:b w:val="0"/>
                <w:bCs/>
                <w:color w:val="000000"/>
                <w:sz w:val="21"/>
                <w:szCs w:val="21"/>
                <w:highlight w:val="none"/>
              </w:rPr>
            </w:pPr>
          </w:p>
        </w:tc>
      </w:tr>
    </w:tbl>
    <w:p w14:paraId="762A0D65">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2 环境管理</w:t>
      </w:r>
    </w:p>
    <w:p w14:paraId="7CDA78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国家环境保护管理规定，工程施工期间在工程管理机构之中应设置专门环保机构，安排专业环保人员负责各标段施工中的环境管理工作。工程环境管理机构由领导、组织、实施、协助、咨询等五部分机构组成。各机构间应紧密联系、分工明确、相互独立、互相协调。</w:t>
      </w:r>
    </w:p>
    <w:p w14:paraId="5A47A2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（1）施工期环境管理</w:t>
      </w:r>
    </w:p>
    <w:p w14:paraId="73349FE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①</w:t>
      </w:r>
      <w:r>
        <w:rPr>
          <w:rFonts w:hint="default" w:ascii="Times New Roman" w:hAnsi="Times New Roman" w:eastAsia="宋体" w:cs="Times New Roman"/>
          <w:color w:val="000000"/>
          <w:kern w:val="0"/>
          <w:sz w:val="24"/>
          <w:szCs w:val="24"/>
          <w:highlight w:val="none"/>
          <w:lang w:val="en-US" w:eastAsia="zh-CN" w:bidi="ar"/>
        </w:rPr>
        <w:t>本工程施工招标应选择具有较强生态保护意识、掌握无人机等有利于生态环保新技术的施工单位。</w:t>
      </w:r>
    </w:p>
    <w:p w14:paraId="7CDB1E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②</w:t>
      </w:r>
      <w:r>
        <w:rPr>
          <w:rFonts w:hint="default" w:ascii="Times New Roman" w:hAnsi="Times New Roman" w:eastAsia="宋体" w:cs="Times New Roman"/>
          <w:color w:val="000000"/>
          <w:kern w:val="0"/>
          <w:sz w:val="24"/>
          <w:szCs w:val="24"/>
          <w:highlight w:val="none"/>
          <w:lang w:val="en-US" w:eastAsia="zh-CN" w:bidi="ar"/>
        </w:rPr>
        <w:t>施工前对施工人员进行生态保护教育，施工过程中做好施工现场管理工作，并根据需要请相关管理机构对生态保护措施的全程跟踪、检查和监督，配合建设单位开展生态环境保护的技术指导，协调处理工程建设过程中涉及的环境保护管理、耕地、草地恢复等相关问题。</w:t>
      </w:r>
    </w:p>
    <w:p w14:paraId="63D5FC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③</w:t>
      </w:r>
      <w:r>
        <w:rPr>
          <w:rFonts w:hint="default" w:ascii="Times New Roman" w:hAnsi="Times New Roman" w:eastAsia="宋体" w:cs="Times New Roman"/>
          <w:color w:val="000000"/>
          <w:kern w:val="0"/>
          <w:sz w:val="24"/>
          <w:szCs w:val="24"/>
          <w:highlight w:val="none"/>
          <w:lang w:val="en-US" w:eastAsia="zh-CN" w:bidi="ar"/>
        </w:rPr>
        <w:t>在施工设计文件中详细说明施工期应注意的环保问题，如对沿线树木砍伐，野生动植物保护、植被恢复等情况均应按设计文件执行的同时做好记录，并按标段将记录整理成册，严格要求施工单位按设计文件施工，特别是按环保设计要求施工。</w:t>
      </w:r>
    </w:p>
    <w:p w14:paraId="4ECF952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④</w:t>
      </w:r>
      <w:r>
        <w:rPr>
          <w:rFonts w:hint="default" w:ascii="Times New Roman" w:hAnsi="Times New Roman" w:eastAsia="宋体" w:cs="Times New Roman"/>
          <w:color w:val="000000"/>
          <w:kern w:val="0"/>
          <w:sz w:val="24"/>
          <w:szCs w:val="24"/>
          <w:highlight w:val="none"/>
          <w:lang w:val="en-US" w:eastAsia="zh-CN" w:bidi="ar"/>
        </w:rPr>
        <w:t>施工方在施工期间应有专人负责环境管理工作，对施工中的每一道工序都应检查是否满足环保要求，并不定期地对各施工点位进行监督检查。</w:t>
      </w:r>
    </w:p>
    <w:p w14:paraId="757F60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⑤</w:t>
      </w:r>
      <w:r>
        <w:rPr>
          <w:rFonts w:hint="default" w:ascii="Times New Roman" w:hAnsi="Times New Roman" w:eastAsia="宋体" w:cs="Times New Roman"/>
          <w:color w:val="000000"/>
          <w:kern w:val="0"/>
          <w:sz w:val="24"/>
          <w:szCs w:val="24"/>
          <w:highlight w:val="none"/>
          <w:lang w:val="en-US" w:eastAsia="zh-CN" w:bidi="ar"/>
        </w:rPr>
        <w:t>在生态敏感区进行施工时，施工前期应加强对施工人员进行生态保护红线相关法律法规等内容进行培训，规范施工队伍行为和施工现场管理。</w:t>
      </w:r>
    </w:p>
    <w:p w14:paraId="07369E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（2）运行期环境管理</w:t>
      </w:r>
    </w:p>
    <w:p w14:paraId="3DDA09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根据项目所在区域的环境特点，在运行主管单位分设环境管理部门。环境管理部门的职能为：</w:t>
      </w:r>
    </w:p>
    <w:p w14:paraId="0B0F56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①</w:t>
      </w:r>
      <w:r>
        <w:rPr>
          <w:rFonts w:hint="default" w:ascii="Times New Roman" w:hAnsi="Times New Roman" w:eastAsia="宋体" w:cs="Times New Roman"/>
          <w:color w:val="000000"/>
          <w:kern w:val="0"/>
          <w:sz w:val="24"/>
          <w:szCs w:val="24"/>
          <w:highlight w:val="none"/>
          <w:lang w:val="en-US" w:eastAsia="zh-CN" w:bidi="ar"/>
        </w:rPr>
        <w:t>制定和实施各项生态环境监督管理计划；</w:t>
      </w:r>
    </w:p>
    <w:p w14:paraId="034F55C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②</w:t>
      </w:r>
      <w:r>
        <w:rPr>
          <w:rFonts w:hint="default" w:ascii="Times New Roman" w:hAnsi="Times New Roman" w:eastAsia="宋体" w:cs="Times New Roman"/>
          <w:color w:val="000000"/>
          <w:kern w:val="0"/>
          <w:sz w:val="24"/>
          <w:szCs w:val="24"/>
          <w:highlight w:val="none"/>
          <w:lang w:val="en-US" w:eastAsia="zh-CN" w:bidi="ar"/>
        </w:rPr>
        <w:t>建立生态环境现状数据档案及生态信息网络，并定期向当地环境保护行政主管部门汇报；</w:t>
      </w:r>
    </w:p>
    <w:p w14:paraId="7B638C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s="Times New Roman"/>
          <w:color w:val="000000"/>
          <w:kern w:val="0"/>
          <w:sz w:val="24"/>
          <w:szCs w:val="24"/>
          <w:highlight w:val="none"/>
          <w:lang w:val="en-US" w:eastAsia="zh-CN" w:bidi="ar"/>
        </w:rPr>
        <w:t>③</w:t>
      </w:r>
      <w:r>
        <w:rPr>
          <w:rFonts w:hint="default" w:ascii="Times New Roman" w:hAnsi="Times New Roman" w:eastAsia="宋体" w:cs="Times New Roman"/>
          <w:color w:val="000000"/>
          <w:kern w:val="0"/>
          <w:sz w:val="24"/>
          <w:szCs w:val="24"/>
          <w:highlight w:val="none"/>
          <w:lang w:val="en-US" w:eastAsia="zh-CN" w:bidi="ar"/>
        </w:rPr>
        <w:t>不定期地巡查线路各段，特别关注生态保护目标，保护其生态环境不被破坏，确保生态保护与工程运行相协调。</w:t>
      </w:r>
    </w:p>
    <w:p w14:paraId="1C11BFB7">
      <w:pPr>
        <w:keepNext/>
        <w:keepLines/>
        <w:widowControl w:val="0"/>
        <w:bidi w:val="0"/>
        <w:spacing w:before="120" w:beforeLines="0" w:beforeAutospacing="0" w:after="120" w:afterLines="0" w:afterAutospacing="0" w:line="360" w:lineRule="auto"/>
        <w:ind w:firstLine="0" w:firstLineChars="0"/>
        <w:jc w:val="left"/>
        <w:outlineLvl w:val="0"/>
        <w:rPr>
          <w:rFonts w:hint="default" w:ascii="Times New Roman" w:hAnsi="Times New Roman" w:eastAsia="宋体" w:cs="Times New Roman"/>
          <w:b/>
          <w:color w:val="auto"/>
          <w:kern w:val="44"/>
          <w:sz w:val="24"/>
          <w:szCs w:val="24"/>
          <w:highlight w:val="none"/>
          <w:lang w:val="zh-CN" w:eastAsia="zh-CN" w:bidi="ar-SA"/>
        </w:rPr>
      </w:pPr>
      <w:r>
        <w:rPr>
          <w:rFonts w:hint="eastAsia" w:ascii="Times New Roman" w:hAnsi="Times New Roman" w:eastAsia="宋体" w:cs="Times New Roman"/>
          <w:b/>
          <w:color w:val="auto"/>
          <w:kern w:val="44"/>
          <w:sz w:val="24"/>
          <w:szCs w:val="24"/>
          <w:highlight w:val="none"/>
          <w:lang w:val="en-US" w:eastAsia="zh-CN" w:bidi="ar-SA"/>
        </w:rPr>
        <w:t>7</w:t>
      </w:r>
      <w:r>
        <w:rPr>
          <w:rFonts w:hint="default" w:ascii="Times New Roman" w:hAnsi="Times New Roman" w:eastAsia="宋体" w:cs="Times New Roman"/>
          <w:b/>
          <w:color w:val="auto"/>
          <w:kern w:val="44"/>
          <w:sz w:val="24"/>
          <w:szCs w:val="24"/>
          <w:highlight w:val="none"/>
          <w:lang w:val="zh-CN" w:eastAsia="zh-CN" w:bidi="ar-SA"/>
        </w:rPr>
        <w:t>结论与建议</w:t>
      </w:r>
    </w:p>
    <w:p w14:paraId="254D3FD9">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.1生态影响预测评价结论</w:t>
      </w:r>
    </w:p>
    <w:p w14:paraId="5A211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本项目建设期间，将通过有效的管理</w:t>
      </w:r>
      <w:r>
        <w:rPr>
          <w:rFonts w:hint="eastAsia" w:ascii="Times New Roman" w:hAnsi="Times New Roman" w:cs="Times New Roman"/>
          <w:color w:val="auto"/>
          <w:sz w:val="24"/>
          <w:highlight w:val="none"/>
          <w:lang w:eastAsia="zh-CN"/>
        </w:rPr>
        <w:t>措施</w:t>
      </w:r>
      <w:r>
        <w:rPr>
          <w:rFonts w:hint="default" w:ascii="Times New Roman" w:hAnsi="Times New Roman" w:cs="Times New Roman"/>
          <w:color w:val="auto"/>
          <w:sz w:val="24"/>
          <w:highlight w:val="none"/>
        </w:rPr>
        <w:t>来减</w:t>
      </w:r>
      <w:r>
        <w:rPr>
          <w:rFonts w:hint="eastAsia" w:ascii="Times New Roman" w:hAnsi="Times New Roman" w:cs="Times New Roman"/>
          <w:color w:val="auto"/>
          <w:sz w:val="24"/>
          <w:highlight w:val="none"/>
          <w:lang w:eastAsia="zh-CN"/>
        </w:rPr>
        <w:t>小生态影响</w:t>
      </w:r>
      <w:r>
        <w:rPr>
          <w:rFonts w:hint="default" w:ascii="Times New Roman" w:hAnsi="Times New Roman" w:cs="Times New Roman"/>
          <w:color w:val="auto"/>
          <w:sz w:val="24"/>
          <w:highlight w:val="none"/>
        </w:rPr>
        <w:t>，临时占地植被会得到有效的生态恢复</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少量的植被损失及其导致的生态变化，不会对各类型植被群落及生态系统的稳定性造成影响，不会导致生态服务功能的明显下降。</w:t>
      </w:r>
    </w:p>
    <w:p w14:paraId="676629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设影响主要表现在施工期对动物栖息环境和对植被占用的影响。施工活动会对动物日常的觅食、繁殖造成惊扰，由于动物具有迁徙能力，且本区的动物多为广分布性物种，分布生境可回旋余地大，部分栖息在施工地带的个体会受到影响而暂时离开工程影响区，工程施工活动不会对其它珍稀保护动物造成影响；施工期永久及临时占地，一定程度上改变现状植被，线路的永久占地除塔基桩脚外，</w:t>
      </w:r>
      <w:r>
        <w:rPr>
          <w:rFonts w:hint="eastAsia" w:ascii="Times New Roman" w:hAnsi="Times New Roman" w:cs="Times New Roman"/>
          <w:color w:val="auto"/>
          <w:sz w:val="24"/>
          <w:highlight w:val="none"/>
          <w:lang w:eastAsia="zh-CN"/>
        </w:rPr>
        <w:t>其余区域</w:t>
      </w:r>
      <w:r>
        <w:rPr>
          <w:rFonts w:hint="default" w:ascii="Times New Roman" w:hAnsi="Times New Roman" w:cs="Times New Roman"/>
          <w:color w:val="auto"/>
          <w:sz w:val="24"/>
          <w:highlight w:val="none"/>
        </w:rPr>
        <w:t>恢复现状植被或转变为其他植被类型，临时占地经过一段时间自然保育或人工恢复，可恢复</w:t>
      </w:r>
      <w:r>
        <w:rPr>
          <w:rFonts w:hint="eastAsia" w:cs="Times New Roman"/>
          <w:color w:val="auto"/>
          <w:sz w:val="24"/>
          <w:highlight w:val="none"/>
          <w:lang w:eastAsia="zh-CN"/>
        </w:rPr>
        <w:t>至原有水平</w:t>
      </w:r>
      <w:r>
        <w:rPr>
          <w:rFonts w:hint="default" w:ascii="Times New Roman" w:hAnsi="Times New Roman" w:cs="Times New Roman"/>
          <w:color w:val="auto"/>
          <w:sz w:val="24"/>
          <w:highlight w:val="none"/>
        </w:rPr>
        <w:t>。</w:t>
      </w:r>
    </w:p>
    <w:p w14:paraId="4C08AD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w:t>
      </w:r>
      <w:r>
        <w:rPr>
          <w:rFonts w:hint="default" w:ascii="Times New Roman" w:hAnsi="Times New Roman" w:cs="Times New Roman"/>
          <w:color w:val="auto"/>
          <w:sz w:val="24"/>
          <w:highlight w:val="none"/>
          <w:lang w:val="zh-CN"/>
        </w:rPr>
        <w:t>实施不会对评价区的自然生态系统的完整性、稳定性造成明显影响，对景观格局、生态状况的影响也较小。根据其所处的部位和影响因子的性质及影响程度，有不同的影响反应，都在可接受的范围之内。</w:t>
      </w:r>
    </w:p>
    <w:p w14:paraId="1363C068">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.2生态综合评价结论</w:t>
      </w:r>
    </w:p>
    <w:p w14:paraId="258F90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本项目建设属于线性工程，工程施工相对简单，</w:t>
      </w:r>
      <w:r>
        <w:rPr>
          <w:rFonts w:hint="default" w:ascii="Times New Roman" w:hAnsi="Times New Roman" w:cs="Times New Roman"/>
          <w:color w:val="auto"/>
          <w:sz w:val="24"/>
          <w:highlight w:val="none"/>
        </w:rPr>
        <w:t>永久</w:t>
      </w:r>
      <w:r>
        <w:rPr>
          <w:rFonts w:hint="default" w:ascii="Times New Roman" w:hAnsi="Times New Roman" w:cs="Times New Roman"/>
          <w:color w:val="auto"/>
          <w:sz w:val="24"/>
          <w:highlight w:val="none"/>
          <w:lang w:val="zh-CN"/>
        </w:rPr>
        <w:t>占地</w:t>
      </w:r>
      <w:r>
        <w:rPr>
          <w:rFonts w:hint="default" w:ascii="Times New Roman" w:hAnsi="Times New Roman" w:cs="Times New Roman"/>
          <w:color w:val="auto"/>
          <w:sz w:val="24"/>
          <w:highlight w:val="none"/>
        </w:rPr>
        <w:t>面积</w:t>
      </w:r>
      <w:r>
        <w:rPr>
          <w:rFonts w:hint="eastAsia" w:cs="Times New Roman"/>
          <w:color w:val="auto"/>
          <w:sz w:val="24"/>
          <w:highlight w:val="none"/>
          <w:lang w:eastAsia="zh-CN"/>
        </w:rPr>
        <w:t>很小</w:t>
      </w:r>
      <w:r>
        <w:rPr>
          <w:rFonts w:hint="default" w:ascii="Times New Roman" w:hAnsi="Times New Roman" w:cs="Times New Roman"/>
          <w:color w:val="auto"/>
          <w:sz w:val="24"/>
          <w:highlight w:val="none"/>
          <w:lang w:val="zh-CN"/>
        </w:rPr>
        <w:t>，对区域植物的破坏有限，不会造成植物、动物</w:t>
      </w:r>
      <w:r>
        <w:rPr>
          <w:rFonts w:hint="eastAsia" w:cs="Times New Roman"/>
          <w:color w:val="auto"/>
          <w:sz w:val="24"/>
          <w:highlight w:val="none"/>
          <w:lang w:val="zh-CN"/>
        </w:rPr>
        <w:t>种质资源</w:t>
      </w:r>
      <w:r>
        <w:rPr>
          <w:rFonts w:hint="default" w:ascii="Times New Roman" w:hAnsi="Times New Roman" w:cs="Times New Roman"/>
          <w:color w:val="auto"/>
          <w:sz w:val="24"/>
          <w:highlight w:val="none"/>
          <w:lang w:val="zh-CN"/>
        </w:rPr>
        <w:t>和生物多样性的减少，不会造成评价区景观格局的根本变化，不会造成生态系统完整性的变化，评价区生态系统结构和功能不会发生转变。本项目</w:t>
      </w:r>
      <w:r>
        <w:rPr>
          <w:rFonts w:hint="eastAsia" w:ascii="Times New Roman" w:hAnsi="Times New Roman" w:cs="Times New Roman"/>
          <w:color w:val="auto"/>
          <w:sz w:val="24"/>
          <w:highlight w:val="none"/>
          <w:lang w:val="zh-CN"/>
        </w:rPr>
        <w:t>线路</w:t>
      </w:r>
      <w:r>
        <w:rPr>
          <w:rFonts w:hint="eastAsia" w:cs="Times New Roman"/>
          <w:color w:val="auto"/>
          <w:sz w:val="24"/>
          <w:highlight w:val="none"/>
          <w:lang w:val="en-US" w:eastAsia="zh-CN"/>
        </w:rPr>
        <w:t>跨越******</w:t>
      </w:r>
      <w:r>
        <w:rPr>
          <w:rFonts w:hint="eastAsia" w:ascii="Times New Roman" w:hAnsi="Times New Roman" w:eastAsia="宋体" w:cs="Times New Roman"/>
          <w:b w:val="0"/>
          <w:bCs/>
          <w:color w:val="auto"/>
          <w:spacing w:val="0"/>
          <w:w w:val="100"/>
          <w:position w:val="0"/>
          <w:sz w:val="24"/>
          <w:szCs w:val="24"/>
          <w:highlight w:val="none"/>
          <w:lang w:val="en-US" w:eastAsia="zh-CN"/>
        </w:rPr>
        <w:t>，</w:t>
      </w:r>
      <w:r>
        <w:rPr>
          <w:rFonts w:hint="default" w:ascii="Times New Roman" w:hAnsi="Times New Roman" w:cs="Times New Roman"/>
          <w:color w:val="auto"/>
          <w:sz w:val="24"/>
          <w:highlight w:val="none"/>
          <w:lang w:val="zh-CN"/>
        </w:rPr>
        <w:t>由于项目评价范围的植被较为常见，动物也多为常见爬行类、鸟类和昆虫类，其适宜生境分布广泛且动物的环境适应性较强。因此在做好</w:t>
      </w:r>
      <w:r>
        <w:rPr>
          <w:rFonts w:hint="eastAsia" w:cs="Times New Roman"/>
          <w:color w:val="auto"/>
          <w:sz w:val="24"/>
          <w:highlight w:val="none"/>
          <w:lang w:val="zh-CN"/>
        </w:rPr>
        <w:t>动植物保护</w:t>
      </w:r>
      <w:r>
        <w:rPr>
          <w:rFonts w:hint="default" w:ascii="Times New Roman" w:hAnsi="Times New Roman" w:cs="Times New Roman"/>
          <w:color w:val="auto"/>
          <w:sz w:val="24"/>
          <w:highlight w:val="none"/>
          <w:lang w:val="zh-CN"/>
        </w:rPr>
        <w:t>的前提下，项目建设在环境保护角度是可行的。</w:t>
      </w:r>
    </w:p>
    <w:p w14:paraId="519CDD25">
      <w:pPr>
        <w:keepNext/>
        <w:keepLines/>
        <w:widowControl w:val="0"/>
        <w:bidi w:val="0"/>
        <w:spacing w:before="120" w:beforeLines="0" w:beforeAutospacing="0" w:after="120" w:afterLines="0" w:afterAutospacing="0" w:line="360" w:lineRule="auto"/>
        <w:ind w:firstLine="0" w:firstLineChars="0"/>
        <w:jc w:val="left"/>
        <w:outlineLvl w:val="1"/>
        <w:rPr>
          <w:rFonts w:hint="default"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.3建议</w:t>
      </w:r>
    </w:p>
    <w:p w14:paraId="495836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auto"/>
          <w:sz w:val="24"/>
          <w:szCs w:val="24"/>
          <w:highlight w:val="none"/>
          <w:lang w:val="zh-CN"/>
        </w:rPr>
        <w:t>施工单位严格按照相关要求组织施工建设，施工期间应指定专人负责环保工作。项目施工前，应对全体施工人员进行污染控制和动植物保护教育，提高施工人员的环境保护意识，禁止开挖、捕捉国家保护动植物，最大限度保护区域内国家保护动植物的生长环境</w:t>
      </w:r>
      <w:r>
        <w:rPr>
          <w:rFonts w:hint="eastAsia" w:cs="Times New Roman"/>
          <w:color w:val="auto"/>
          <w:sz w:val="24"/>
          <w:szCs w:val="24"/>
          <w:highlight w:val="none"/>
          <w:lang w:val="zh-CN"/>
        </w:rPr>
        <w:t>。</w:t>
      </w:r>
    </w:p>
    <w:p w14:paraId="78E889E4">
      <w:pPr>
        <w:pStyle w:val="8"/>
        <w:keepNext w:val="0"/>
        <w:keepLines w:val="0"/>
        <w:pageBreakBefore w:val="0"/>
        <w:widowControl w:val="0"/>
        <w:kinsoku/>
        <w:wordWrap/>
        <w:overflowPunct/>
        <w:topLinePunct w:val="0"/>
        <w:autoSpaceDE/>
        <w:autoSpaceDN/>
        <w:bidi w:val="0"/>
        <w:spacing w:after="0" w:line="360" w:lineRule="auto"/>
        <w:ind w:left="0" w:leftChars="0" w:firstLine="0" w:firstLineChars="0"/>
        <w:jc w:val="both"/>
        <w:textAlignment w:val="auto"/>
        <w:rPr>
          <w:color w:val="auto"/>
          <w:sz w:val="24"/>
          <w:highlight w:val="none"/>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䅂䍄䕅⯋컌">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029D6">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664DE">
                          <w:pPr>
                            <w:pStyle w:val="18"/>
                            <w:rPr>
                              <w:rStyle w:val="32"/>
                              <w:sz w:val="21"/>
                              <w:szCs w:val="21"/>
                            </w:rPr>
                          </w:pPr>
                          <w:r>
                            <w:rPr>
                              <w:rStyle w:val="32"/>
                              <w:sz w:val="21"/>
                              <w:szCs w:val="21"/>
                            </w:rPr>
                            <w:t xml:space="preserve">—  </w:t>
                          </w:r>
                          <w:r>
                            <w:rPr>
                              <w:sz w:val="21"/>
                              <w:szCs w:val="21"/>
                            </w:rPr>
                            <w:fldChar w:fldCharType="begin"/>
                          </w:r>
                          <w:r>
                            <w:rPr>
                              <w:rStyle w:val="32"/>
                              <w:sz w:val="21"/>
                              <w:szCs w:val="21"/>
                            </w:rPr>
                            <w:instrText xml:space="preserve">PAGE  </w:instrText>
                          </w:r>
                          <w:r>
                            <w:rPr>
                              <w:sz w:val="21"/>
                              <w:szCs w:val="21"/>
                            </w:rPr>
                            <w:fldChar w:fldCharType="separate"/>
                          </w:r>
                          <w:r>
                            <w:rPr>
                              <w:rStyle w:val="32"/>
                              <w:sz w:val="21"/>
                              <w:szCs w:val="21"/>
                            </w:rPr>
                            <w:t>69</w:t>
                          </w:r>
                          <w:r>
                            <w:rPr>
                              <w:sz w:val="21"/>
                              <w:szCs w:val="21"/>
                            </w:rPr>
                            <w:fldChar w:fldCharType="end"/>
                          </w:r>
                          <w:r>
                            <w:rPr>
                              <w:rStyle w:val="32"/>
                              <w:sz w:val="21"/>
                              <w:szCs w:val="21"/>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3C8664DE">
                    <w:pPr>
                      <w:pStyle w:val="18"/>
                      <w:rPr>
                        <w:rStyle w:val="32"/>
                        <w:sz w:val="21"/>
                        <w:szCs w:val="21"/>
                      </w:rPr>
                    </w:pPr>
                    <w:r>
                      <w:rPr>
                        <w:rStyle w:val="32"/>
                        <w:sz w:val="21"/>
                        <w:szCs w:val="21"/>
                      </w:rPr>
                      <w:t xml:space="preserve">—  </w:t>
                    </w:r>
                    <w:r>
                      <w:rPr>
                        <w:sz w:val="21"/>
                        <w:szCs w:val="21"/>
                      </w:rPr>
                      <w:fldChar w:fldCharType="begin"/>
                    </w:r>
                    <w:r>
                      <w:rPr>
                        <w:rStyle w:val="32"/>
                        <w:sz w:val="21"/>
                        <w:szCs w:val="21"/>
                      </w:rPr>
                      <w:instrText xml:space="preserve">PAGE  </w:instrText>
                    </w:r>
                    <w:r>
                      <w:rPr>
                        <w:sz w:val="21"/>
                        <w:szCs w:val="21"/>
                      </w:rPr>
                      <w:fldChar w:fldCharType="separate"/>
                    </w:r>
                    <w:r>
                      <w:rPr>
                        <w:rStyle w:val="32"/>
                        <w:sz w:val="21"/>
                        <w:szCs w:val="21"/>
                      </w:rPr>
                      <w:t>69</w:t>
                    </w:r>
                    <w:r>
                      <w:rPr>
                        <w:sz w:val="21"/>
                        <w:szCs w:val="21"/>
                      </w:rPr>
                      <w:fldChar w:fldCharType="end"/>
                    </w:r>
                    <w:r>
                      <w:rPr>
                        <w:rStyle w:val="32"/>
                        <w:sz w:val="21"/>
                        <w:szCs w:val="21"/>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28B29">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401305">
                          <w:pPr>
                            <w:pStyle w:val="18"/>
                            <w:rPr>
                              <w:rStyle w:val="32"/>
                              <w:rFonts w:ascii="宋体" w:hAnsi="宋体"/>
                              <w:sz w:val="28"/>
                              <w:szCs w:val="28"/>
                            </w:rPr>
                          </w:pPr>
                          <w:r>
                            <w:rPr>
                              <w:rStyle w:val="32"/>
                              <w:sz w:val="21"/>
                              <w:szCs w:val="21"/>
                            </w:rPr>
                            <w:t xml:space="preserve">—  </w:t>
                          </w:r>
                          <w:r>
                            <w:rPr>
                              <w:sz w:val="21"/>
                              <w:szCs w:val="21"/>
                            </w:rPr>
                            <w:fldChar w:fldCharType="begin"/>
                          </w:r>
                          <w:r>
                            <w:rPr>
                              <w:rStyle w:val="32"/>
                              <w:sz w:val="21"/>
                              <w:szCs w:val="21"/>
                            </w:rPr>
                            <w:instrText xml:space="preserve">PAGE  </w:instrText>
                          </w:r>
                          <w:r>
                            <w:rPr>
                              <w:sz w:val="21"/>
                              <w:szCs w:val="21"/>
                            </w:rPr>
                            <w:fldChar w:fldCharType="separate"/>
                          </w:r>
                          <w:r>
                            <w:rPr>
                              <w:rStyle w:val="32"/>
                              <w:sz w:val="21"/>
                              <w:szCs w:val="21"/>
                            </w:rPr>
                            <w:t>89</w:t>
                          </w:r>
                          <w:r>
                            <w:rPr>
                              <w:sz w:val="21"/>
                              <w:szCs w:val="21"/>
                            </w:rPr>
                            <w:fldChar w:fldCharType="end"/>
                          </w:r>
                          <w:r>
                            <w:rPr>
                              <w:rStyle w:val="32"/>
                              <w:sz w:val="21"/>
                              <w:szCs w:val="21"/>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lUb8MBAACP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GVRvwwEAAI8DAAAOAAAAAAAAAAEAIAAAAB4BAABkcnMvZTJvRG9jLnhtbFBL&#10;BQYAAAAABgAGAFkBAABTBQAAAAA=&#10;">
              <v:fill on="f" focussize="0,0"/>
              <v:stroke on="f"/>
              <v:imagedata o:title=""/>
              <o:lock v:ext="edit" aspectratio="f"/>
              <v:textbox inset="0mm,0mm,0mm,0mm" style="mso-fit-shape-to-text:t;">
                <w:txbxContent>
                  <w:p w14:paraId="2A401305">
                    <w:pPr>
                      <w:pStyle w:val="18"/>
                      <w:rPr>
                        <w:rStyle w:val="32"/>
                        <w:rFonts w:ascii="宋体" w:hAnsi="宋体"/>
                        <w:sz w:val="28"/>
                        <w:szCs w:val="28"/>
                      </w:rPr>
                    </w:pPr>
                    <w:r>
                      <w:rPr>
                        <w:rStyle w:val="32"/>
                        <w:sz w:val="21"/>
                        <w:szCs w:val="21"/>
                      </w:rPr>
                      <w:t xml:space="preserve">—  </w:t>
                    </w:r>
                    <w:r>
                      <w:rPr>
                        <w:sz w:val="21"/>
                        <w:szCs w:val="21"/>
                      </w:rPr>
                      <w:fldChar w:fldCharType="begin"/>
                    </w:r>
                    <w:r>
                      <w:rPr>
                        <w:rStyle w:val="32"/>
                        <w:sz w:val="21"/>
                        <w:szCs w:val="21"/>
                      </w:rPr>
                      <w:instrText xml:space="preserve">PAGE  </w:instrText>
                    </w:r>
                    <w:r>
                      <w:rPr>
                        <w:sz w:val="21"/>
                        <w:szCs w:val="21"/>
                      </w:rPr>
                      <w:fldChar w:fldCharType="separate"/>
                    </w:r>
                    <w:r>
                      <w:rPr>
                        <w:rStyle w:val="32"/>
                        <w:sz w:val="21"/>
                        <w:szCs w:val="21"/>
                      </w:rPr>
                      <w:t>89</w:t>
                    </w:r>
                    <w:r>
                      <w:rPr>
                        <w:sz w:val="21"/>
                        <w:szCs w:val="21"/>
                      </w:rPr>
                      <w:fldChar w:fldCharType="end"/>
                    </w:r>
                    <w:r>
                      <w:rPr>
                        <w:rStyle w:val="32"/>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9C2D">
    <w:pPr>
      <w:pStyle w:val="1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8542B"/>
    <w:multiLevelType w:val="singleLevel"/>
    <w:tmpl w:val="8BE8542B"/>
    <w:lvl w:ilvl="0" w:tentative="0">
      <w:start w:val="4"/>
      <w:numFmt w:val="decimal"/>
      <w:suff w:val="nothing"/>
      <w:lvlText w:val="（%1）"/>
      <w:lvlJc w:val="left"/>
    </w:lvl>
  </w:abstractNum>
  <w:abstractNum w:abstractNumId="1">
    <w:nsid w:val="9E72A484"/>
    <w:multiLevelType w:val="singleLevel"/>
    <w:tmpl w:val="9E72A484"/>
    <w:lvl w:ilvl="0" w:tentative="0">
      <w:start w:val="2"/>
      <w:numFmt w:val="chineseCounting"/>
      <w:suff w:val="nothing"/>
      <w:lvlText w:val="%1、"/>
      <w:lvlJc w:val="left"/>
      <w:rPr>
        <w:rFonts w:hint="eastAsia"/>
      </w:rPr>
    </w:lvl>
  </w:abstractNum>
  <w:abstractNum w:abstractNumId="2">
    <w:nsid w:val="E2BA5FB3"/>
    <w:multiLevelType w:val="multilevel"/>
    <w:tmpl w:val="E2BA5FB3"/>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FA3E3DC6"/>
    <w:multiLevelType w:val="singleLevel"/>
    <w:tmpl w:val="FA3E3DC6"/>
    <w:lvl w:ilvl="0" w:tentative="0">
      <w:start w:val="1"/>
      <w:numFmt w:val="decimal"/>
      <w:suff w:val="nothing"/>
      <w:lvlText w:val="（%1）"/>
      <w:lvlJc w:val="left"/>
    </w:lvl>
  </w:abstractNum>
  <w:abstractNum w:abstractNumId="4">
    <w:nsid w:val="FA70498A"/>
    <w:multiLevelType w:val="singleLevel"/>
    <w:tmpl w:val="FA70498A"/>
    <w:lvl w:ilvl="0" w:tentative="0">
      <w:start w:val="1"/>
      <w:numFmt w:val="decimal"/>
      <w:suff w:val="nothing"/>
      <w:lvlText w:val="（%1）"/>
      <w:lvlJc w:val="left"/>
    </w:lvl>
  </w:abstractNum>
  <w:abstractNum w:abstractNumId="5">
    <w:nsid w:val="00000011"/>
    <w:multiLevelType w:val="multilevel"/>
    <w:tmpl w:val="00000011"/>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default" w:ascii="Times New Roman" w:hAnsi="Times New Roman" w:cs="Times New Roman"/>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1.1.%3.%4"/>
      <w:lvlJc w:val="left"/>
      <w:pPr>
        <w:tabs>
          <w:tab w:val="left" w:pos="864"/>
        </w:tabs>
        <w:ind w:left="864" w:hanging="864"/>
      </w:pPr>
      <w:rPr>
        <w:rFonts w:hint="default" w:ascii="Times New Roman" w:hAnsi="Times New Roman" w:cs="Times New Roman"/>
      </w:rPr>
    </w:lvl>
    <w:lvl w:ilvl="4" w:tentative="0">
      <w:start w:val="8"/>
      <w:numFmt w:val="decimal"/>
      <w:lvlText w:val="%1.%2.%3..%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71BB7A0"/>
    <w:multiLevelType w:val="singleLevel"/>
    <w:tmpl w:val="071BB7A0"/>
    <w:lvl w:ilvl="0" w:tentative="0">
      <w:start w:val="1"/>
      <w:numFmt w:val="decimal"/>
      <w:suff w:val="space"/>
      <w:lvlText w:val="%1."/>
      <w:lvlJc w:val="left"/>
    </w:lvl>
  </w:abstractNum>
  <w:abstractNum w:abstractNumId="7">
    <w:nsid w:val="1FD12469"/>
    <w:multiLevelType w:val="singleLevel"/>
    <w:tmpl w:val="1FD12469"/>
    <w:lvl w:ilvl="0" w:tentative="0">
      <w:start w:val="1"/>
      <w:numFmt w:val="decimal"/>
      <w:suff w:val="nothing"/>
      <w:lvlText w:val="%1、"/>
      <w:lvlJc w:val="left"/>
    </w:lvl>
  </w:abstractNum>
  <w:abstractNum w:abstractNumId="8">
    <w:nsid w:val="5EAD5517"/>
    <w:multiLevelType w:val="singleLevel"/>
    <w:tmpl w:val="5EAD5517"/>
    <w:lvl w:ilvl="0" w:tentative="0">
      <w:start w:val="1"/>
      <w:numFmt w:val="decimal"/>
      <w:suff w:val="space"/>
      <w:lvlText w:val="%1."/>
      <w:lvlJc w:val="left"/>
    </w:lvl>
  </w:abstractNum>
  <w:num w:numId="1">
    <w:abstractNumId w:val="5"/>
  </w:num>
  <w:num w:numId="2">
    <w:abstractNumId w:val="7"/>
  </w:num>
  <w:num w:numId="3">
    <w:abstractNumId w:val="8"/>
  </w:num>
  <w:num w:numId="4">
    <w:abstractNumId w:val="6"/>
  </w:num>
  <w:num w:numId="5">
    <w:abstractNumId w:val="3"/>
  </w:num>
  <w:num w:numId="6">
    <w:abstractNumId w:val="1"/>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4M2M4ZGExZWVmMzhiNGUxM2VjZDk4MTM3ZTFlMjEifQ=="/>
  </w:docVars>
  <w:rsids>
    <w:rsidRoot w:val="00172A27"/>
    <w:rsid w:val="0010325D"/>
    <w:rsid w:val="001063EC"/>
    <w:rsid w:val="00120C08"/>
    <w:rsid w:val="00172A27"/>
    <w:rsid w:val="002E4A22"/>
    <w:rsid w:val="00374FCD"/>
    <w:rsid w:val="003A39F6"/>
    <w:rsid w:val="00416146"/>
    <w:rsid w:val="00444EA8"/>
    <w:rsid w:val="005027C8"/>
    <w:rsid w:val="00562083"/>
    <w:rsid w:val="005C2D9C"/>
    <w:rsid w:val="005D08DD"/>
    <w:rsid w:val="005E301A"/>
    <w:rsid w:val="005E6E74"/>
    <w:rsid w:val="00632CFB"/>
    <w:rsid w:val="006F5AAD"/>
    <w:rsid w:val="0075377D"/>
    <w:rsid w:val="009147E8"/>
    <w:rsid w:val="009229F1"/>
    <w:rsid w:val="009444C8"/>
    <w:rsid w:val="00A109CD"/>
    <w:rsid w:val="00A834FB"/>
    <w:rsid w:val="00B23913"/>
    <w:rsid w:val="00BB1B26"/>
    <w:rsid w:val="00C5668D"/>
    <w:rsid w:val="00CC5C1C"/>
    <w:rsid w:val="00CF237C"/>
    <w:rsid w:val="00D87D5D"/>
    <w:rsid w:val="011D6B04"/>
    <w:rsid w:val="013712F7"/>
    <w:rsid w:val="013E4434"/>
    <w:rsid w:val="0158132B"/>
    <w:rsid w:val="015E042B"/>
    <w:rsid w:val="019017A5"/>
    <w:rsid w:val="01A00EF6"/>
    <w:rsid w:val="01B864A6"/>
    <w:rsid w:val="01C65AEB"/>
    <w:rsid w:val="01CA3F1A"/>
    <w:rsid w:val="01DE1451"/>
    <w:rsid w:val="0217123B"/>
    <w:rsid w:val="02195557"/>
    <w:rsid w:val="0225169A"/>
    <w:rsid w:val="022C6717"/>
    <w:rsid w:val="02306307"/>
    <w:rsid w:val="02330492"/>
    <w:rsid w:val="02396688"/>
    <w:rsid w:val="025B2919"/>
    <w:rsid w:val="02602EF3"/>
    <w:rsid w:val="026B74AB"/>
    <w:rsid w:val="027C5214"/>
    <w:rsid w:val="028C11CF"/>
    <w:rsid w:val="02910A6D"/>
    <w:rsid w:val="02A4476B"/>
    <w:rsid w:val="02EE44AB"/>
    <w:rsid w:val="02FA613C"/>
    <w:rsid w:val="031A4AA5"/>
    <w:rsid w:val="031C07A5"/>
    <w:rsid w:val="032064E7"/>
    <w:rsid w:val="03252503"/>
    <w:rsid w:val="03376194"/>
    <w:rsid w:val="035406B0"/>
    <w:rsid w:val="03657DBC"/>
    <w:rsid w:val="03681C3C"/>
    <w:rsid w:val="0371321D"/>
    <w:rsid w:val="037151E1"/>
    <w:rsid w:val="037E25AD"/>
    <w:rsid w:val="0383299A"/>
    <w:rsid w:val="03866F12"/>
    <w:rsid w:val="03887BE8"/>
    <w:rsid w:val="03C80B0E"/>
    <w:rsid w:val="03D0247D"/>
    <w:rsid w:val="03F86E92"/>
    <w:rsid w:val="04065C31"/>
    <w:rsid w:val="044E0950"/>
    <w:rsid w:val="045B2908"/>
    <w:rsid w:val="04804BE5"/>
    <w:rsid w:val="04954AC7"/>
    <w:rsid w:val="04B0389B"/>
    <w:rsid w:val="04BE7F2F"/>
    <w:rsid w:val="04C251A8"/>
    <w:rsid w:val="050D4400"/>
    <w:rsid w:val="055661F0"/>
    <w:rsid w:val="056E3AA7"/>
    <w:rsid w:val="057319E1"/>
    <w:rsid w:val="05777F55"/>
    <w:rsid w:val="058447E1"/>
    <w:rsid w:val="059B4FB4"/>
    <w:rsid w:val="05A52CDB"/>
    <w:rsid w:val="05A960B1"/>
    <w:rsid w:val="05C02D3F"/>
    <w:rsid w:val="06007623"/>
    <w:rsid w:val="061A5470"/>
    <w:rsid w:val="06274C65"/>
    <w:rsid w:val="062C51A3"/>
    <w:rsid w:val="062C77FD"/>
    <w:rsid w:val="065546FA"/>
    <w:rsid w:val="06832F27"/>
    <w:rsid w:val="06967932"/>
    <w:rsid w:val="06C25303"/>
    <w:rsid w:val="06C31862"/>
    <w:rsid w:val="073701E0"/>
    <w:rsid w:val="073E518E"/>
    <w:rsid w:val="074A3B33"/>
    <w:rsid w:val="075B0E1E"/>
    <w:rsid w:val="075E5789"/>
    <w:rsid w:val="076F0687"/>
    <w:rsid w:val="079113ED"/>
    <w:rsid w:val="07A33243"/>
    <w:rsid w:val="07B97576"/>
    <w:rsid w:val="07CC279A"/>
    <w:rsid w:val="07FC0BA5"/>
    <w:rsid w:val="0817778D"/>
    <w:rsid w:val="08224BB1"/>
    <w:rsid w:val="082A3902"/>
    <w:rsid w:val="085C5927"/>
    <w:rsid w:val="08874395"/>
    <w:rsid w:val="08955281"/>
    <w:rsid w:val="08A44F56"/>
    <w:rsid w:val="08A96734"/>
    <w:rsid w:val="08C571E9"/>
    <w:rsid w:val="08DD69A7"/>
    <w:rsid w:val="08FC5D10"/>
    <w:rsid w:val="094743B8"/>
    <w:rsid w:val="09487A5D"/>
    <w:rsid w:val="095E5D5B"/>
    <w:rsid w:val="09616F12"/>
    <w:rsid w:val="096524D8"/>
    <w:rsid w:val="096B2603"/>
    <w:rsid w:val="09722ECD"/>
    <w:rsid w:val="097474D2"/>
    <w:rsid w:val="09790580"/>
    <w:rsid w:val="099E68CA"/>
    <w:rsid w:val="09A257B5"/>
    <w:rsid w:val="09B72FD5"/>
    <w:rsid w:val="09EC5A5A"/>
    <w:rsid w:val="09EC5D48"/>
    <w:rsid w:val="0A1B63A6"/>
    <w:rsid w:val="0A344626"/>
    <w:rsid w:val="0A735578"/>
    <w:rsid w:val="0A7B4003"/>
    <w:rsid w:val="0AB55FCE"/>
    <w:rsid w:val="0AB62AFB"/>
    <w:rsid w:val="0AE13189"/>
    <w:rsid w:val="0B1528F9"/>
    <w:rsid w:val="0B156206"/>
    <w:rsid w:val="0B240F3C"/>
    <w:rsid w:val="0B8C1197"/>
    <w:rsid w:val="0B911F10"/>
    <w:rsid w:val="0BAD2ED2"/>
    <w:rsid w:val="0BE208BB"/>
    <w:rsid w:val="0BF144C1"/>
    <w:rsid w:val="0C014219"/>
    <w:rsid w:val="0C0900EC"/>
    <w:rsid w:val="0C0B58EB"/>
    <w:rsid w:val="0C1F4EFC"/>
    <w:rsid w:val="0C28767C"/>
    <w:rsid w:val="0C59315A"/>
    <w:rsid w:val="0C6E02C3"/>
    <w:rsid w:val="0C7233D5"/>
    <w:rsid w:val="0C756277"/>
    <w:rsid w:val="0C886EAB"/>
    <w:rsid w:val="0CB74C75"/>
    <w:rsid w:val="0CBF689E"/>
    <w:rsid w:val="0CCF4ADA"/>
    <w:rsid w:val="0CD92991"/>
    <w:rsid w:val="0CDB522D"/>
    <w:rsid w:val="0CDD2D53"/>
    <w:rsid w:val="0D272220"/>
    <w:rsid w:val="0D2E7A52"/>
    <w:rsid w:val="0D52320D"/>
    <w:rsid w:val="0D6B65B1"/>
    <w:rsid w:val="0D71793F"/>
    <w:rsid w:val="0DA357BC"/>
    <w:rsid w:val="0DDA54E4"/>
    <w:rsid w:val="0DE969F5"/>
    <w:rsid w:val="0DF2282E"/>
    <w:rsid w:val="0E10604C"/>
    <w:rsid w:val="0E5139F9"/>
    <w:rsid w:val="0E6F1446"/>
    <w:rsid w:val="0E822A7B"/>
    <w:rsid w:val="0E981627"/>
    <w:rsid w:val="0E990EFC"/>
    <w:rsid w:val="0EBD766F"/>
    <w:rsid w:val="0ECF0348"/>
    <w:rsid w:val="0ECF0DC1"/>
    <w:rsid w:val="0ED46FF4"/>
    <w:rsid w:val="0EDE2E32"/>
    <w:rsid w:val="0F1261B5"/>
    <w:rsid w:val="0F2442D0"/>
    <w:rsid w:val="0F307AB2"/>
    <w:rsid w:val="0F364F64"/>
    <w:rsid w:val="0F386966"/>
    <w:rsid w:val="0F672DA8"/>
    <w:rsid w:val="0F704E24"/>
    <w:rsid w:val="0F815B3A"/>
    <w:rsid w:val="0FA83AEC"/>
    <w:rsid w:val="0FB00BF3"/>
    <w:rsid w:val="0FDA3993"/>
    <w:rsid w:val="101A606C"/>
    <w:rsid w:val="1062516B"/>
    <w:rsid w:val="108B6001"/>
    <w:rsid w:val="10905347"/>
    <w:rsid w:val="10965A4C"/>
    <w:rsid w:val="10AA1917"/>
    <w:rsid w:val="10DB1C9F"/>
    <w:rsid w:val="110D5EA1"/>
    <w:rsid w:val="111E1B8C"/>
    <w:rsid w:val="113118BF"/>
    <w:rsid w:val="113403E1"/>
    <w:rsid w:val="113523F9"/>
    <w:rsid w:val="114E421F"/>
    <w:rsid w:val="11665B93"/>
    <w:rsid w:val="116A5B8A"/>
    <w:rsid w:val="118624C2"/>
    <w:rsid w:val="118D733C"/>
    <w:rsid w:val="1196580E"/>
    <w:rsid w:val="119D51A7"/>
    <w:rsid w:val="11A025A1"/>
    <w:rsid w:val="11B34B60"/>
    <w:rsid w:val="11E449FB"/>
    <w:rsid w:val="11FD79F3"/>
    <w:rsid w:val="12084DCB"/>
    <w:rsid w:val="120C4828"/>
    <w:rsid w:val="12212427"/>
    <w:rsid w:val="1227056E"/>
    <w:rsid w:val="1236575B"/>
    <w:rsid w:val="12412893"/>
    <w:rsid w:val="126B56C5"/>
    <w:rsid w:val="127C1650"/>
    <w:rsid w:val="12B037A6"/>
    <w:rsid w:val="12B96010"/>
    <w:rsid w:val="12C03B5D"/>
    <w:rsid w:val="12C14EC5"/>
    <w:rsid w:val="12CA1FCB"/>
    <w:rsid w:val="12D9220E"/>
    <w:rsid w:val="130001DF"/>
    <w:rsid w:val="13141F14"/>
    <w:rsid w:val="133A375B"/>
    <w:rsid w:val="134C0C32"/>
    <w:rsid w:val="13605183"/>
    <w:rsid w:val="13837C04"/>
    <w:rsid w:val="13897791"/>
    <w:rsid w:val="13AC16D1"/>
    <w:rsid w:val="13B75003"/>
    <w:rsid w:val="13D33102"/>
    <w:rsid w:val="13DC6DA3"/>
    <w:rsid w:val="13EC6C09"/>
    <w:rsid w:val="13EF7010"/>
    <w:rsid w:val="13F177A9"/>
    <w:rsid w:val="13F81DA6"/>
    <w:rsid w:val="141422D1"/>
    <w:rsid w:val="14735C67"/>
    <w:rsid w:val="149E54BE"/>
    <w:rsid w:val="14A64D0A"/>
    <w:rsid w:val="14AC00D3"/>
    <w:rsid w:val="14B2687F"/>
    <w:rsid w:val="14CB1474"/>
    <w:rsid w:val="14F70FB0"/>
    <w:rsid w:val="15023C9F"/>
    <w:rsid w:val="150D0637"/>
    <w:rsid w:val="1513629E"/>
    <w:rsid w:val="151C7951"/>
    <w:rsid w:val="15374922"/>
    <w:rsid w:val="155572BB"/>
    <w:rsid w:val="15736C5A"/>
    <w:rsid w:val="15826454"/>
    <w:rsid w:val="158D422C"/>
    <w:rsid w:val="158E72E0"/>
    <w:rsid w:val="15A6695E"/>
    <w:rsid w:val="15B17473"/>
    <w:rsid w:val="160055BA"/>
    <w:rsid w:val="160D27D8"/>
    <w:rsid w:val="162B0BFF"/>
    <w:rsid w:val="1650152B"/>
    <w:rsid w:val="16544BEE"/>
    <w:rsid w:val="165F575E"/>
    <w:rsid w:val="166A2C37"/>
    <w:rsid w:val="168F11B0"/>
    <w:rsid w:val="169C7F0D"/>
    <w:rsid w:val="16B54D41"/>
    <w:rsid w:val="16D231FD"/>
    <w:rsid w:val="16E44C4A"/>
    <w:rsid w:val="16FC6945"/>
    <w:rsid w:val="17167E37"/>
    <w:rsid w:val="173156E5"/>
    <w:rsid w:val="17377504"/>
    <w:rsid w:val="17393D38"/>
    <w:rsid w:val="173A28B0"/>
    <w:rsid w:val="174D34AF"/>
    <w:rsid w:val="175B1444"/>
    <w:rsid w:val="176D1EAB"/>
    <w:rsid w:val="1780431C"/>
    <w:rsid w:val="178843F6"/>
    <w:rsid w:val="17996FA7"/>
    <w:rsid w:val="179D1A5D"/>
    <w:rsid w:val="17AE0BAF"/>
    <w:rsid w:val="17BB446E"/>
    <w:rsid w:val="17C414AC"/>
    <w:rsid w:val="17D8106B"/>
    <w:rsid w:val="17FD6E5C"/>
    <w:rsid w:val="18172DB1"/>
    <w:rsid w:val="1826423B"/>
    <w:rsid w:val="182933AA"/>
    <w:rsid w:val="188622FA"/>
    <w:rsid w:val="188B5D59"/>
    <w:rsid w:val="188B7B07"/>
    <w:rsid w:val="188E3A9B"/>
    <w:rsid w:val="18A31D92"/>
    <w:rsid w:val="18A45455"/>
    <w:rsid w:val="18C85003"/>
    <w:rsid w:val="18D25736"/>
    <w:rsid w:val="18D97445"/>
    <w:rsid w:val="18DB28FE"/>
    <w:rsid w:val="18EA4A46"/>
    <w:rsid w:val="18F41B50"/>
    <w:rsid w:val="192F0DDA"/>
    <w:rsid w:val="193A2869"/>
    <w:rsid w:val="194F5495"/>
    <w:rsid w:val="19562C1E"/>
    <w:rsid w:val="19900F58"/>
    <w:rsid w:val="19A60971"/>
    <w:rsid w:val="19D2780C"/>
    <w:rsid w:val="19D73480"/>
    <w:rsid w:val="19DF3414"/>
    <w:rsid w:val="19F618F8"/>
    <w:rsid w:val="1A111F49"/>
    <w:rsid w:val="1A153E86"/>
    <w:rsid w:val="1A385FE0"/>
    <w:rsid w:val="1A7647E7"/>
    <w:rsid w:val="1A83746A"/>
    <w:rsid w:val="1A9E092D"/>
    <w:rsid w:val="1AA9113E"/>
    <w:rsid w:val="1ADE7B7C"/>
    <w:rsid w:val="1AE101ED"/>
    <w:rsid w:val="1AE41750"/>
    <w:rsid w:val="1B5E1503"/>
    <w:rsid w:val="1B7776DA"/>
    <w:rsid w:val="1B7D1581"/>
    <w:rsid w:val="1B8C2902"/>
    <w:rsid w:val="1B9B5D8B"/>
    <w:rsid w:val="1BA86C22"/>
    <w:rsid w:val="1BCA7194"/>
    <w:rsid w:val="1BE54C05"/>
    <w:rsid w:val="1C093B64"/>
    <w:rsid w:val="1C10132B"/>
    <w:rsid w:val="1C394FAC"/>
    <w:rsid w:val="1C6F14EE"/>
    <w:rsid w:val="1C8C20A0"/>
    <w:rsid w:val="1C8E0719"/>
    <w:rsid w:val="1CB82F4C"/>
    <w:rsid w:val="1CED1570"/>
    <w:rsid w:val="1D01375A"/>
    <w:rsid w:val="1D374A34"/>
    <w:rsid w:val="1D3D1123"/>
    <w:rsid w:val="1D5A219E"/>
    <w:rsid w:val="1D66036A"/>
    <w:rsid w:val="1D76522A"/>
    <w:rsid w:val="1D831DB9"/>
    <w:rsid w:val="1D955E69"/>
    <w:rsid w:val="1DAC16C4"/>
    <w:rsid w:val="1DD43CFE"/>
    <w:rsid w:val="1DD7576E"/>
    <w:rsid w:val="1E2507F6"/>
    <w:rsid w:val="1E3364FB"/>
    <w:rsid w:val="1E3C465E"/>
    <w:rsid w:val="1E482A46"/>
    <w:rsid w:val="1E550C56"/>
    <w:rsid w:val="1E6A5518"/>
    <w:rsid w:val="1E7B6870"/>
    <w:rsid w:val="1ECC2C27"/>
    <w:rsid w:val="1F1A7E37"/>
    <w:rsid w:val="1F3D3AAB"/>
    <w:rsid w:val="1F4D67B7"/>
    <w:rsid w:val="1F5D7D23"/>
    <w:rsid w:val="1F6A2B6C"/>
    <w:rsid w:val="1FAE67DF"/>
    <w:rsid w:val="1FE90DAE"/>
    <w:rsid w:val="20171784"/>
    <w:rsid w:val="201F568F"/>
    <w:rsid w:val="203171E6"/>
    <w:rsid w:val="2036437B"/>
    <w:rsid w:val="203E7571"/>
    <w:rsid w:val="204D202B"/>
    <w:rsid w:val="20915E36"/>
    <w:rsid w:val="209E2005"/>
    <w:rsid w:val="20C27BA9"/>
    <w:rsid w:val="20E4503D"/>
    <w:rsid w:val="20F43E19"/>
    <w:rsid w:val="210448FA"/>
    <w:rsid w:val="21293D11"/>
    <w:rsid w:val="212C3625"/>
    <w:rsid w:val="2148258B"/>
    <w:rsid w:val="216B6B23"/>
    <w:rsid w:val="218C24AB"/>
    <w:rsid w:val="219043E0"/>
    <w:rsid w:val="21A73A23"/>
    <w:rsid w:val="21B24A8A"/>
    <w:rsid w:val="21B47146"/>
    <w:rsid w:val="21C0786D"/>
    <w:rsid w:val="21E5472C"/>
    <w:rsid w:val="21FC7CDC"/>
    <w:rsid w:val="21FF3286"/>
    <w:rsid w:val="222B6AC1"/>
    <w:rsid w:val="223B027D"/>
    <w:rsid w:val="22642663"/>
    <w:rsid w:val="227317B0"/>
    <w:rsid w:val="227635D6"/>
    <w:rsid w:val="22784224"/>
    <w:rsid w:val="229C464B"/>
    <w:rsid w:val="22AF4D3A"/>
    <w:rsid w:val="22E301B9"/>
    <w:rsid w:val="23141C04"/>
    <w:rsid w:val="23254F4A"/>
    <w:rsid w:val="237B69CA"/>
    <w:rsid w:val="238241FC"/>
    <w:rsid w:val="23880F76"/>
    <w:rsid w:val="23AA4885"/>
    <w:rsid w:val="23B24AE2"/>
    <w:rsid w:val="23D0188B"/>
    <w:rsid w:val="240C570C"/>
    <w:rsid w:val="241C01AD"/>
    <w:rsid w:val="241D06E4"/>
    <w:rsid w:val="24423E1C"/>
    <w:rsid w:val="24514BB1"/>
    <w:rsid w:val="24521ABD"/>
    <w:rsid w:val="24541D52"/>
    <w:rsid w:val="246345F9"/>
    <w:rsid w:val="24764FE2"/>
    <w:rsid w:val="247D4CF8"/>
    <w:rsid w:val="248B1079"/>
    <w:rsid w:val="24AD52AB"/>
    <w:rsid w:val="24B62863"/>
    <w:rsid w:val="24C27A5F"/>
    <w:rsid w:val="24C545D0"/>
    <w:rsid w:val="24E011DB"/>
    <w:rsid w:val="24E14EC0"/>
    <w:rsid w:val="24E23123"/>
    <w:rsid w:val="2503311B"/>
    <w:rsid w:val="250C5403"/>
    <w:rsid w:val="25184439"/>
    <w:rsid w:val="25305FEF"/>
    <w:rsid w:val="25440808"/>
    <w:rsid w:val="256C16CF"/>
    <w:rsid w:val="256D0B8F"/>
    <w:rsid w:val="25706A02"/>
    <w:rsid w:val="25851C68"/>
    <w:rsid w:val="259279F3"/>
    <w:rsid w:val="25BA4188"/>
    <w:rsid w:val="25C23CAD"/>
    <w:rsid w:val="25C40AFC"/>
    <w:rsid w:val="25EB7A70"/>
    <w:rsid w:val="26081D36"/>
    <w:rsid w:val="26477832"/>
    <w:rsid w:val="265F6773"/>
    <w:rsid w:val="268541F7"/>
    <w:rsid w:val="26940800"/>
    <w:rsid w:val="26AF7534"/>
    <w:rsid w:val="26B80E70"/>
    <w:rsid w:val="26C4386A"/>
    <w:rsid w:val="26D10F46"/>
    <w:rsid w:val="27164361"/>
    <w:rsid w:val="27257379"/>
    <w:rsid w:val="272974C5"/>
    <w:rsid w:val="27526F54"/>
    <w:rsid w:val="275638B7"/>
    <w:rsid w:val="276022E1"/>
    <w:rsid w:val="277A3B68"/>
    <w:rsid w:val="27A43691"/>
    <w:rsid w:val="27A961FC"/>
    <w:rsid w:val="27B8643F"/>
    <w:rsid w:val="27BB17AB"/>
    <w:rsid w:val="27C93064"/>
    <w:rsid w:val="27CB2730"/>
    <w:rsid w:val="27D03E27"/>
    <w:rsid w:val="27D91BC1"/>
    <w:rsid w:val="27E636D5"/>
    <w:rsid w:val="27F82F94"/>
    <w:rsid w:val="27FE1768"/>
    <w:rsid w:val="281318C7"/>
    <w:rsid w:val="281C4C20"/>
    <w:rsid w:val="282E424F"/>
    <w:rsid w:val="28427CEE"/>
    <w:rsid w:val="28486FC8"/>
    <w:rsid w:val="286C44DE"/>
    <w:rsid w:val="2879797C"/>
    <w:rsid w:val="288B5901"/>
    <w:rsid w:val="28A177A0"/>
    <w:rsid w:val="290851A4"/>
    <w:rsid w:val="290A26C1"/>
    <w:rsid w:val="290C07F0"/>
    <w:rsid w:val="29286271"/>
    <w:rsid w:val="29364810"/>
    <w:rsid w:val="2939710B"/>
    <w:rsid w:val="294D3453"/>
    <w:rsid w:val="29534671"/>
    <w:rsid w:val="29622B06"/>
    <w:rsid w:val="297D349C"/>
    <w:rsid w:val="2985412C"/>
    <w:rsid w:val="299A22A0"/>
    <w:rsid w:val="29AB2A0C"/>
    <w:rsid w:val="29B91982"/>
    <w:rsid w:val="29C037A2"/>
    <w:rsid w:val="29CD6B89"/>
    <w:rsid w:val="29F26320"/>
    <w:rsid w:val="2A077209"/>
    <w:rsid w:val="2A357674"/>
    <w:rsid w:val="2A4F6835"/>
    <w:rsid w:val="2A8B0A88"/>
    <w:rsid w:val="2AA077A9"/>
    <w:rsid w:val="2AC139B6"/>
    <w:rsid w:val="2AC754C9"/>
    <w:rsid w:val="2AD24543"/>
    <w:rsid w:val="2AD810F2"/>
    <w:rsid w:val="2ADC0696"/>
    <w:rsid w:val="2AF227DB"/>
    <w:rsid w:val="2AFC6824"/>
    <w:rsid w:val="2AFE7854"/>
    <w:rsid w:val="2B053749"/>
    <w:rsid w:val="2B110340"/>
    <w:rsid w:val="2B2A4FBA"/>
    <w:rsid w:val="2B2D343B"/>
    <w:rsid w:val="2B485D0A"/>
    <w:rsid w:val="2B7B7EAF"/>
    <w:rsid w:val="2B861596"/>
    <w:rsid w:val="2B8B17E5"/>
    <w:rsid w:val="2B914BF8"/>
    <w:rsid w:val="2BBE5251"/>
    <w:rsid w:val="2BDE56B1"/>
    <w:rsid w:val="2BE944A6"/>
    <w:rsid w:val="2BF729CA"/>
    <w:rsid w:val="2C0559CB"/>
    <w:rsid w:val="2C183950"/>
    <w:rsid w:val="2C2C2A74"/>
    <w:rsid w:val="2C2F02F7"/>
    <w:rsid w:val="2C5F50DB"/>
    <w:rsid w:val="2C813804"/>
    <w:rsid w:val="2C8C6029"/>
    <w:rsid w:val="2C9F2D8C"/>
    <w:rsid w:val="2CE43832"/>
    <w:rsid w:val="2D2F51E1"/>
    <w:rsid w:val="2D55028C"/>
    <w:rsid w:val="2D591084"/>
    <w:rsid w:val="2D74105A"/>
    <w:rsid w:val="2D984045"/>
    <w:rsid w:val="2DB8125F"/>
    <w:rsid w:val="2DE41E6C"/>
    <w:rsid w:val="2DF00A75"/>
    <w:rsid w:val="2DF06932"/>
    <w:rsid w:val="2DFF3C8A"/>
    <w:rsid w:val="2E0028ED"/>
    <w:rsid w:val="2E110657"/>
    <w:rsid w:val="2E195DAB"/>
    <w:rsid w:val="2E3F51C4"/>
    <w:rsid w:val="2E452230"/>
    <w:rsid w:val="2E7F7CB6"/>
    <w:rsid w:val="2E825006"/>
    <w:rsid w:val="2EA805D1"/>
    <w:rsid w:val="2EB109D4"/>
    <w:rsid w:val="2EC460C7"/>
    <w:rsid w:val="2ECB3D1C"/>
    <w:rsid w:val="2EE7693B"/>
    <w:rsid w:val="2EFC7E35"/>
    <w:rsid w:val="2F0D5BDD"/>
    <w:rsid w:val="2F3E191F"/>
    <w:rsid w:val="2F4F65F6"/>
    <w:rsid w:val="2F542FD3"/>
    <w:rsid w:val="2F9D57F5"/>
    <w:rsid w:val="2FC3211A"/>
    <w:rsid w:val="2FD5620D"/>
    <w:rsid w:val="2FF16992"/>
    <w:rsid w:val="3002269C"/>
    <w:rsid w:val="3006765E"/>
    <w:rsid w:val="302369A0"/>
    <w:rsid w:val="3037155E"/>
    <w:rsid w:val="30636D6A"/>
    <w:rsid w:val="306C26A5"/>
    <w:rsid w:val="3074566C"/>
    <w:rsid w:val="30A27C8C"/>
    <w:rsid w:val="30C16364"/>
    <w:rsid w:val="30E2531A"/>
    <w:rsid w:val="30F47787"/>
    <w:rsid w:val="315D7CF4"/>
    <w:rsid w:val="315E0057"/>
    <w:rsid w:val="31790130"/>
    <w:rsid w:val="31A7649B"/>
    <w:rsid w:val="31B11537"/>
    <w:rsid w:val="31ED79B6"/>
    <w:rsid w:val="32471994"/>
    <w:rsid w:val="324A3D66"/>
    <w:rsid w:val="325D4D96"/>
    <w:rsid w:val="32692EC4"/>
    <w:rsid w:val="32B12408"/>
    <w:rsid w:val="32CC5088"/>
    <w:rsid w:val="32EA4571"/>
    <w:rsid w:val="33031D06"/>
    <w:rsid w:val="33161AA5"/>
    <w:rsid w:val="33230CC0"/>
    <w:rsid w:val="335A5584"/>
    <w:rsid w:val="335C63EC"/>
    <w:rsid w:val="33714B1A"/>
    <w:rsid w:val="33727E2A"/>
    <w:rsid w:val="33927242"/>
    <w:rsid w:val="33B2727C"/>
    <w:rsid w:val="33BA68BB"/>
    <w:rsid w:val="33C01B31"/>
    <w:rsid w:val="33D63266"/>
    <w:rsid w:val="33E331F3"/>
    <w:rsid w:val="34097CFD"/>
    <w:rsid w:val="34360E17"/>
    <w:rsid w:val="34406C1D"/>
    <w:rsid w:val="34456E68"/>
    <w:rsid w:val="345B5F6C"/>
    <w:rsid w:val="34617A87"/>
    <w:rsid w:val="34A915E9"/>
    <w:rsid w:val="34CC177B"/>
    <w:rsid w:val="34E20310"/>
    <w:rsid w:val="356806DB"/>
    <w:rsid w:val="357911F0"/>
    <w:rsid w:val="357F234A"/>
    <w:rsid w:val="3584634D"/>
    <w:rsid w:val="358D457B"/>
    <w:rsid w:val="35A428FB"/>
    <w:rsid w:val="35D13824"/>
    <w:rsid w:val="35FD01CA"/>
    <w:rsid w:val="36174C78"/>
    <w:rsid w:val="36176A26"/>
    <w:rsid w:val="36230A15"/>
    <w:rsid w:val="36257395"/>
    <w:rsid w:val="363D7BD6"/>
    <w:rsid w:val="3650458C"/>
    <w:rsid w:val="3660217B"/>
    <w:rsid w:val="367D2D2D"/>
    <w:rsid w:val="368D0A96"/>
    <w:rsid w:val="36AA5AEC"/>
    <w:rsid w:val="36D35099"/>
    <w:rsid w:val="36E13C33"/>
    <w:rsid w:val="370B74F7"/>
    <w:rsid w:val="37172471"/>
    <w:rsid w:val="371D28E3"/>
    <w:rsid w:val="372B37F4"/>
    <w:rsid w:val="372D208E"/>
    <w:rsid w:val="37312024"/>
    <w:rsid w:val="37394EDD"/>
    <w:rsid w:val="373B04F2"/>
    <w:rsid w:val="37447158"/>
    <w:rsid w:val="37734130"/>
    <w:rsid w:val="377A09E1"/>
    <w:rsid w:val="377D0B0B"/>
    <w:rsid w:val="378310CF"/>
    <w:rsid w:val="37956480"/>
    <w:rsid w:val="37971BCD"/>
    <w:rsid w:val="37A37E89"/>
    <w:rsid w:val="37A70BA6"/>
    <w:rsid w:val="37AC319E"/>
    <w:rsid w:val="37F04614"/>
    <w:rsid w:val="37FE6295"/>
    <w:rsid w:val="381B6991"/>
    <w:rsid w:val="385D07A8"/>
    <w:rsid w:val="38765C86"/>
    <w:rsid w:val="38796B19"/>
    <w:rsid w:val="38896EF8"/>
    <w:rsid w:val="388C54AA"/>
    <w:rsid w:val="38B86D12"/>
    <w:rsid w:val="38C34093"/>
    <w:rsid w:val="38F1355F"/>
    <w:rsid w:val="39032117"/>
    <w:rsid w:val="391E4D7B"/>
    <w:rsid w:val="3930052B"/>
    <w:rsid w:val="3936185D"/>
    <w:rsid w:val="39455658"/>
    <w:rsid w:val="396A7F90"/>
    <w:rsid w:val="398048E2"/>
    <w:rsid w:val="39A75028"/>
    <w:rsid w:val="39BC25C2"/>
    <w:rsid w:val="39D16577"/>
    <w:rsid w:val="39F63B7A"/>
    <w:rsid w:val="3A0F667C"/>
    <w:rsid w:val="3A12378C"/>
    <w:rsid w:val="3A1B06CC"/>
    <w:rsid w:val="3A29615B"/>
    <w:rsid w:val="3A576711"/>
    <w:rsid w:val="3A6C58FE"/>
    <w:rsid w:val="3A865D4B"/>
    <w:rsid w:val="3AB20225"/>
    <w:rsid w:val="3AD713B6"/>
    <w:rsid w:val="3AD72629"/>
    <w:rsid w:val="3AF76271"/>
    <w:rsid w:val="3AFF078A"/>
    <w:rsid w:val="3B141786"/>
    <w:rsid w:val="3B1A3241"/>
    <w:rsid w:val="3B2F6145"/>
    <w:rsid w:val="3B2F7AE5"/>
    <w:rsid w:val="3B3D4878"/>
    <w:rsid w:val="3B467D27"/>
    <w:rsid w:val="3B592632"/>
    <w:rsid w:val="3B716BD9"/>
    <w:rsid w:val="3B8902F8"/>
    <w:rsid w:val="3B9E0693"/>
    <w:rsid w:val="3BA153CE"/>
    <w:rsid w:val="3BAD44FF"/>
    <w:rsid w:val="3BBA5B42"/>
    <w:rsid w:val="3BD57167"/>
    <w:rsid w:val="3BD61EF1"/>
    <w:rsid w:val="3BEC4ABF"/>
    <w:rsid w:val="3BF84C04"/>
    <w:rsid w:val="3BFB3AF4"/>
    <w:rsid w:val="3C035D55"/>
    <w:rsid w:val="3C115975"/>
    <w:rsid w:val="3C264BB7"/>
    <w:rsid w:val="3C805325"/>
    <w:rsid w:val="3C9E57AB"/>
    <w:rsid w:val="3CB821C1"/>
    <w:rsid w:val="3CB925E5"/>
    <w:rsid w:val="3CE8084F"/>
    <w:rsid w:val="3D0D46DF"/>
    <w:rsid w:val="3D163CE8"/>
    <w:rsid w:val="3D325F9F"/>
    <w:rsid w:val="3D475E43"/>
    <w:rsid w:val="3D7309E6"/>
    <w:rsid w:val="3D967E84"/>
    <w:rsid w:val="3DA74B34"/>
    <w:rsid w:val="3DC54FBA"/>
    <w:rsid w:val="3DEB4A20"/>
    <w:rsid w:val="3DF5764D"/>
    <w:rsid w:val="3E251715"/>
    <w:rsid w:val="3E353EED"/>
    <w:rsid w:val="3E3747F5"/>
    <w:rsid w:val="3E427BE2"/>
    <w:rsid w:val="3E630DB5"/>
    <w:rsid w:val="3EAD617A"/>
    <w:rsid w:val="3ECC23C8"/>
    <w:rsid w:val="3ECE64A6"/>
    <w:rsid w:val="3EE66501"/>
    <w:rsid w:val="3F246788"/>
    <w:rsid w:val="3F2A558E"/>
    <w:rsid w:val="3F2C3542"/>
    <w:rsid w:val="3F440E4D"/>
    <w:rsid w:val="3FD339BE"/>
    <w:rsid w:val="3FEF061D"/>
    <w:rsid w:val="401936D5"/>
    <w:rsid w:val="401D10DD"/>
    <w:rsid w:val="402932CE"/>
    <w:rsid w:val="40362FE4"/>
    <w:rsid w:val="40746496"/>
    <w:rsid w:val="408D0011"/>
    <w:rsid w:val="4093102A"/>
    <w:rsid w:val="40986A50"/>
    <w:rsid w:val="40B82BB4"/>
    <w:rsid w:val="40D5220D"/>
    <w:rsid w:val="40E439A9"/>
    <w:rsid w:val="4104470D"/>
    <w:rsid w:val="411D28A5"/>
    <w:rsid w:val="413B5CC2"/>
    <w:rsid w:val="41405B24"/>
    <w:rsid w:val="41450AC0"/>
    <w:rsid w:val="41456B3D"/>
    <w:rsid w:val="415C005D"/>
    <w:rsid w:val="415E375B"/>
    <w:rsid w:val="415F0503"/>
    <w:rsid w:val="41631C9E"/>
    <w:rsid w:val="416D1FB5"/>
    <w:rsid w:val="416E7E42"/>
    <w:rsid w:val="4189259F"/>
    <w:rsid w:val="41AE55AF"/>
    <w:rsid w:val="41B521C6"/>
    <w:rsid w:val="41B94E35"/>
    <w:rsid w:val="41C64866"/>
    <w:rsid w:val="41EB0013"/>
    <w:rsid w:val="41F41EE8"/>
    <w:rsid w:val="42211D58"/>
    <w:rsid w:val="42300F20"/>
    <w:rsid w:val="423606A7"/>
    <w:rsid w:val="423654AA"/>
    <w:rsid w:val="423D5A66"/>
    <w:rsid w:val="42435193"/>
    <w:rsid w:val="425047E2"/>
    <w:rsid w:val="42693697"/>
    <w:rsid w:val="42734FE4"/>
    <w:rsid w:val="42902085"/>
    <w:rsid w:val="429A76AC"/>
    <w:rsid w:val="42B43E00"/>
    <w:rsid w:val="42B45D29"/>
    <w:rsid w:val="42C0576D"/>
    <w:rsid w:val="42E16FD9"/>
    <w:rsid w:val="4373393C"/>
    <w:rsid w:val="438157AC"/>
    <w:rsid w:val="43922065"/>
    <w:rsid w:val="43936CED"/>
    <w:rsid w:val="43A810A4"/>
    <w:rsid w:val="43AA1F96"/>
    <w:rsid w:val="43BB30E7"/>
    <w:rsid w:val="43D0127A"/>
    <w:rsid w:val="43D16466"/>
    <w:rsid w:val="43E343D6"/>
    <w:rsid w:val="43FB3750"/>
    <w:rsid w:val="44044A8E"/>
    <w:rsid w:val="44077AAB"/>
    <w:rsid w:val="443313BA"/>
    <w:rsid w:val="443864E5"/>
    <w:rsid w:val="44492EBF"/>
    <w:rsid w:val="446F7CE6"/>
    <w:rsid w:val="44703ED1"/>
    <w:rsid w:val="4473751E"/>
    <w:rsid w:val="44790984"/>
    <w:rsid w:val="448205F6"/>
    <w:rsid w:val="449553A0"/>
    <w:rsid w:val="449702A6"/>
    <w:rsid w:val="449F47B6"/>
    <w:rsid w:val="44BC6A57"/>
    <w:rsid w:val="45097E82"/>
    <w:rsid w:val="4530572C"/>
    <w:rsid w:val="456D21BF"/>
    <w:rsid w:val="45811CB6"/>
    <w:rsid w:val="45B142AF"/>
    <w:rsid w:val="45B60184"/>
    <w:rsid w:val="45BD64D8"/>
    <w:rsid w:val="45C2701C"/>
    <w:rsid w:val="45CA4C23"/>
    <w:rsid w:val="462017EC"/>
    <w:rsid w:val="46511B97"/>
    <w:rsid w:val="465D7524"/>
    <w:rsid w:val="469B791C"/>
    <w:rsid w:val="469D2F78"/>
    <w:rsid w:val="46AA5F8D"/>
    <w:rsid w:val="46BC7452"/>
    <w:rsid w:val="46D85D5E"/>
    <w:rsid w:val="46F4323F"/>
    <w:rsid w:val="470438CA"/>
    <w:rsid w:val="47217705"/>
    <w:rsid w:val="473C4F6F"/>
    <w:rsid w:val="4746716B"/>
    <w:rsid w:val="474F6F19"/>
    <w:rsid w:val="475C692C"/>
    <w:rsid w:val="476E544C"/>
    <w:rsid w:val="477F5981"/>
    <w:rsid w:val="478E6628"/>
    <w:rsid w:val="47A06E68"/>
    <w:rsid w:val="47FC782A"/>
    <w:rsid w:val="48086C87"/>
    <w:rsid w:val="48141018"/>
    <w:rsid w:val="481918C6"/>
    <w:rsid w:val="4839282C"/>
    <w:rsid w:val="485458B8"/>
    <w:rsid w:val="487B4BF3"/>
    <w:rsid w:val="4882590A"/>
    <w:rsid w:val="48934632"/>
    <w:rsid w:val="48A4648D"/>
    <w:rsid w:val="48BD4D1A"/>
    <w:rsid w:val="490A25FE"/>
    <w:rsid w:val="49117333"/>
    <w:rsid w:val="49296D45"/>
    <w:rsid w:val="494065B7"/>
    <w:rsid w:val="494C64EF"/>
    <w:rsid w:val="49645D3D"/>
    <w:rsid w:val="496B4C67"/>
    <w:rsid w:val="49911CEF"/>
    <w:rsid w:val="49C5081B"/>
    <w:rsid w:val="49CB5B4B"/>
    <w:rsid w:val="49E349B9"/>
    <w:rsid w:val="49E8450A"/>
    <w:rsid w:val="49E907DF"/>
    <w:rsid w:val="4A04037B"/>
    <w:rsid w:val="4A2D1C55"/>
    <w:rsid w:val="4A4F4589"/>
    <w:rsid w:val="4A655B5A"/>
    <w:rsid w:val="4AAA61F4"/>
    <w:rsid w:val="4AAB083D"/>
    <w:rsid w:val="4AB43564"/>
    <w:rsid w:val="4AB8450D"/>
    <w:rsid w:val="4AC4343D"/>
    <w:rsid w:val="4AD55A81"/>
    <w:rsid w:val="4B0215FB"/>
    <w:rsid w:val="4B1441B4"/>
    <w:rsid w:val="4B6865FA"/>
    <w:rsid w:val="4BAD1567"/>
    <w:rsid w:val="4BB335D6"/>
    <w:rsid w:val="4BB4042C"/>
    <w:rsid w:val="4BE276E1"/>
    <w:rsid w:val="4BE92E8F"/>
    <w:rsid w:val="4C25512E"/>
    <w:rsid w:val="4C3A40A4"/>
    <w:rsid w:val="4C6228AF"/>
    <w:rsid w:val="4C64644D"/>
    <w:rsid w:val="4C7909E7"/>
    <w:rsid w:val="4C7D53DD"/>
    <w:rsid w:val="4C8A5D4C"/>
    <w:rsid w:val="4CAD16CF"/>
    <w:rsid w:val="4CB30DFF"/>
    <w:rsid w:val="4CB6710D"/>
    <w:rsid w:val="4D4B15E9"/>
    <w:rsid w:val="4D5F0F87"/>
    <w:rsid w:val="4D8701E3"/>
    <w:rsid w:val="4DBA440F"/>
    <w:rsid w:val="4DD46F13"/>
    <w:rsid w:val="4DD9590D"/>
    <w:rsid w:val="4DDB799E"/>
    <w:rsid w:val="4E210C81"/>
    <w:rsid w:val="4E267956"/>
    <w:rsid w:val="4E2B74D5"/>
    <w:rsid w:val="4E424648"/>
    <w:rsid w:val="4E640BBD"/>
    <w:rsid w:val="4E6B6EA1"/>
    <w:rsid w:val="4E6D3230"/>
    <w:rsid w:val="4E79582B"/>
    <w:rsid w:val="4E991E11"/>
    <w:rsid w:val="4EAA6232"/>
    <w:rsid w:val="4EC54E1A"/>
    <w:rsid w:val="4EC57A95"/>
    <w:rsid w:val="4ED70FD7"/>
    <w:rsid w:val="4F4270CB"/>
    <w:rsid w:val="4F4C1097"/>
    <w:rsid w:val="4F5A37B4"/>
    <w:rsid w:val="4F601460"/>
    <w:rsid w:val="4F7B372A"/>
    <w:rsid w:val="4F7D3C20"/>
    <w:rsid w:val="4FBA2BA1"/>
    <w:rsid w:val="4FFF5886"/>
    <w:rsid w:val="500C3E41"/>
    <w:rsid w:val="50132F01"/>
    <w:rsid w:val="502C63FA"/>
    <w:rsid w:val="503F4981"/>
    <w:rsid w:val="506F14E1"/>
    <w:rsid w:val="507704E4"/>
    <w:rsid w:val="50981097"/>
    <w:rsid w:val="50A04EA0"/>
    <w:rsid w:val="50B614D3"/>
    <w:rsid w:val="50C62F2B"/>
    <w:rsid w:val="51103465"/>
    <w:rsid w:val="51324F7F"/>
    <w:rsid w:val="51510BE7"/>
    <w:rsid w:val="5180327A"/>
    <w:rsid w:val="5184487E"/>
    <w:rsid w:val="51F71178"/>
    <w:rsid w:val="5201085F"/>
    <w:rsid w:val="520147AB"/>
    <w:rsid w:val="520C1F86"/>
    <w:rsid w:val="52442CF9"/>
    <w:rsid w:val="52583F3C"/>
    <w:rsid w:val="52C378C2"/>
    <w:rsid w:val="52C64DE8"/>
    <w:rsid w:val="52D675F5"/>
    <w:rsid w:val="531108EE"/>
    <w:rsid w:val="53227084"/>
    <w:rsid w:val="536423B1"/>
    <w:rsid w:val="536D6B24"/>
    <w:rsid w:val="536D782E"/>
    <w:rsid w:val="537C369A"/>
    <w:rsid w:val="53834143"/>
    <w:rsid w:val="53B231C8"/>
    <w:rsid w:val="53D665BC"/>
    <w:rsid w:val="53EE5E42"/>
    <w:rsid w:val="53F069E6"/>
    <w:rsid w:val="53F47318"/>
    <w:rsid w:val="54014B46"/>
    <w:rsid w:val="540D6732"/>
    <w:rsid w:val="544731C6"/>
    <w:rsid w:val="544E7F02"/>
    <w:rsid w:val="54806F30"/>
    <w:rsid w:val="54A62999"/>
    <w:rsid w:val="54C629E7"/>
    <w:rsid w:val="550339B3"/>
    <w:rsid w:val="550D12C8"/>
    <w:rsid w:val="55247FE5"/>
    <w:rsid w:val="552B51BC"/>
    <w:rsid w:val="55726052"/>
    <w:rsid w:val="559B0682"/>
    <w:rsid w:val="559C74BB"/>
    <w:rsid w:val="55B60806"/>
    <w:rsid w:val="55E44D46"/>
    <w:rsid w:val="56055D0D"/>
    <w:rsid w:val="560D3B28"/>
    <w:rsid w:val="564A16EA"/>
    <w:rsid w:val="565E00D2"/>
    <w:rsid w:val="566F2989"/>
    <w:rsid w:val="567B235F"/>
    <w:rsid w:val="567E73BD"/>
    <w:rsid w:val="56995D14"/>
    <w:rsid w:val="569E667C"/>
    <w:rsid w:val="56A749B2"/>
    <w:rsid w:val="56A7786B"/>
    <w:rsid w:val="56CB6816"/>
    <w:rsid w:val="56EB3E63"/>
    <w:rsid w:val="56EC163D"/>
    <w:rsid w:val="57083B08"/>
    <w:rsid w:val="57167B59"/>
    <w:rsid w:val="57313A27"/>
    <w:rsid w:val="57362D58"/>
    <w:rsid w:val="57503BFC"/>
    <w:rsid w:val="57B00AEA"/>
    <w:rsid w:val="57B91294"/>
    <w:rsid w:val="57BA32A3"/>
    <w:rsid w:val="57F10A2D"/>
    <w:rsid w:val="57F80B45"/>
    <w:rsid w:val="5812729E"/>
    <w:rsid w:val="58156E12"/>
    <w:rsid w:val="58283534"/>
    <w:rsid w:val="58344FFE"/>
    <w:rsid w:val="58700089"/>
    <w:rsid w:val="58773833"/>
    <w:rsid w:val="589C308F"/>
    <w:rsid w:val="58A93D6B"/>
    <w:rsid w:val="58B51ABB"/>
    <w:rsid w:val="58F93B6A"/>
    <w:rsid w:val="59012EF2"/>
    <w:rsid w:val="590E144E"/>
    <w:rsid w:val="591C0D83"/>
    <w:rsid w:val="593A758F"/>
    <w:rsid w:val="593D5F30"/>
    <w:rsid w:val="594A244B"/>
    <w:rsid w:val="594A4899"/>
    <w:rsid w:val="5954051A"/>
    <w:rsid w:val="59667064"/>
    <w:rsid w:val="597E4543"/>
    <w:rsid w:val="59945B14"/>
    <w:rsid w:val="599E6993"/>
    <w:rsid w:val="59A576CC"/>
    <w:rsid w:val="59AE3557"/>
    <w:rsid w:val="59C80CE4"/>
    <w:rsid w:val="59CB735A"/>
    <w:rsid w:val="5A117165"/>
    <w:rsid w:val="5A3572F7"/>
    <w:rsid w:val="5A447840"/>
    <w:rsid w:val="5A4E2167"/>
    <w:rsid w:val="5A587B93"/>
    <w:rsid w:val="5A661C99"/>
    <w:rsid w:val="5A90452E"/>
    <w:rsid w:val="5AA95EA4"/>
    <w:rsid w:val="5ABD109B"/>
    <w:rsid w:val="5AD46772"/>
    <w:rsid w:val="5ADB7BB3"/>
    <w:rsid w:val="5ADD7292"/>
    <w:rsid w:val="5AE1122D"/>
    <w:rsid w:val="5AE445AB"/>
    <w:rsid w:val="5AEC372E"/>
    <w:rsid w:val="5AF02F3A"/>
    <w:rsid w:val="5AF30F60"/>
    <w:rsid w:val="5AFF7D0A"/>
    <w:rsid w:val="5B041E39"/>
    <w:rsid w:val="5B280C0A"/>
    <w:rsid w:val="5B2928E3"/>
    <w:rsid w:val="5B4470FE"/>
    <w:rsid w:val="5B5C65AE"/>
    <w:rsid w:val="5B5E0C3B"/>
    <w:rsid w:val="5B8147BE"/>
    <w:rsid w:val="5B84618C"/>
    <w:rsid w:val="5B905A82"/>
    <w:rsid w:val="5BCA5273"/>
    <w:rsid w:val="5BFE6573"/>
    <w:rsid w:val="5C0E1DBB"/>
    <w:rsid w:val="5C377E59"/>
    <w:rsid w:val="5C594A7C"/>
    <w:rsid w:val="5C744E01"/>
    <w:rsid w:val="5C76581E"/>
    <w:rsid w:val="5C943AD1"/>
    <w:rsid w:val="5CA569FC"/>
    <w:rsid w:val="5CCC77EB"/>
    <w:rsid w:val="5D0B2591"/>
    <w:rsid w:val="5D227715"/>
    <w:rsid w:val="5D4067EE"/>
    <w:rsid w:val="5D5137AB"/>
    <w:rsid w:val="5D681C34"/>
    <w:rsid w:val="5D6E484A"/>
    <w:rsid w:val="5D9B271F"/>
    <w:rsid w:val="5DB16DCB"/>
    <w:rsid w:val="5DB61824"/>
    <w:rsid w:val="5DD70F6F"/>
    <w:rsid w:val="5DD83058"/>
    <w:rsid w:val="5DDB7EFB"/>
    <w:rsid w:val="5E056FE1"/>
    <w:rsid w:val="5E1100D9"/>
    <w:rsid w:val="5E14191A"/>
    <w:rsid w:val="5E2356B9"/>
    <w:rsid w:val="5E5B30A5"/>
    <w:rsid w:val="5E626A84"/>
    <w:rsid w:val="5E6D4A74"/>
    <w:rsid w:val="5E833E53"/>
    <w:rsid w:val="5E9B5B97"/>
    <w:rsid w:val="5E9D3904"/>
    <w:rsid w:val="5ED43311"/>
    <w:rsid w:val="5EFD415C"/>
    <w:rsid w:val="5F006597"/>
    <w:rsid w:val="5F01226C"/>
    <w:rsid w:val="5F17598C"/>
    <w:rsid w:val="5F30162F"/>
    <w:rsid w:val="5F765D28"/>
    <w:rsid w:val="5F780537"/>
    <w:rsid w:val="5F820361"/>
    <w:rsid w:val="5FB140B5"/>
    <w:rsid w:val="5FB4164E"/>
    <w:rsid w:val="5FBC5DC5"/>
    <w:rsid w:val="5FCB3D8F"/>
    <w:rsid w:val="5FCD65AC"/>
    <w:rsid w:val="5FE16606"/>
    <w:rsid w:val="5FEA0949"/>
    <w:rsid w:val="600339F4"/>
    <w:rsid w:val="602A57B1"/>
    <w:rsid w:val="604B29D6"/>
    <w:rsid w:val="604F6C39"/>
    <w:rsid w:val="60583D40"/>
    <w:rsid w:val="60642861"/>
    <w:rsid w:val="608027D0"/>
    <w:rsid w:val="60897582"/>
    <w:rsid w:val="60904559"/>
    <w:rsid w:val="60A413A3"/>
    <w:rsid w:val="60C34F31"/>
    <w:rsid w:val="60C6134C"/>
    <w:rsid w:val="60F375C4"/>
    <w:rsid w:val="60F91823"/>
    <w:rsid w:val="610D0751"/>
    <w:rsid w:val="610E2F52"/>
    <w:rsid w:val="614147D4"/>
    <w:rsid w:val="61471638"/>
    <w:rsid w:val="614A1A89"/>
    <w:rsid w:val="614D35A1"/>
    <w:rsid w:val="61657E52"/>
    <w:rsid w:val="61970903"/>
    <w:rsid w:val="61C63DF9"/>
    <w:rsid w:val="61C80A51"/>
    <w:rsid w:val="61CD4D04"/>
    <w:rsid w:val="61D01060"/>
    <w:rsid w:val="61D03DA9"/>
    <w:rsid w:val="61DE7284"/>
    <w:rsid w:val="61E310B1"/>
    <w:rsid w:val="61ED267F"/>
    <w:rsid w:val="61F10A65"/>
    <w:rsid w:val="62215B53"/>
    <w:rsid w:val="62265778"/>
    <w:rsid w:val="62531D32"/>
    <w:rsid w:val="62556235"/>
    <w:rsid w:val="626316B1"/>
    <w:rsid w:val="62682234"/>
    <w:rsid w:val="627757F6"/>
    <w:rsid w:val="629328A7"/>
    <w:rsid w:val="62A05809"/>
    <w:rsid w:val="62B2659B"/>
    <w:rsid w:val="62B56E66"/>
    <w:rsid w:val="62BA74E1"/>
    <w:rsid w:val="62BD623C"/>
    <w:rsid w:val="62C4451A"/>
    <w:rsid w:val="63125213"/>
    <w:rsid w:val="632F4BB7"/>
    <w:rsid w:val="63456D2D"/>
    <w:rsid w:val="6384309D"/>
    <w:rsid w:val="63870CD7"/>
    <w:rsid w:val="638802B4"/>
    <w:rsid w:val="639130C5"/>
    <w:rsid w:val="63957059"/>
    <w:rsid w:val="63C2533A"/>
    <w:rsid w:val="63D27965"/>
    <w:rsid w:val="6416779A"/>
    <w:rsid w:val="641A615C"/>
    <w:rsid w:val="64393E88"/>
    <w:rsid w:val="645A4051"/>
    <w:rsid w:val="64653F23"/>
    <w:rsid w:val="64794284"/>
    <w:rsid w:val="647A2C67"/>
    <w:rsid w:val="648C326D"/>
    <w:rsid w:val="64A70DF2"/>
    <w:rsid w:val="64AB50DC"/>
    <w:rsid w:val="64AD7796"/>
    <w:rsid w:val="64B90B25"/>
    <w:rsid w:val="64F51506"/>
    <w:rsid w:val="64F810B6"/>
    <w:rsid w:val="65000502"/>
    <w:rsid w:val="651334A8"/>
    <w:rsid w:val="65491EA9"/>
    <w:rsid w:val="65605444"/>
    <w:rsid w:val="65816F5E"/>
    <w:rsid w:val="658B7861"/>
    <w:rsid w:val="65921AA2"/>
    <w:rsid w:val="65BF6897"/>
    <w:rsid w:val="65C77271"/>
    <w:rsid w:val="65CE1B74"/>
    <w:rsid w:val="65E46075"/>
    <w:rsid w:val="65FC519A"/>
    <w:rsid w:val="66035EE6"/>
    <w:rsid w:val="661E50E3"/>
    <w:rsid w:val="664363C9"/>
    <w:rsid w:val="66576847"/>
    <w:rsid w:val="66770C98"/>
    <w:rsid w:val="66794933"/>
    <w:rsid w:val="66882474"/>
    <w:rsid w:val="668D6CDE"/>
    <w:rsid w:val="66AF21DF"/>
    <w:rsid w:val="66C46BDF"/>
    <w:rsid w:val="66D26CDD"/>
    <w:rsid w:val="66FB0F5A"/>
    <w:rsid w:val="67087B26"/>
    <w:rsid w:val="673177F1"/>
    <w:rsid w:val="67474DF6"/>
    <w:rsid w:val="67564551"/>
    <w:rsid w:val="67604901"/>
    <w:rsid w:val="6773145F"/>
    <w:rsid w:val="67A03D1C"/>
    <w:rsid w:val="67CB129B"/>
    <w:rsid w:val="67D77C40"/>
    <w:rsid w:val="67DD2D7C"/>
    <w:rsid w:val="67E07000"/>
    <w:rsid w:val="67E12588"/>
    <w:rsid w:val="67E660D5"/>
    <w:rsid w:val="67EB6390"/>
    <w:rsid w:val="67F73E3E"/>
    <w:rsid w:val="6827206B"/>
    <w:rsid w:val="68475486"/>
    <w:rsid w:val="68510695"/>
    <w:rsid w:val="6853163D"/>
    <w:rsid w:val="68545F05"/>
    <w:rsid w:val="686477AA"/>
    <w:rsid w:val="687F7EC8"/>
    <w:rsid w:val="688558EE"/>
    <w:rsid w:val="689D5B81"/>
    <w:rsid w:val="68BD5470"/>
    <w:rsid w:val="69113996"/>
    <w:rsid w:val="693D4CD3"/>
    <w:rsid w:val="695F0E1D"/>
    <w:rsid w:val="696D1869"/>
    <w:rsid w:val="6976147B"/>
    <w:rsid w:val="699C0F47"/>
    <w:rsid w:val="69A45159"/>
    <w:rsid w:val="69B72715"/>
    <w:rsid w:val="69C53AC8"/>
    <w:rsid w:val="69D07E37"/>
    <w:rsid w:val="69FA74DF"/>
    <w:rsid w:val="6A0E4BF4"/>
    <w:rsid w:val="6A1E0CE9"/>
    <w:rsid w:val="6A2C1E88"/>
    <w:rsid w:val="6A5E5AB5"/>
    <w:rsid w:val="6A646660"/>
    <w:rsid w:val="6A8032A9"/>
    <w:rsid w:val="6A9D1B6E"/>
    <w:rsid w:val="6AD93CCF"/>
    <w:rsid w:val="6B43739A"/>
    <w:rsid w:val="6B4C26F3"/>
    <w:rsid w:val="6B581776"/>
    <w:rsid w:val="6B5B2936"/>
    <w:rsid w:val="6B712159"/>
    <w:rsid w:val="6B8E4AB9"/>
    <w:rsid w:val="6B9264F4"/>
    <w:rsid w:val="6BA77929"/>
    <w:rsid w:val="6BA93D03"/>
    <w:rsid w:val="6BBB1730"/>
    <w:rsid w:val="6BCE0431"/>
    <w:rsid w:val="6BED2A68"/>
    <w:rsid w:val="6BF40694"/>
    <w:rsid w:val="6BF608B1"/>
    <w:rsid w:val="6BFC2657"/>
    <w:rsid w:val="6C0611D6"/>
    <w:rsid w:val="6C3522BF"/>
    <w:rsid w:val="6C395D97"/>
    <w:rsid w:val="6C505B49"/>
    <w:rsid w:val="6C7A503E"/>
    <w:rsid w:val="6C7C646E"/>
    <w:rsid w:val="6C844700"/>
    <w:rsid w:val="6C910570"/>
    <w:rsid w:val="6C9C4FB4"/>
    <w:rsid w:val="6CA4030D"/>
    <w:rsid w:val="6CA43595"/>
    <w:rsid w:val="6CBF4DFA"/>
    <w:rsid w:val="6CCA1DA6"/>
    <w:rsid w:val="6CCE0EE6"/>
    <w:rsid w:val="6CE7515B"/>
    <w:rsid w:val="6CF43042"/>
    <w:rsid w:val="6CF85CB8"/>
    <w:rsid w:val="6D076189"/>
    <w:rsid w:val="6D10640B"/>
    <w:rsid w:val="6D2F7BD6"/>
    <w:rsid w:val="6D3451EC"/>
    <w:rsid w:val="6D433682"/>
    <w:rsid w:val="6D5E16A0"/>
    <w:rsid w:val="6D621D77"/>
    <w:rsid w:val="6D7D4DE5"/>
    <w:rsid w:val="6D816B6B"/>
    <w:rsid w:val="6D8D2EC7"/>
    <w:rsid w:val="6D967C55"/>
    <w:rsid w:val="6DBB23A3"/>
    <w:rsid w:val="6DCD6299"/>
    <w:rsid w:val="6DD65311"/>
    <w:rsid w:val="6DE57808"/>
    <w:rsid w:val="6DF445AA"/>
    <w:rsid w:val="6DFC12BB"/>
    <w:rsid w:val="6E0E5A3E"/>
    <w:rsid w:val="6E3256A1"/>
    <w:rsid w:val="6E3F4A53"/>
    <w:rsid w:val="6E40179C"/>
    <w:rsid w:val="6E471BE1"/>
    <w:rsid w:val="6E4F0B95"/>
    <w:rsid w:val="6E595709"/>
    <w:rsid w:val="6E607369"/>
    <w:rsid w:val="6E657612"/>
    <w:rsid w:val="6E75515A"/>
    <w:rsid w:val="6EA13F6B"/>
    <w:rsid w:val="6EDE18DC"/>
    <w:rsid w:val="6EFA67C7"/>
    <w:rsid w:val="6F06170C"/>
    <w:rsid w:val="6F0D3450"/>
    <w:rsid w:val="6F1843FB"/>
    <w:rsid w:val="6F2179F2"/>
    <w:rsid w:val="6F2A7105"/>
    <w:rsid w:val="6F553107"/>
    <w:rsid w:val="6F683873"/>
    <w:rsid w:val="6F96480D"/>
    <w:rsid w:val="6FA45B5F"/>
    <w:rsid w:val="6FA72289"/>
    <w:rsid w:val="6FBC4FF3"/>
    <w:rsid w:val="6FDD7DBD"/>
    <w:rsid w:val="6FFB1E2E"/>
    <w:rsid w:val="702C6790"/>
    <w:rsid w:val="702E2FF8"/>
    <w:rsid w:val="70441C44"/>
    <w:rsid w:val="704E2A69"/>
    <w:rsid w:val="70BD1922"/>
    <w:rsid w:val="70BF74C3"/>
    <w:rsid w:val="70DB1D2C"/>
    <w:rsid w:val="70DE50FD"/>
    <w:rsid w:val="70EE7DA8"/>
    <w:rsid w:val="71062FFD"/>
    <w:rsid w:val="71125845"/>
    <w:rsid w:val="714A0253"/>
    <w:rsid w:val="71621490"/>
    <w:rsid w:val="71690E5D"/>
    <w:rsid w:val="71A73851"/>
    <w:rsid w:val="71AF7243"/>
    <w:rsid w:val="71B123B2"/>
    <w:rsid w:val="71C07997"/>
    <w:rsid w:val="71F05EE9"/>
    <w:rsid w:val="72022FE1"/>
    <w:rsid w:val="72045FCA"/>
    <w:rsid w:val="721E62BD"/>
    <w:rsid w:val="7258197D"/>
    <w:rsid w:val="727179BC"/>
    <w:rsid w:val="72BE502A"/>
    <w:rsid w:val="72DE139F"/>
    <w:rsid w:val="72EA5883"/>
    <w:rsid w:val="72FE763C"/>
    <w:rsid w:val="73223D39"/>
    <w:rsid w:val="73255A53"/>
    <w:rsid w:val="734A612C"/>
    <w:rsid w:val="73517BC7"/>
    <w:rsid w:val="737A22AD"/>
    <w:rsid w:val="7397170C"/>
    <w:rsid w:val="7399224D"/>
    <w:rsid w:val="73C44343"/>
    <w:rsid w:val="73D32C53"/>
    <w:rsid w:val="73D44CCF"/>
    <w:rsid w:val="74034E21"/>
    <w:rsid w:val="741236BC"/>
    <w:rsid w:val="742F4960"/>
    <w:rsid w:val="74394191"/>
    <w:rsid w:val="744A3547"/>
    <w:rsid w:val="744C72C0"/>
    <w:rsid w:val="745764D4"/>
    <w:rsid w:val="7475039B"/>
    <w:rsid w:val="74912D77"/>
    <w:rsid w:val="749B6B6F"/>
    <w:rsid w:val="74E4496D"/>
    <w:rsid w:val="74FB3F82"/>
    <w:rsid w:val="74FD1065"/>
    <w:rsid w:val="74FF3F11"/>
    <w:rsid w:val="75092368"/>
    <w:rsid w:val="7520725B"/>
    <w:rsid w:val="75700C3E"/>
    <w:rsid w:val="75830FEC"/>
    <w:rsid w:val="758F4EE0"/>
    <w:rsid w:val="759A405B"/>
    <w:rsid w:val="75CA0F74"/>
    <w:rsid w:val="75D21A24"/>
    <w:rsid w:val="75D45F0C"/>
    <w:rsid w:val="75D96F25"/>
    <w:rsid w:val="75DE663D"/>
    <w:rsid w:val="76251DC9"/>
    <w:rsid w:val="763C5112"/>
    <w:rsid w:val="76752929"/>
    <w:rsid w:val="76864401"/>
    <w:rsid w:val="76946CFC"/>
    <w:rsid w:val="76AB2765"/>
    <w:rsid w:val="76BE139E"/>
    <w:rsid w:val="76C47972"/>
    <w:rsid w:val="76C752E4"/>
    <w:rsid w:val="77132317"/>
    <w:rsid w:val="77171E5F"/>
    <w:rsid w:val="77297D75"/>
    <w:rsid w:val="772A140E"/>
    <w:rsid w:val="77304C77"/>
    <w:rsid w:val="7735580A"/>
    <w:rsid w:val="77432B8A"/>
    <w:rsid w:val="7752732D"/>
    <w:rsid w:val="776204D1"/>
    <w:rsid w:val="77A85155"/>
    <w:rsid w:val="77AF30BF"/>
    <w:rsid w:val="77BB2EFC"/>
    <w:rsid w:val="77C26C1D"/>
    <w:rsid w:val="77C6382D"/>
    <w:rsid w:val="77CC43CA"/>
    <w:rsid w:val="77E210C1"/>
    <w:rsid w:val="7811647C"/>
    <w:rsid w:val="78116641"/>
    <w:rsid w:val="78351F74"/>
    <w:rsid w:val="788039DC"/>
    <w:rsid w:val="7898331C"/>
    <w:rsid w:val="78B74A30"/>
    <w:rsid w:val="78E6441B"/>
    <w:rsid w:val="78EA70A7"/>
    <w:rsid w:val="78EE621E"/>
    <w:rsid w:val="78FD3DB1"/>
    <w:rsid w:val="79010967"/>
    <w:rsid w:val="790E0FE8"/>
    <w:rsid w:val="79184AA9"/>
    <w:rsid w:val="791B54B2"/>
    <w:rsid w:val="79231D11"/>
    <w:rsid w:val="795E4806"/>
    <w:rsid w:val="79604D22"/>
    <w:rsid w:val="79815C5D"/>
    <w:rsid w:val="79863274"/>
    <w:rsid w:val="79875305"/>
    <w:rsid w:val="798E037A"/>
    <w:rsid w:val="79B26E68"/>
    <w:rsid w:val="79C2533B"/>
    <w:rsid w:val="79E104AA"/>
    <w:rsid w:val="7A025901"/>
    <w:rsid w:val="7A105F8B"/>
    <w:rsid w:val="7A3B0310"/>
    <w:rsid w:val="7A4B0019"/>
    <w:rsid w:val="7A4B3FE4"/>
    <w:rsid w:val="7A566959"/>
    <w:rsid w:val="7A672BB9"/>
    <w:rsid w:val="7A892A35"/>
    <w:rsid w:val="7A9F1BF4"/>
    <w:rsid w:val="7AC1749D"/>
    <w:rsid w:val="7AF37B3D"/>
    <w:rsid w:val="7AF5774C"/>
    <w:rsid w:val="7AF90534"/>
    <w:rsid w:val="7B0C5C6B"/>
    <w:rsid w:val="7B366CA3"/>
    <w:rsid w:val="7B520BA6"/>
    <w:rsid w:val="7B6969A9"/>
    <w:rsid w:val="7B744D95"/>
    <w:rsid w:val="7B874814"/>
    <w:rsid w:val="7B8E01BE"/>
    <w:rsid w:val="7BB87930"/>
    <w:rsid w:val="7BD5403F"/>
    <w:rsid w:val="7BE67FFA"/>
    <w:rsid w:val="7BEB53CC"/>
    <w:rsid w:val="7BF715CE"/>
    <w:rsid w:val="7C016BE2"/>
    <w:rsid w:val="7C06412C"/>
    <w:rsid w:val="7C120DEF"/>
    <w:rsid w:val="7C557A43"/>
    <w:rsid w:val="7C8A4E29"/>
    <w:rsid w:val="7CC43C96"/>
    <w:rsid w:val="7CD150D1"/>
    <w:rsid w:val="7CE129B6"/>
    <w:rsid w:val="7CFF5348"/>
    <w:rsid w:val="7D0D7808"/>
    <w:rsid w:val="7D197F5B"/>
    <w:rsid w:val="7D30723C"/>
    <w:rsid w:val="7D417D69"/>
    <w:rsid w:val="7D605F94"/>
    <w:rsid w:val="7D9341B1"/>
    <w:rsid w:val="7D97404F"/>
    <w:rsid w:val="7D9A019A"/>
    <w:rsid w:val="7D9A5540"/>
    <w:rsid w:val="7DA27194"/>
    <w:rsid w:val="7DA63EE4"/>
    <w:rsid w:val="7DBD25BB"/>
    <w:rsid w:val="7DD37591"/>
    <w:rsid w:val="7DEB3655"/>
    <w:rsid w:val="7E1C6C7E"/>
    <w:rsid w:val="7E425367"/>
    <w:rsid w:val="7E846A58"/>
    <w:rsid w:val="7E932A25"/>
    <w:rsid w:val="7E9E2FEB"/>
    <w:rsid w:val="7ECB34D7"/>
    <w:rsid w:val="7ED13DBE"/>
    <w:rsid w:val="7EEB616D"/>
    <w:rsid w:val="7F0A5A54"/>
    <w:rsid w:val="7F333770"/>
    <w:rsid w:val="7F8F5611"/>
    <w:rsid w:val="7FA61E14"/>
    <w:rsid w:val="7FAC66A5"/>
    <w:rsid w:val="7FB3342B"/>
    <w:rsid w:val="7FC549E4"/>
    <w:rsid w:val="7FD15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autoRedefine/>
    <w:qFormat/>
    <w:uiPriority w:val="0"/>
    <w:pPr>
      <w:keepNext/>
      <w:keepLines/>
      <w:outlineLvl w:val="0"/>
    </w:pPr>
    <w:rPr>
      <w:rFonts w:eastAsia="黑体"/>
      <w:b/>
      <w:bCs/>
      <w:kern w:val="44"/>
      <w:sz w:val="32"/>
      <w:szCs w:val="32"/>
    </w:rPr>
  </w:style>
  <w:style w:type="paragraph" w:styleId="3">
    <w:name w:val="heading 2"/>
    <w:basedOn w:val="1"/>
    <w:next w:val="1"/>
    <w:link w:val="40"/>
    <w:autoRedefine/>
    <w:semiHidden/>
    <w:unhideWhenUsed/>
    <w:qFormat/>
    <w:uiPriority w:val="0"/>
    <w:pPr>
      <w:keepNext/>
      <w:keepLines/>
      <w:spacing w:before="40" w:after="40" w:line="360" w:lineRule="auto"/>
      <w:outlineLvl w:val="1"/>
    </w:pPr>
    <w:rPr>
      <w:rFonts w:ascii="Arial" w:hAnsi="Arial"/>
      <w:b/>
      <w:sz w:val="36"/>
      <w:szCs w:val="22"/>
    </w:rPr>
  </w:style>
  <w:style w:type="paragraph" w:styleId="4">
    <w:name w:val="heading 3"/>
    <w:basedOn w:val="1"/>
    <w:next w:val="1"/>
    <w:qFormat/>
    <w:uiPriority w:val="0"/>
    <w:pPr>
      <w:keepNext/>
      <w:keepLines/>
      <w:numPr>
        <w:ilvl w:val="2"/>
        <w:numId w:val="1"/>
      </w:numPr>
      <w:ind w:left="0" w:firstLine="0"/>
      <w:outlineLvl w:val="2"/>
    </w:pPr>
    <w:rPr>
      <w:rFonts w:ascii="Times New Roman" w:hAnsi="Times New Roman" w:eastAsia="宋体"/>
      <w:b/>
      <w:bCs/>
      <w:sz w:val="28"/>
      <w:szCs w:val="32"/>
    </w:rPr>
  </w:style>
  <w:style w:type="paragraph" w:styleId="5">
    <w:name w:val="heading 4"/>
    <w:basedOn w:val="1"/>
    <w:next w:val="1"/>
    <w:link w:val="39"/>
    <w:autoRedefine/>
    <w:semiHidden/>
    <w:unhideWhenUsed/>
    <w:qFormat/>
    <w:uiPriority w:val="0"/>
    <w:pPr>
      <w:keepNext/>
      <w:keepLines/>
      <w:spacing w:after="177" w:line="259" w:lineRule="auto"/>
      <w:ind w:left="10" w:hanging="10"/>
      <w:outlineLvl w:val="3"/>
    </w:pPr>
    <w:rPr>
      <w:rFonts w:ascii="黑体" w:hAnsi="黑体" w:eastAsia="黑体" w:cs="黑体"/>
      <w:color w:val="000000"/>
      <w:kern w:val="2"/>
      <w:sz w:val="24"/>
      <w:szCs w:val="24"/>
      <w:lang w:val="en-US" w:eastAsia="zh-CN" w:bidi="ar-SA"/>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autoRedefine/>
    <w:unhideWhenUsed/>
    <w:qFormat/>
    <w:uiPriority w:val="99"/>
    <w:pPr>
      <w:ind w:left="420" w:leftChars="200"/>
    </w:pPr>
  </w:style>
  <w:style w:type="paragraph" w:styleId="7">
    <w:name w:val="Normal Indent"/>
    <w:basedOn w:val="1"/>
    <w:next w:val="8"/>
    <w:autoRedefine/>
    <w:qFormat/>
    <w:uiPriority w:val="0"/>
    <w:pPr>
      <w:ind w:firstLine="420"/>
    </w:pPr>
    <w:rPr>
      <w:spacing w:val="12"/>
      <w:szCs w:val="20"/>
    </w:rPr>
  </w:style>
  <w:style w:type="paragraph" w:styleId="8">
    <w:name w:val="Body Text First Indent 2"/>
    <w:basedOn w:val="9"/>
    <w:next w:val="11"/>
    <w:autoRedefine/>
    <w:qFormat/>
    <w:uiPriority w:val="0"/>
    <w:pPr>
      <w:ind w:firstLine="210"/>
    </w:pPr>
  </w:style>
  <w:style w:type="paragraph" w:styleId="9">
    <w:name w:val="Body Text Indent"/>
    <w:basedOn w:val="1"/>
    <w:next w:val="10"/>
    <w:autoRedefine/>
    <w:semiHidden/>
    <w:qFormat/>
    <w:uiPriority w:val="0"/>
    <w:pPr>
      <w:spacing w:after="120"/>
      <w:ind w:left="420" w:leftChars="200"/>
    </w:pPr>
  </w:style>
  <w:style w:type="paragraph" w:styleId="10">
    <w:name w:val="Body Text Indent 2"/>
    <w:basedOn w:val="1"/>
    <w:next w:val="8"/>
    <w:autoRedefine/>
    <w:qFormat/>
    <w:uiPriority w:val="0"/>
    <w:pPr>
      <w:ind w:firstLine="624"/>
    </w:pPr>
    <w:rPr>
      <w:rFonts w:hint="eastAsia" w:ascii="楷体_GB2312" w:eastAsia="楷体_GB2312"/>
      <w:color w:val="000000"/>
      <w:sz w:val="30"/>
    </w:rPr>
  </w:style>
  <w:style w:type="paragraph" w:styleId="11">
    <w:name w:val="Body Text First Indent"/>
    <w:basedOn w:val="12"/>
    <w:autoRedefine/>
    <w:qFormat/>
    <w:uiPriority w:val="0"/>
    <w:pPr>
      <w:ind w:firstLine="420" w:firstLineChars="100"/>
      <w:jc w:val="center"/>
    </w:pPr>
    <w:rPr>
      <w:rFonts w:ascii="Calibri" w:hAnsi="Calibri"/>
      <w:sz w:val="32"/>
    </w:rPr>
  </w:style>
  <w:style w:type="paragraph" w:styleId="12">
    <w:name w:val="Body Text"/>
    <w:basedOn w:val="1"/>
    <w:next w:val="13"/>
    <w:autoRedefine/>
    <w:qFormat/>
    <w:uiPriority w:val="0"/>
    <w:pPr>
      <w:widowControl/>
      <w:snapToGrid w:val="0"/>
      <w:spacing w:before="60" w:after="160" w:line="259" w:lineRule="auto"/>
      <w:ind w:right="113"/>
    </w:pPr>
    <w:rPr>
      <w:kern w:val="0"/>
      <w:sz w:val="18"/>
      <w:szCs w:val="18"/>
    </w:rPr>
  </w:style>
  <w:style w:type="paragraph" w:customStyle="1" w:styleId="13">
    <w:name w:val="Date1"/>
    <w:basedOn w:val="1"/>
    <w:next w:val="1"/>
    <w:qFormat/>
    <w:uiPriority w:val="0"/>
    <w:pPr>
      <w:adjustRightInd w:val="0"/>
      <w:jc w:val="left"/>
      <w:textAlignment w:val="baseline"/>
    </w:pPr>
    <w:rPr>
      <w:rFonts w:ascii="宋体" w:hAnsi="宋体"/>
    </w:rPr>
  </w:style>
  <w:style w:type="paragraph" w:styleId="14">
    <w:name w:val="toa heading"/>
    <w:basedOn w:val="1"/>
    <w:next w:val="1"/>
    <w:autoRedefine/>
    <w:qFormat/>
    <w:uiPriority w:val="0"/>
    <w:pPr>
      <w:spacing w:before="120"/>
    </w:pPr>
  </w:style>
  <w:style w:type="paragraph" w:styleId="15">
    <w:name w:val="annotation text"/>
    <w:basedOn w:val="1"/>
    <w:link w:val="52"/>
    <w:autoRedefine/>
    <w:semiHidden/>
    <w:qFormat/>
    <w:uiPriority w:val="0"/>
    <w:pPr>
      <w:jc w:val="left"/>
    </w:pPr>
    <w:rPr>
      <w:kern w:val="0"/>
      <w:sz w:val="20"/>
    </w:rPr>
  </w:style>
  <w:style w:type="paragraph" w:styleId="16">
    <w:name w:val="Plain Text"/>
    <w:basedOn w:val="1"/>
    <w:autoRedefine/>
    <w:qFormat/>
    <w:uiPriority w:val="0"/>
    <w:rPr>
      <w:rFonts w:hint="eastAsia" w:ascii="宋体" w:hAnsi="Courier New"/>
    </w:rPr>
  </w:style>
  <w:style w:type="paragraph" w:styleId="17">
    <w:name w:val="Balloon Text"/>
    <w:basedOn w:val="1"/>
    <w:link w:val="54"/>
    <w:qFormat/>
    <w:uiPriority w:val="0"/>
    <w:rPr>
      <w:sz w:val="18"/>
      <w:szCs w:val="18"/>
    </w:rPr>
  </w:style>
  <w:style w:type="paragraph" w:styleId="18">
    <w:name w:val="footer"/>
    <w:basedOn w:val="1"/>
    <w:next w:val="1"/>
    <w:autoRedefine/>
    <w:qFormat/>
    <w:uiPriority w:val="0"/>
    <w:pPr>
      <w:tabs>
        <w:tab w:val="center" w:pos="4153"/>
        <w:tab w:val="right" w:pos="8306"/>
      </w:tabs>
      <w:snapToGrid w:val="0"/>
      <w:jc w:val="left"/>
    </w:pPr>
    <w:rPr>
      <w:sz w:val="18"/>
      <w:szCs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0"/>
  </w:style>
  <w:style w:type="paragraph" w:styleId="21">
    <w:name w:val="index heading"/>
    <w:basedOn w:val="1"/>
    <w:next w:val="22"/>
    <w:qFormat/>
    <w:uiPriority w:val="0"/>
    <w:rPr>
      <w:rFonts w:ascii="Arial" w:hAnsi="Arial" w:cs="Arial"/>
      <w:b/>
      <w:bCs/>
    </w:rPr>
  </w:style>
  <w:style w:type="paragraph" w:styleId="22">
    <w:name w:val="index 1"/>
    <w:basedOn w:val="1"/>
    <w:next w:val="1"/>
    <w:qFormat/>
    <w:uiPriority w:val="0"/>
  </w:style>
  <w:style w:type="paragraph" w:styleId="23">
    <w:name w:val="Body Text Indent 3"/>
    <w:basedOn w:val="1"/>
    <w:autoRedefine/>
    <w:qFormat/>
    <w:uiPriority w:val="0"/>
    <w:pPr>
      <w:spacing w:line="580" w:lineRule="exact"/>
      <w:ind w:firstLine="555"/>
    </w:pPr>
    <w:rPr>
      <w:rFonts w:ascii="楷体_GB2312" w:eastAsia="楷体_GB2312"/>
      <w:sz w:val="28"/>
    </w:rPr>
  </w:style>
  <w:style w:type="paragraph" w:styleId="24">
    <w:name w:val="Body Text 2"/>
    <w:basedOn w:val="1"/>
    <w:unhideWhenUsed/>
    <w:qFormat/>
    <w:uiPriority w:val="0"/>
    <w:pPr>
      <w:spacing w:beforeLines="0" w:after="120" w:afterLines="0" w:line="480" w:lineRule="auto"/>
    </w:pPr>
    <w:rPr>
      <w:rFonts w:hint="default"/>
      <w:sz w:val="21"/>
      <w:szCs w:val="24"/>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27">
    <w:name w:val="annotation subject"/>
    <w:basedOn w:val="15"/>
    <w:next w:val="15"/>
    <w:link w:val="53"/>
    <w:qFormat/>
    <w:uiPriority w:val="0"/>
    <w:rPr>
      <w:b/>
      <w:bCs/>
      <w:kern w:val="2"/>
      <w:sz w:val="21"/>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rPr>
      <w:b/>
    </w:rPr>
  </w:style>
  <w:style w:type="character" w:styleId="32">
    <w:name w:val="page number"/>
    <w:autoRedefine/>
    <w:qFormat/>
    <w:uiPriority w:val="0"/>
  </w:style>
  <w:style w:type="character" w:styleId="33">
    <w:name w:val="annotation reference"/>
    <w:basedOn w:val="30"/>
    <w:autoRedefine/>
    <w:qFormat/>
    <w:uiPriority w:val="0"/>
    <w:rPr>
      <w:sz w:val="21"/>
      <w:szCs w:val="21"/>
    </w:rPr>
  </w:style>
  <w:style w:type="paragraph" w:customStyle="1" w:styleId="34">
    <w:name w:val="Default"/>
    <w:basedOn w:val="35"/>
    <w:autoRedefine/>
    <w:qFormat/>
    <w:uiPriority w:val="0"/>
    <w:pPr>
      <w:autoSpaceDE w:val="0"/>
      <w:autoSpaceDN w:val="0"/>
    </w:pPr>
    <w:rPr>
      <w:rFonts w:hAnsi="宋体"/>
      <w:color w:val="000000"/>
      <w:sz w:val="24"/>
    </w:rPr>
  </w:style>
  <w:style w:type="paragraph" w:customStyle="1" w:styleId="35">
    <w:name w:val="纯文本1"/>
    <w:basedOn w:val="1"/>
    <w:qFormat/>
    <w:uiPriority w:val="0"/>
    <w:pPr>
      <w:adjustRightInd w:val="0"/>
    </w:pPr>
    <w:rPr>
      <w:rFonts w:hint="eastAsia" w:ascii="宋体" w:hAnsi="Courier New"/>
      <w:szCs w:val="20"/>
    </w:rPr>
  </w:style>
  <w:style w:type="paragraph" w:customStyle="1" w:styleId="36">
    <w:name w:val="样式1"/>
    <w:basedOn w:val="21"/>
    <w:next w:val="1"/>
    <w:qFormat/>
    <w:uiPriority w:val="0"/>
    <w:pPr>
      <w:pBdr>
        <w:bottom w:val="single" w:color="auto" w:sz="4" w:space="1"/>
      </w:pBdr>
      <w:tabs>
        <w:tab w:val="center" w:pos="4153"/>
        <w:tab w:val="right" w:pos="8306"/>
      </w:tabs>
    </w:pPr>
    <w:rPr>
      <w:rFonts w:ascii="Times New Roman" w:hAnsi="Times New Roman" w:cs="Times New Roman"/>
      <w:u w:val="single"/>
    </w:rPr>
  </w:style>
  <w:style w:type="paragraph" w:customStyle="1" w:styleId="37">
    <w:name w:val="表格"/>
    <w:basedOn w:val="7"/>
    <w:next w:val="1"/>
    <w:qFormat/>
    <w:uiPriority w:val="0"/>
    <w:pPr>
      <w:adjustRightInd w:val="0"/>
      <w:snapToGrid w:val="0"/>
      <w:spacing w:beforeLines="10" w:afterLines="10" w:line="259" w:lineRule="auto"/>
      <w:jc w:val="center"/>
    </w:pPr>
    <w:rPr>
      <w:rFonts w:ascii="宋体"/>
      <w:kern w:val="0"/>
      <w:sz w:val="20"/>
      <w:szCs w:val="21"/>
    </w:rPr>
  </w:style>
  <w:style w:type="character" w:customStyle="1" w:styleId="38">
    <w:name w:val="标题 1 字符"/>
    <w:basedOn w:val="30"/>
    <w:link w:val="2"/>
    <w:autoRedefine/>
    <w:qFormat/>
    <w:uiPriority w:val="1"/>
    <w:rPr>
      <w:rFonts w:ascii="Times New Roman" w:hAnsi="Times New Roman" w:eastAsia="黑体" w:cs="Times New Roman"/>
      <w:b/>
      <w:bCs/>
      <w:kern w:val="44"/>
      <w:sz w:val="32"/>
      <w:szCs w:val="32"/>
    </w:rPr>
  </w:style>
  <w:style w:type="character" w:customStyle="1" w:styleId="39">
    <w:name w:val="标题 4 字符"/>
    <w:link w:val="5"/>
    <w:autoRedefine/>
    <w:qFormat/>
    <w:uiPriority w:val="0"/>
    <w:rPr>
      <w:rFonts w:ascii="黑体" w:hAnsi="黑体" w:eastAsia="黑体" w:cs="黑体"/>
      <w:color w:val="000000"/>
      <w:sz w:val="24"/>
      <w:szCs w:val="24"/>
    </w:rPr>
  </w:style>
  <w:style w:type="character" w:customStyle="1" w:styleId="40">
    <w:name w:val="标题 2 字符"/>
    <w:link w:val="3"/>
    <w:autoRedefine/>
    <w:qFormat/>
    <w:uiPriority w:val="0"/>
    <w:rPr>
      <w:rFonts w:ascii="Arial" w:hAnsi="Arial" w:eastAsia="宋体" w:cs="Times New Roman"/>
      <w:b/>
      <w:kern w:val="2"/>
      <w:sz w:val="36"/>
      <w:szCs w:val="22"/>
    </w:rPr>
  </w:style>
  <w:style w:type="paragraph" w:customStyle="1" w:styleId="41">
    <w:name w:val="标题4-4"/>
    <w:basedOn w:val="1"/>
    <w:autoRedefine/>
    <w:qFormat/>
    <w:uiPriority w:val="0"/>
    <w:pPr>
      <w:tabs>
        <w:tab w:val="left" w:pos="360"/>
      </w:tabs>
      <w:snapToGrid w:val="0"/>
      <w:spacing w:line="360" w:lineRule="auto"/>
    </w:pPr>
    <w:rPr>
      <w:rFonts w:ascii="宋体" w:hAnsi="宋体"/>
      <w:sz w:val="24"/>
    </w:rPr>
  </w:style>
  <w:style w:type="paragraph" w:customStyle="1" w:styleId="42">
    <w:name w:val="样式 首行缩进:  2 字符1"/>
    <w:basedOn w:val="1"/>
    <w:autoRedefine/>
    <w:qFormat/>
    <w:uiPriority w:val="0"/>
    <w:pPr>
      <w:adjustRightInd w:val="0"/>
      <w:snapToGrid w:val="0"/>
      <w:spacing w:line="360" w:lineRule="auto"/>
      <w:ind w:firstLine="200" w:firstLineChars="200"/>
    </w:pPr>
    <w:rPr>
      <w:rFonts w:ascii="仿宋_GB2312" w:eastAsia="仿宋_GB2312"/>
      <w:sz w:val="28"/>
      <w:szCs w:val="20"/>
    </w:rPr>
  </w:style>
  <w:style w:type="character" w:customStyle="1" w:styleId="43">
    <w:name w:val="font31"/>
    <w:basedOn w:val="30"/>
    <w:autoRedefine/>
    <w:qFormat/>
    <w:uiPriority w:val="0"/>
    <w:rPr>
      <w:rFonts w:hint="eastAsia" w:ascii="宋体" w:hAnsi="宋体" w:eastAsia="宋体" w:cs="宋体"/>
      <w:color w:val="000000"/>
      <w:sz w:val="21"/>
      <w:szCs w:val="21"/>
      <w:u w:val="none"/>
    </w:rPr>
  </w:style>
  <w:style w:type="paragraph" w:customStyle="1" w:styleId="44">
    <w:name w:val="图片"/>
    <w:basedOn w:val="1"/>
    <w:autoRedefine/>
    <w:qFormat/>
    <w:uiPriority w:val="0"/>
    <w:rPr>
      <w:sz w:val="28"/>
    </w:rPr>
  </w:style>
  <w:style w:type="paragraph" w:customStyle="1" w:styleId="45">
    <w:name w:val="p0"/>
    <w:basedOn w:val="1"/>
    <w:autoRedefine/>
    <w:qFormat/>
    <w:uiPriority w:val="0"/>
    <w:pPr>
      <w:widowControl/>
    </w:pPr>
    <w:rPr>
      <w:kern w:val="0"/>
      <w:szCs w:val="21"/>
    </w:rPr>
  </w:style>
  <w:style w:type="paragraph" w:customStyle="1" w:styleId="46">
    <w:name w:val="正文文本缩进1"/>
    <w:basedOn w:val="1"/>
    <w:autoRedefine/>
    <w:qFormat/>
    <w:uiPriority w:val="0"/>
    <w:pPr>
      <w:spacing w:line="440" w:lineRule="exact"/>
      <w:ind w:firstLine="527"/>
    </w:pPr>
  </w:style>
  <w:style w:type="paragraph" w:customStyle="1" w:styleId="47">
    <w:name w:val="样式 首行缩进:  1.92 字符"/>
    <w:basedOn w:val="1"/>
    <w:autoRedefine/>
    <w:qFormat/>
    <w:uiPriority w:val="0"/>
    <w:pPr>
      <w:adjustRightInd w:val="0"/>
      <w:snapToGrid w:val="0"/>
      <w:spacing w:line="360" w:lineRule="auto"/>
      <w:ind w:firstLine="200" w:firstLineChars="200"/>
    </w:pPr>
    <w:rPr>
      <w:rFonts w:eastAsia="仿宋_GB2312" w:cs="宋体"/>
      <w:sz w:val="28"/>
      <w:szCs w:val="20"/>
    </w:rPr>
  </w:style>
  <w:style w:type="paragraph" w:styleId="48">
    <w:name w:val="No Spacing"/>
    <w:autoRedefine/>
    <w:qFormat/>
    <w:uiPriority w:val="0"/>
    <w:pPr>
      <w:widowControl w:val="0"/>
      <w:adjustRightInd w:val="0"/>
      <w:ind w:firstLine="200" w:firstLineChars="200"/>
      <w:jc w:val="center"/>
    </w:pPr>
    <w:rPr>
      <w:rFonts w:ascii="Times New Roman" w:hAnsi="Times New Roman" w:eastAsia="宋体" w:cs="Times New Roman"/>
      <w:b/>
      <w:kern w:val="2"/>
      <w:sz w:val="21"/>
      <w:szCs w:val="22"/>
      <w:lang w:val="en-US" w:eastAsia="zh-CN" w:bidi="ar-SA"/>
    </w:rPr>
  </w:style>
  <w:style w:type="character" w:customStyle="1" w:styleId="49">
    <w:name w:val="NormalCharacter"/>
    <w:autoRedefine/>
    <w:semiHidden/>
    <w:qFormat/>
    <w:uiPriority w:val="0"/>
  </w:style>
  <w:style w:type="paragraph" w:customStyle="1" w:styleId="50">
    <w:name w:val="表格内容"/>
    <w:basedOn w:val="1"/>
    <w:next w:val="1"/>
    <w:autoRedefine/>
    <w:qFormat/>
    <w:uiPriority w:val="0"/>
    <w:pPr>
      <w:jc w:val="center"/>
    </w:pPr>
    <w:rPr>
      <w:szCs w:val="21"/>
    </w:rPr>
  </w:style>
  <w:style w:type="paragraph" w:customStyle="1" w:styleId="51">
    <w:name w:val="正文."/>
    <w:basedOn w:val="1"/>
    <w:autoRedefine/>
    <w:qFormat/>
    <w:uiPriority w:val="0"/>
    <w:rPr>
      <w:sz w:val="28"/>
      <w:szCs w:val="28"/>
    </w:rPr>
  </w:style>
  <w:style w:type="character" w:customStyle="1" w:styleId="52">
    <w:name w:val="批注文字 字符"/>
    <w:basedOn w:val="30"/>
    <w:link w:val="15"/>
    <w:semiHidden/>
    <w:qFormat/>
    <w:uiPriority w:val="0"/>
    <w:rPr>
      <w:szCs w:val="24"/>
    </w:rPr>
  </w:style>
  <w:style w:type="character" w:customStyle="1" w:styleId="53">
    <w:name w:val="批注主题 字符"/>
    <w:basedOn w:val="52"/>
    <w:link w:val="27"/>
    <w:qFormat/>
    <w:uiPriority w:val="0"/>
    <w:rPr>
      <w:b/>
      <w:bCs/>
      <w:kern w:val="2"/>
      <w:sz w:val="21"/>
      <w:szCs w:val="24"/>
    </w:rPr>
  </w:style>
  <w:style w:type="character" w:customStyle="1" w:styleId="54">
    <w:name w:val="批注框文本 字符"/>
    <w:basedOn w:val="30"/>
    <w:link w:val="17"/>
    <w:qFormat/>
    <w:uiPriority w:val="0"/>
    <w:rPr>
      <w:kern w:val="2"/>
      <w:sz w:val="18"/>
      <w:szCs w:val="18"/>
    </w:rPr>
  </w:style>
  <w:style w:type="paragraph" w:styleId="55">
    <w:name w:val="List Paragraph"/>
    <w:basedOn w:val="1"/>
    <w:unhideWhenUsed/>
    <w:qFormat/>
    <w:uiPriority w:val="1"/>
    <w:rPr>
      <w:rFonts w:hint="default"/>
      <w:sz w:val="24"/>
      <w:szCs w:val="24"/>
    </w:rPr>
  </w:style>
  <w:style w:type="paragraph" w:customStyle="1" w:styleId="56">
    <w:name w:val="4正文"/>
    <w:basedOn w:val="1"/>
    <w:unhideWhenUsed/>
    <w:qFormat/>
    <w:uiPriority w:val="99"/>
    <w:pPr>
      <w:spacing w:beforeLines="0" w:afterLines="0"/>
      <w:ind w:firstLine="480"/>
    </w:pPr>
    <w:rPr>
      <w:rFonts w:hint="default" w:ascii="Calibri" w:hAnsi="Calibri"/>
      <w:sz w:val="21"/>
      <w:szCs w:val="22"/>
    </w:rPr>
  </w:style>
  <w:style w:type="paragraph" w:customStyle="1" w:styleId="57">
    <w:name w:val="Table Paragraph"/>
    <w:basedOn w:val="1"/>
    <w:qFormat/>
    <w:uiPriority w:val="0"/>
    <w:pPr>
      <w:jc w:val="left"/>
    </w:pPr>
    <w:rPr>
      <w:rFonts w:ascii="Calibri" w:hAnsi="Calibri" w:eastAsia="宋体" w:cs="Times New Roman"/>
      <w:kern w:val="0"/>
      <w:sz w:val="22"/>
      <w:lang w:eastAsia="en-US"/>
    </w:rPr>
  </w:style>
  <w:style w:type="paragraph" w:customStyle="1" w:styleId="58">
    <w:name w:val="WPSOffice手动目录 1"/>
    <w:qFormat/>
    <w:uiPriority w:val="0"/>
    <w:pPr>
      <w:ind w:leftChars="0"/>
    </w:pPr>
    <w:rPr>
      <w:rFonts w:ascii="Times New Roman" w:hAnsi="Times New Roman" w:eastAsia="宋体" w:cs="Times New Roman"/>
      <w:sz w:val="20"/>
      <w:szCs w:val="20"/>
    </w:rPr>
  </w:style>
  <w:style w:type="paragraph" w:customStyle="1" w:styleId="59">
    <w:name w:val="正文_两端对齐"/>
    <w:basedOn w:val="1"/>
    <w:qFormat/>
    <w:uiPriority w:val="0"/>
    <w:pPr>
      <w:jc w:val="both"/>
    </w:pPr>
  </w:style>
  <w:style w:type="paragraph" w:customStyle="1" w:styleId="60">
    <w:name w:val="5正文"/>
    <w:basedOn w:val="1"/>
    <w:unhideWhenUsed/>
    <w:qFormat/>
    <w:uiPriority w:val="0"/>
    <w:pPr>
      <w:spacing w:beforeLines="0" w:afterLines="0" w:line="360" w:lineRule="auto"/>
      <w:ind w:firstLine="200" w:firstLineChars="200"/>
      <w:jc w:val="left"/>
    </w:pPr>
    <w:rPr>
      <w:rFonts w:hint="default" w:cs="Calibri"/>
      <w:sz w:val="24"/>
      <w:szCs w:val="28"/>
    </w:rPr>
  </w:style>
  <w:style w:type="character" w:customStyle="1" w:styleId="61">
    <w:name w:val="font41"/>
    <w:basedOn w:val="30"/>
    <w:qFormat/>
    <w:uiPriority w:val="0"/>
    <w:rPr>
      <w:rFonts w:hint="default" w:ascii="Times New Roman" w:hAnsi="Times New Roman" w:cs="Times New Roman"/>
      <w:color w:val="000000"/>
      <w:sz w:val="18"/>
      <w:szCs w:val="18"/>
      <w:u w:val="none"/>
    </w:rPr>
  </w:style>
  <w:style w:type="character" w:customStyle="1" w:styleId="62">
    <w:name w:val="font51"/>
    <w:basedOn w:val="30"/>
    <w:qFormat/>
    <w:uiPriority w:val="0"/>
    <w:rPr>
      <w:rFonts w:hint="eastAsia" w:ascii="宋体" w:hAnsi="宋体" w:eastAsia="宋体" w:cs="宋体"/>
      <w:color w:val="000000"/>
      <w:sz w:val="18"/>
      <w:szCs w:val="18"/>
      <w:u w:val="none"/>
    </w:rPr>
  </w:style>
  <w:style w:type="character" w:customStyle="1" w:styleId="63">
    <w:name w:val="font11"/>
    <w:basedOn w:val="3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wmf"/><Relationship Id="rId33" Type="http://schemas.openxmlformats.org/officeDocument/2006/relationships/image" Target="media/image16.png"/><Relationship Id="rId32" Type="http://schemas.openxmlformats.org/officeDocument/2006/relationships/chart" Target="charts/chart2.xml"/><Relationship Id="rId31" Type="http://schemas.openxmlformats.org/officeDocument/2006/relationships/chart" Target="charts/chart1.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emf"/><Relationship Id="rId27" Type="http://schemas.openxmlformats.org/officeDocument/2006/relationships/oleObject" Target="embeddings/oleObject9.bin"/><Relationship Id="rId26" Type="http://schemas.openxmlformats.org/officeDocument/2006/relationships/image" Target="media/image12.emf"/><Relationship Id="rId25" Type="http://schemas.openxmlformats.org/officeDocument/2006/relationships/oleObject" Target="embeddings/oleObject8.bin"/><Relationship Id="rId24" Type="http://schemas.openxmlformats.org/officeDocument/2006/relationships/image" Target="media/image11.emf"/><Relationship Id="rId23" Type="http://schemas.openxmlformats.org/officeDocument/2006/relationships/oleObject" Target="embeddings/oleObject7.bin"/><Relationship Id="rId22" Type="http://schemas.openxmlformats.org/officeDocument/2006/relationships/image" Target="media/image10.jpeg"/><Relationship Id="rId21" Type="http://schemas.openxmlformats.org/officeDocument/2006/relationships/image" Target="media/image9.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image" Target="media/image6.jpeg"/><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1069;&#21516;&#20107;\&#30005;&#30913;&#39044;&#27979;&#32472;&#22270;Excel\&#30005;&#30913;&#39044;&#27979;&#32472;&#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1069;&#21516;&#20107;\&#30005;&#30913;&#39044;&#27979;&#32472;&#22270;Excel\&#30005;&#30913;&#39044;&#27979;&#32472;&#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66646962755"/>
          <c:y val="0.047815878079036"/>
          <c:w val="0.819518486115162"/>
          <c:h val="0.763549139690872"/>
        </c:manualLayout>
      </c:layout>
      <c:lineChart>
        <c:grouping val="standard"/>
        <c:varyColors val="0"/>
        <c:ser>
          <c:idx val="0"/>
          <c:order val="0"/>
          <c:tx>
            <c:strRef>
              <c:f>[电磁预测绘图.xlsx]单回路不同最低高度!$B$161</c:f>
              <c:strCache>
                <c:ptCount val="1"/>
                <c:pt idx="0">
                  <c:v>单回路塔线路段</c:v>
                </c:pt>
              </c:strCache>
            </c:strRef>
          </c:tx>
          <c:spPr>
            <a:ln w="28575" cap="rnd">
              <a:solidFill>
                <a:schemeClr val="accent1"/>
              </a:solidFill>
              <a:round/>
            </a:ln>
            <a:effectLst/>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[电磁预测绘图.xlsx]单回路不同最低高度!$B$162:$B$262</c:f>
              <c:numCache>
                <c:formatCode>General</c:formatCode>
                <c:ptCount val="101"/>
                <c:pt idx="0">
                  <c:v>0.025</c:v>
                </c:pt>
                <c:pt idx="1">
                  <c:v>0.026</c:v>
                </c:pt>
                <c:pt idx="2">
                  <c:v>0.028</c:v>
                </c:pt>
                <c:pt idx="3">
                  <c:v>0.03</c:v>
                </c:pt>
                <c:pt idx="4">
                  <c:v>0.031</c:v>
                </c:pt>
                <c:pt idx="5">
                  <c:v>0.033</c:v>
                </c:pt>
                <c:pt idx="6">
                  <c:v>0.036</c:v>
                </c:pt>
                <c:pt idx="7">
                  <c:v>0.038</c:v>
                </c:pt>
                <c:pt idx="8">
                  <c:v>0.04</c:v>
                </c:pt>
                <c:pt idx="9">
                  <c:v>0.043</c:v>
                </c:pt>
                <c:pt idx="10">
                  <c:v>0.046</c:v>
                </c:pt>
                <c:pt idx="11">
                  <c:v>0.05</c:v>
                </c:pt>
                <c:pt idx="12">
                  <c:v>0.053</c:v>
                </c:pt>
                <c:pt idx="13">
                  <c:v>0.058</c:v>
                </c:pt>
                <c:pt idx="14">
                  <c:v>0.062</c:v>
                </c:pt>
                <c:pt idx="15">
                  <c:v>0.067</c:v>
                </c:pt>
                <c:pt idx="16">
                  <c:v>0.073</c:v>
                </c:pt>
                <c:pt idx="17">
                  <c:v>0.079</c:v>
                </c:pt>
                <c:pt idx="18">
                  <c:v>0.086</c:v>
                </c:pt>
                <c:pt idx="19">
                  <c:v>0.094</c:v>
                </c:pt>
                <c:pt idx="20">
                  <c:v>0.102</c:v>
                </c:pt>
                <c:pt idx="21">
                  <c:v>0.112</c:v>
                </c:pt>
                <c:pt idx="22">
                  <c:v>0.123</c:v>
                </c:pt>
                <c:pt idx="23">
                  <c:v>0.136</c:v>
                </c:pt>
                <c:pt idx="24">
                  <c:v>0.15</c:v>
                </c:pt>
                <c:pt idx="25">
                  <c:v>0.166</c:v>
                </c:pt>
                <c:pt idx="26">
                  <c:v>0.184</c:v>
                </c:pt>
                <c:pt idx="27">
                  <c:v>0.205</c:v>
                </c:pt>
                <c:pt idx="28">
                  <c:v>0.229</c:v>
                </c:pt>
                <c:pt idx="29">
                  <c:v>0.257</c:v>
                </c:pt>
                <c:pt idx="30">
                  <c:v>0.288</c:v>
                </c:pt>
                <c:pt idx="31">
                  <c:v>0.324</c:v>
                </c:pt>
                <c:pt idx="32">
                  <c:v>0.365</c:v>
                </c:pt>
                <c:pt idx="33">
                  <c:v>0.412</c:v>
                </c:pt>
                <c:pt idx="34">
                  <c:v>0.466</c:v>
                </c:pt>
                <c:pt idx="35">
                  <c:v>0.526</c:v>
                </c:pt>
                <c:pt idx="36">
                  <c:v>0.594</c:v>
                </c:pt>
                <c:pt idx="37">
                  <c:v>0.667</c:v>
                </c:pt>
                <c:pt idx="38">
                  <c:v>0.746</c:v>
                </c:pt>
                <c:pt idx="39">
                  <c:v>0.828</c:v>
                </c:pt>
                <c:pt idx="40">
                  <c:v>0.908</c:v>
                </c:pt>
                <c:pt idx="41">
                  <c:v>0.979</c:v>
                </c:pt>
                <c:pt idx="42">
                  <c:v>1.033</c:v>
                </c:pt>
                <c:pt idx="43">
                  <c:v>1.06</c:v>
                </c:pt>
                <c:pt idx="44">
                  <c:v>1.052</c:v>
                </c:pt>
                <c:pt idx="45">
                  <c:v>1.003</c:v>
                </c:pt>
                <c:pt idx="46">
                  <c:v>0.913</c:v>
                </c:pt>
                <c:pt idx="47">
                  <c:v>0.794</c:v>
                </c:pt>
                <c:pt idx="48">
                  <c:v>0.666</c:v>
                </c:pt>
                <c:pt idx="49">
                  <c:v>0.568</c:v>
                </c:pt>
                <c:pt idx="50">
                  <c:v>0.544</c:v>
                </c:pt>
                <c:pt idx="51">
                  <c:v>0.607</c:v>
                </c:pt>
                <c:pt idx="52">
                  <c:v>0.717</c:v>
                </c:pt>
                <c:pt idx="53">
                  <c:v>0.831</c:v>
                </c:pt>
                <c:pt idx="54">
                  <c:v>0.92</c:v>
                </c:pt>
                <c:pt idx="55">
                  <c:v>0.973</c:v>
                </c:pt>
                <c:pt idx="56">
                  <c:v>0.986</c:v>
                </c:pt>
                <c:pt idx="57">
                  <c:v>0.964</c:v>
                </c:pt>
                <c:pt idx="58">
                  <c:v>0.915</c:v>
                </c:pt>
                <c:pt idx="59">
                  <c:v>0.849</c:v>
                </c:pt>
                <c:pt idx="60">
                  <c:v>0.774</c:v>
                </c:pt>
                <c:pt idx="61">
                  <c:v>0.697</c:v>
                </c:pt>
                <c:pt idx="62">
                  <c:v>0.622</c:v>
                </c:pt>
                <c:pt idx="63">
                  <c:v>0.551</c:v>
                </c:pt>
                <c:pt idx="64">
                  <c:v>0.487</c:v>
                </c:pt>
                <c:pt idx="65">
                  <c:v>0.43</c:v>
                </c:pt>
                <c:pt idx="66">
                  <c:v>0.38</c:v>
                </c:pt>
                <c:pt idx="67">
                  <c:v>0.335</c:v>
                </c:pt>
                <c:pt idx="68">
                  <c:v>0.297</c:v>
                </c:pt>
                <c:pt idx="69">
                  <c:v>0.263</c:v>
                </c:pt>
                <c:pt idx="70">
                  <c:v>0.234</c:v>
                </c:pt>
                <c:pt idx="71">
                  <c:v>0.208</c:v>
                </c:pt>
                <c:pt idx="72">
                  <c:v>0.186</c:v>
                </c:pt>
                <c:pt idx="73">
                  <c:v>0.167</c:v>
                </c:pt>
                <c:pt idx="74">
                  <c:v>0.15</c:v>
                </c:pt>
                <c:pt idx="75">
                  <c:v>0.135</c:v>
                </c:pt>
                <c:pt idx="76">
                  <c:v>0.122</c:v>
                </c:pt>
                <c:pt idx="77">
                  <c:v>0.111</c:v>
                </c:pt>
                <c:pt idx="78">
                  <c:v>0.101</c:v>
                </c:pt>
                <c:pt idx="79">
                  <c:v>0.092</c:v>
                </c:pt>
                <c:pt idx="80">
                  <c:v>0.084</c:v>
                </c:pt>
                <c:pt idx="81">
                  <c:v>0.077</c:v>
                </c:pt>
                <c:pt idx="82">
                  <c:v>0.07</c:v>
                </c:pt>
                <c:pt idx="83">
                  <c:v>0.065</c:v>
                </c:pt>
                <c:pt idx="84">
                  <c:v>0.06</c:v>
                </c:pt>
                <c:pt idx="85">
                  <c:v>0.055</c:v>
                </c:pt>
                <c:pt idx="86">
                  <c:v>0.051</c:v>
                </c:pt>
                <c:pt idx="87">
                  <c:v>0.047</c:v>
                </c:pt>
                <c:pt idx="88">
                  <c:v>0.044</c:v>
                </c:pt>
                <c:pt idx="89">
                  <c:v>0.041</c:v>
                </c:pt>
                <c:pt idx="90">
                  <c:v>0.038</c:v>
                </c:pt>
                <c:pt idx="91">
                  <c:v>0.036</c:v>
                </c:pt>
                <c:pt idx="92">
                  <c:v>0.034</c:v>
                </c:pt>
                <c:pt idx="93">
                  <c:v>0.031</c:v>
                </c:pt>
                <c:pt idx="94">
                  <c:v>0.03</c:v>
                </c:pt>
                <c:pt idx="95">
                  <c:v>0.028</c:v>
                </c:pt>
                <c:pt idx="96">
                  <c:v>0.026</c:v>
                </c:pt>
                <c:pt idx="97">
                  <c:v>0.025</c:v>
                </c:pt>
                <c:pt idx="98">
                  <c:v>0.023</c:v>
                </c:pt>
                <c:pt idx="99">
                  <c:v>0.022</c:v>
                </c:pt>
                <c:pt idx="100">
                  <c:v>0.021</c:v>
                </c:pt>
              </c:numCache>
            </c:numRef>
          </c:val>
          <c:smooth val="0"/>
        </c:ser>
        <c:ser>
          <c:idx val="1"/>
          <c:order val="1"/>
          <c:tx>
            <c:strRef>
              <c:f>[电磁预测绘图.xlsx]单回路不同最低高度!$C$161</c:f>
              <c:strCache>
                <c:ptCount val="1"/>
                <c:pt idx="0">
                  <c:v>同塔双回路塔单侧挂线段（按单回投运预测）</c:v>
                </c:pt>
              </c:strCache>
            </c:strRef>
          </c:tx>
          <c:spPr>
            <a:ln w="28575" cap="rnd" cmpd="sng">
              <a:solidFill>
                <a:schemeClr val="tx1"/>
              </a:solidFill>
              <a:prstDash val="solid"/>
              <a:round/>
            </a:ln>
            <a:effectLst/>
            <a:sp3d contourW="28575"/>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[电磁预测绘图.xlsx]单回路不同最低高度!$C$162:$C$262</c:f>
              <c:numCache>
                <c:formatCode>General</c:formatCode>
                <c:ptCount val="101"/>
                <c:pt idx="0">
                  <c:v>0.029</c:v>
                </c:pt>
                <c:pt idx="1">
                  <c:v>0.03</c:v>
                </c:pt>
                <c:pt idx="2">
                  <c:v>0.031</c:v>
                </c:pt>
                <c:pt idx="3">
                  <c:v>0.032</c:v>
                </c:pt>
                <c:pt idx="4">
                  <c:v>0.033</c:v>
                </c:pt>
                <c:pt idx="5">
                  <c:v>0.034</c:v>
                </c:pt>
                <c:pt idx="6">
                  <c:v>0.034</c:v>
                </c:pt>
                <c:pt idx="7">
                  <c:v>0.035</c:v>
                </c:pt>
                <c:pt idx="8">
                  <c:v>0.036</c:v>
                </c:pt>
                <c:pt idx="9">
                  <c:v>0.037</c:v>
                </c:pt>
                <c:pt idx="10">
                  <c:v>0.038</c:v>
                </c:pt>
                <c:pt idx="11">
                  <c:v>0.039</c:v>
                </c:pt>
                <c:pt idx="12">
                  <c:v>0.04</c:v>
                </c:pt>
                <c:pt idx="13">
                  <c:v>0.041</c:v>
                </c:pt>
                <c:pt idx="14">
                  <c:v>0.042</c:v>
                </c:pt>
                <c:pt idx="15">
                  <c:v>0.042</c:v>
                </c:pt>
                <c:pt idx="16">
                  <c:v>0.043</c:v>
                </c:pt>
                <c:pt idx="17">
                  <c:v>0.043</c:v>
                </c:pt>
                <c:pt idx="18">
                  <c:v>0.043</c:v>
                </c:pt>
                <c:pt idx="19">
                  <c:v>0.043</c:v>
                </c:pt>
                <c:pt idx="20">
                  <c:v>0.043</c:v>
                </c:pt>
                <c:pt idx="21">
                  <c:v>0.042</c:v>
                </c:pt>
                <c:pt idx="22">
                  <c:v>0.041</c:v>
                </c:pt>
                <c:pt idx="23">
                  <c:v>0.04</c:v>
                </c:pt>
                <c:pt idx="24">
                  <c:v>0.04</c:v>
                </c:pt>
                <c:pt idx="25">
                  <c:v>0.04</c:v>
                </c:pt>
                <c:pt idx="26">
                  <c:v>0.041</c:v>
                </c:pt>
                <c:pt idx="27">
                  <c:v>0.045</c:v>
                </c:pt>
                <c:pt idx="28">
                  <c:v>0.053</c:v>
                </c:pt>
                <c:pt idx="29">
                  <c:v>0.065</c:v>
                </c:pt>
                <c:pt idx="30">
                  <c:v>0.083</c:v>
                </c:pt>
                <c:pt idx="31">
                  <c:v>0.107</c:v>
                </c:pt>
                <c:pt idx="32">
                  <c:v>0.137</c:v>
                </c:pt>
                <c:pt idx="33">
                  <c:v>0.175</c:v>
                </c:pt>
                <c:pt idx="34">
                  <c:v>0.221</c:v>
                </c:pt>
                <c:pt idx="35">
                  <c:v>0.276</c:v>
                </c:pt>
                <c:pt idx="36">
                  <c:v>0.342</c:v>
                </c:pt>
                <c:pt idx="37">
                  <c:v>0.418</c:v>
                </c:pt>
                <c:pt idx="38">
                  <c:v>0.506</c:v>
                </c:pt>
                <c:pt idx="39">
                  <c:v>0.602</c:v>
                </c:pt>
                <c:pt idx="40">
                  <c:v>0.704</c:v>
                </c:pt>
                <c:pt idx="41">
                  <c:v>0.806</c:v>
                </c:pt>
                <c:pt idx="42">
                  <c:v>0.9</c:v>
                </c:pt>
                <c:pt idx="43">
                  <c:v>0.978</c:v>
                </c:pt>
                <c:pt idx="44">
                  <c:v>1.029</c:v>
                </c:pt>
                <c:pt idx="45">
                  <c:v>1.048</c:v>
                </c:pt>
                <c:pt idx="46">
                  <c:v>1.031</c:v>
                </c:pt>
                <c:pt idx="47">
                  <c:v>0.981</c:v>
                </c:pt>
                <c:pt idx="48">
                  <c:v>0.906</c:v>
                </c:pt>
                <c:pt idx="49">
                  <c:v>0.813</c:v>
                </c:pt>
                <c:pt idx="50">
                  <c:v>0.713</c:v>
                </c:pt>
                <c:pt idx="51">
                  <c:v>0.613</c:v>
                </c:pt>
                <c:pt idx="52">
                  <c:v>0.519</c:v>
                </c:pt>
                <c:pt idx="53">
                  <c:v>0.432</c:v>
                </c:pt>
                <c:pt idx="54">
                  <c:v>0.356</c:v>
                </c:pt>
                <c:pt idx="55">
                  <c:v>0.29</c:v>
                </c:pt>
                <c:pt idx="56">
                  <c:v>0.233</c:v>
                </c:pt>
                <c:pt idx="57">
                  <c:v>0.186</c:v>
                </c:pt>
                <c:pt idx="58">
                  <c:v>0.147</c:v>
                </c:pt>
                <c:pt idx="59">
                  <c:v>0.115</c:v>
                </c:pt>
                <c:pt idx="60">
                  <c:v>0.088</c:v>
                </c:pt>
                <c:pt idx="61">
                  <c:v>0.067</c:v>
                </c:pt>
                <c:pt idx="62">
                  <c:v>0.05</c:v>
                </c:pt>
                <c:pt idx="63">
                  <c:v>0.038</c:v>
                </c:pt>
                <c:pt idx="64">
                  <c:v>0.028</c:v>
                </c:pt>
                <c:pt idx="65">
                  <c:v>0.023</c:v>
                </c:pt>
                <c:pt idx="66">
                  <c:v>0.02</c:v>
                </c:pt>
                <c:pt idx="67">
                  <c:v>0.02</c:v>
                </c:pt>
                <c:pt idx="68">
                  <c:v>0.021</c:v>
                </c:pt>
                <c:pt idx="69">
                  <c:v>0.023</c:v>
                </c:pt>
                <c:pt idx="70">
                  <c:v>0.024</c:v>
                </c:pt>
                <c:pt idx="71">
                  <c:v>0.026</c:v>
                </c:pt>
                <c:pt idx="72">
                  <c:v>0.027</c:v>
                </c:pt>
                <c:pt idx="73">
                  <c:v>0.028</c:v>
                </c:pt>
                <c:pt idx="74">
                  <c:v>0.028</c:v>
                </c:pt>
                <c:pt idx="75">
                  <c:v>0.028</c:v>
                </c:pt>
                <c:pt idx="76">
                  <c:v>0.029</c:v>
                </c:pt>
                <c:pt idx="77">
                  <c:v>0.028</c:v>
                </c:pt>
                <c:pt idx="78">
                  <c:v>0.028</c:v>
                </c:pt>
                <c:pt idx="79">
                  <c:v>0.028</c:v>
                </c:pt>
                <c:pt idx="80">
                  <c:v>0.028</c:v>
                </c:pt>
                <c:pt idx="81">
                  <c:v>0.027</c:v>
                </c:pt>
                <c:pt idx="82">
                  <c:v>0.027</c:v>
                </c:pt>
                <c:pt idx="83">
                  <c:v>0.027</c:v>
                </c:pt>
                <c:pt idx="84">
                  <c:v>0.026</c:v>
                </c:pt>
                <c:pt idx="85">
                  <c:v>0.026</c:v>
                </c:pt>
                <c:pt idx="86">
                  <c:v>0.025</c:v>
                </c:pt>
                <c:pt idx="87">
                  <c:v>0.024</c:v>
                </c:pt>
                <c:pt idx="88">
                  <c:v>0.024</c:v>
                </c:pt>
                <c:pt idx="89">
                  <c:v>0.023</c:v>
                </c:pt>
                <c:pt idx="90">
                  <c:v>0.023</c:v>
                </c:pt>
                <c:pt idx="91">
                  <c:v>0.022</c:v>
                </c:pt>
                <c:pt idx="92">
                  <c:v>0.022</c:v>
                </c:pt>
                <c:pt idx="93">
                  <c:v>0.021</c:v>
                </c:pt>
                <c:pt idx="94">
                  <c:v>0.021</c:v>
                </c:pt>
                <c:pt idx="95">
                  <c:v>0.02</c:v>
                </c:pt>
                <c:pt idx="96">
                  <c:v>0.02</c:v>
                </c:pt>
                <c:pt idx="97">
                  <c:v>0.019</c:v>
                </c:pt>
                <c:pt idx="98">
                  <c:v>0.019</c:v>
                </c:pt>
                <c:pt idx="99">
                  <c:v>0.018</c:v>
                </c:pt>
                <c:pt idx="100">
                  <c:v>0.018</c:v>
                </c:pt>
              </c:numCache>
            </c:numRef>
          </c:val>
          <c:smooth val="0"/>
        </c:ser>
        <c:ser>
          <c:idx val="2"/>
          <c:order val="2"/>
          <c:tx>
            <c:strRef>
              <c:f>[电磁预测绘图.xlsx]单回路不同最低高度!$D$161</c:f>
              <c:strCache>
                <c:ptCount val="1"/>
                <c:pt idx="0">
                  <c:v>同塔双回路塔单侧挂线段（按终期规模双回投运预测）</c:v>
                </c:pt>
              </c:strCache>
            </c:strRef>
          </c:tx>
          <c:spPr>
            <a:ln w="28575" cap="rnd">
              <a:solidFill>
                <a:schemeClr val="tx1"/>
              </a:solidFill>
              <a:prstDash val="sysDot"/>
              <a:round/>
            </a:ln>
            <a:effectLst/>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[电磁预测绘图.xlsx]单回路不同最低高度!$D$162:$D$262</c:f>
              <c:numCache>
                <c:formatCode>General</c:formatCode>
                <c:ptCount val="101"/>
                <c:pt idx="0">
                  <c:v>0.044</c:v>
                </c:pt>
                <c:pt idx="1">
                  <c:v>0.045</c:v>
                </c:pt>
                <c:pt idx="2">
                  <c:v>0.046</c:v>
                </c:pt>
                <c:pt idx="3">
                  <c:v>0.047</c:v>
                </c:pt>
                <c:pt idx="4">
                  <c:v>0.049</c:v>
                </c:pt>
                <c:pt idx="5">
                  <c:v>0.05</c:v>
                </c:pt>
                <c:pt idx="6">
                  <c:v>0.051</c:v>
                </c:pt>
                <c:pt idx="7">
                  <c:v>0.052</c:v>
                </c:pt>
                <c:pt idx="8">
                  <c:v>0.054</c:v>
                </c:pt>
                <c:pt idx="9">
                  <c:v>0.055</c:v>
                </c:pt>
                <c:pt idx="10">
                  <c:v>0.056</c:v>
                </c:pt>
                <c:pt idx="11">
                  <c:v>0.057</c:v>
                </c:pt>
                <c:pt idx="12">
                  <c:v>0.059</c:v>
                </c:pt>
                <c:pt idx="13">
                  <c:v>0.06</c:v>
                </c:pt>
                <c:pt idx="14">
                  <c:v>0.06</c:v>
                </c:pt>
                <c:pt idx="15">
                  <c:v>0.061</c:v>
                </c:pt>
                <c:pt idx="16">
                  <c:v>0.062</c:v>
                </c:pt>
                <c:pt idx="17">
                  <c:v>0.062</c:v>
                </c:pt>
                <c:pt idx="18">
                  <c:v>0.062</c:v>
                </c:pt>
                <c:pt idx="19">
                  <c:v>0.062</c:v>
                </c:pt>
                <c:pt idx="20">
                  <c:v>0.061</c:v>
                </c:pt>
                <c:pt idx="21">
                  <c:v>0.059</c:v>
                </c:pt>
                <c:pt idx="22">
                  <c:v>0.057</c:v>
                </c:pt>
                <c:pt idx="23">
                  <c:v>0.055</c:v>
                </c:pt>
                <c:pt idx="24">
                  <c:v>0.051</c:v>
                </c:pt>
                <c:pt idx="25">
                  <c:v>0.048</c:v>
                </c:pt>
                <c:pt idx="26">
                  <c:v>0.044</c:v>
                </c:pt>
                <c:pt idx="27">
                  <c:v>0.042</c:v>
                </c:pt>
                <c:pt idx="28">
                  <c:v>0.045</c:v>
                </c:pt>
                <c:pt idx="29">
                  <c:v>0.054</c:v>
                </c:pt>
                <c:pt idx="30">
                  <c:v>0.071</c:v>
                </c:pt>
                <c:pt idx="31">
                  <c:v>0.096</c:v>
                </c:pt>
                <c:pt idx="32">
                  <c:v>0.13</c:v>
                </c:pt>
                <c:pt idx="33">
                  <c:v>0.171</c:v>
                </c:pt>
                <c:pt idx="34">
                  <c:v>0.223</c:v>
                </c:pt>
                <c:pt idx="35">
                  <c:v>0.286</c:v>
                </c:pt>
                <c:pt idx="36">
                  <c:v>0.36</c:v>
                </c:pt>
                <c:pt idx="37">
                  <c:v>0.447</c:v>
                </c:pt>
                <c:pt idx="38">
                  <c:v>0.548</c:v>
                </c:pt>
                <c:pt idx="39">
                  <c:v>0.66</c:v>
                </c:pt>
                <c:pt idx="40">
                  <c:v>0.782</c:v>
                </c:pt>
                <c:pt idx="41">
                  <c:v>0.909</c:v>
                </c:pt>
                <c:pt idx="42">
                  <c:v>1.033</c:v>
                </c:pt>
                <c:pt idx="43">
                  <c:v>1.146</c:v>
                </c:pt>
                <c:pt idx="44">
                  <c:v>1.241</c:v>
                </c:pt>
                <c:pt idx="45">
                  <c:v>1.311</c:v>
                </c:pt>
                <c:pt idx="46">
                  <c:v>1.355</c:v>
                </c:pt>
                <c:pt idx="47">
                  <c:v>1.376</c:v>
                </c:pt>
                <c:pt idx="48">
                  <c:v>1.382</c:v>
                </c:pt>
                <c:pt idx="49">
                  <c:v>1.381</c:v>
                </c:pt>
                <c:pt idx="50">
                  <c:v>1.38</c:v>
                </c:pt>
                <c:pt idx="51">
                  <c:v>1.381</c:v>
                </c:pt>
                <c:pt idx="52">
                  <c:v>1.382</c:v>
                </c:pt>
                <c:pt idx="53">
                  <c:v>1.376</c:v>
                </c:pt>
                <c:pt idx="54">
                  <c:v>1.355</c:v>
                </c:pt>
                <c:pt idx="55">
                  <c:v>1.311</c:v>
                </c:pt>
                <c:pt idx="56">
                  <c:v>1.241</c:v>
                </c:pt>
                <c:pt idx="57">
                  <c:v>1.147</c:v>
                </c:pt>
                <c:pt idx="58">
                  <c:v>1.033</c:v>
                </c:pt>
                <c:pt idx="59">
                  <c:v>0.909</c:v>
                </c:pt>
                <c:pt idx="60">
                  <c:v>0.783</c:v>
                </c:pt>
                <c:pt idx="61">
                  <c:v>0.661</c:v>
                </c:pt>
                <c:pt idx="62">
                  <c:v>0.548</c:v>
                </c:pt>
                <c:pt idx="63">
                  <c:v>0.448</c:v>
                </c:pt>
                <c:pt idx="64">
                  <c:v>0.361</c:v>
                </c:pt>
                <c:pt idx="65">
                  <c:v>0.286</c:v>
                </c:pt>
                <c:pt idx="66">
                  <c:v>0.223</c:v>
                </c:pt>
                <c:pt idx="67">
                  <c:v>0.172</c:v>
                </c:pt>
                <c:pt idx="68">
                  <c:v>0.13</c:v>
                </c:pt>
                <c:pt idx="69">
                  <c:v>0.097</c:v>
                </c:pt>
                <c:pt idx="70">
                  <c:v>0.072</c:v>
                </c:pt>
                <c:pt idx="71">
                  <c:v>0.055</c:v>
                </c:pt>
                <c:pt idx="72">
                  <c:v>0.045</c:v>
                </c:pt>
                <c:pt idx="73">
                  <c:v>0.042</c:v>
                </c:pt>
                <c:pt idx="74">
                  <c:v>0.044</c:v>
                </c:pt>
                <c:pt idx="75">
                  <c:v>0.047</c:v>
                </c:pt>
                <c:pt idx="76">
                  <c:v>0.051</c:v>
                </c:pt>
                <c:pt idx="77">
                  <c:v>0.054</c:v>
                </c:pt>
                <c:pt idx="78">
                  <c:v>0.057</c:v>
                </c:pt>
                <c:pt idx="79">
                  <c:v>0.059</c:v>
                </c:pt>
                <c:pt idx="80">
                  <c:v>0.06</c:v>
                </c:pt>
                <c:pt idx="81">
                  <c:v>0.061</c:v>
                </c:pt>
                <c:pt idx="82">
                  <c:v>0.062</c:v>
                </c:pt>
                <c:pt idx="83">
                  <c:v>0.062</c:v>
                </c:pt>
                <c:pt idx="84">
                  <c:v>0.062</c:v>
                </c:pt>
                <c:pt idx="85">
                  <c:v>0.061</c:v>
                </c:pt>
                <c:pt idx="86">
                  <c:v>0.06</c:v>
                </c:pt>
                <c:pt idx="87">
                  <c:v>0.059</c:v>
                </c:pt>
                <c:pt idx="88">
                  <c:v>0.058</c:v>
                </c:pt>
                <c:pt idx="89">
                  <c:v>0.057</c:v>
                </c:pt>
                <c:pt idx="90">
                  <c:v>0.056</c:v>
                </c:pt>
                <c:pt idx="91">
                  <c:v>0.055</c:v>
                </c:pt>
                <c:pt idx="92">
                  <c:v>0.054</c:v>
                </c:pt>
                <c:pt idx="93">
                  <c:v>0.052</c:v>
                </c:pt>
                <c:pt idx="94">
                  <c:v>0.051</c:v>
                </c:pt>
                <c:pt idx="95">
                  <c:v>0.05</c:v>
                </c:pt>
                <c:pt idx="96">
                  <c:v>0.049</c:v>
                </c:pt>
                <c:pt idx="97">
                  <c:v>0.047</c:v>
                </c:pt>
                <c:pt idx="98">
                  <c:v>0.046</c:v>
                </c:pt>
                <c:pt idx="99">
                  <c:v>0.045</c:v>
                </c:pt>
                <c:pt idx="100">
                  <c:v>0.044</c:v>
                </c:pt>
              </c:numCache>
            </c:numRef>
          </c:val>
          <c:smooth val="0"/>
        </c:ser>
        <c:dLbls>
          <c:showLegendKey val="0"/>
          <c:showVal val="0"/>
          <c:showCatName val="0"/>
          <c:showSerName val="0"/>
          <c:showPercent val="0"/>
          <c:showBubbleSize val="0"/>
        </c:dLbls>
        <c:marker val="0"/>
        <c:smooth val="0"/>
        <c:axId val="207606128"/>
        <c:axId val="207606688"/>
      </c:lineChart>
      <c:catAx>
        <c:axId val="20760612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t>与线路走廊中心线距离（m）</a:t>
                </a:r>
              </a:p>
            </c:rich>
          </c:tx>
          <c:layout>
            <c:manualLayout>
              <c:xMode val="edge"/>
              <c:yMode val="edge"/>
              <c:x val="0.41277690245738"/>
              <c:y val="0.920334928229665"/>
            </c:manualLayout>
          </c:layout>
          <c:overlay val="0"/>
          <c:spPr>
            <a:noFill/>
            <a:ln>
              <a:noFill/>
            </a:ln>
            <a:effectLst/>
          </c:spPr>
        </c:title>
        <c:numFmt formatCode="General" sourceLinked="1"/>
        <c:majorTickMark val="in"/>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606688"/>
        <c:crosses val="autoZero"/>
        <c:auto val="1"/>
        <c:lblAlgn val="ctr"/>
        <c:lblOffset val="100"/>
        <c:tickLblSkip val="5"/>
        <c:tickMarkSkip val="5"/>
        <c:noMultiLvlLbl val="0"/>
      </c:catAx>
      <c:valAx>
        <c:axId val="207606688"/>
        <c:scaling>
          <c:orientation val="minMax"/>
          <c:max val="1.5"/>
          <c:min val="0"/>
        </c:scaling>
        <c:delete val="0"/>
        <c:axPos val="l"/>
        <c:majorGridlines>
          <c:spPr>
            <a:ln w="9525" cap="flat" cmpd="sng" algn="ctr">
              <a:solidFill>
                <a:schemeClr val="bg2">
                  <a:lumMod val="50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ysClr val="windowText" lastClr="000000"/>
                    </a:solidFill>
                    <a:latin typeface="+mn-lt"/>
                    <a:ea typeface="+mn-ea"/>
                    <a:cs typeface="+mn-cs"/>
                  </a:defRPr>
                </a:pPr>
                <a:r>
                  <a:t>工频电场强度（</a:t>
                </a:r>
                <a:r>
                  <a:rPr lang="en-US" altLang="zh-CN"/>
                  <a:t>kV/m</a:t>
                </a:r>
                <a:r>
                  <a:rPr altLang="en-US"/>
                  <a:t>）</a:t>
                </a:r>
                <a:endParaRPr altLang="en-US"/>
              </a:p>
            </c:rich>
          </c:tx>
          <c:layout>
            <c:manualLayout>
              <c:xMode val="edge"/>
              <c:yMode val="edge"/>
              <c:x val="0.0431451134032932"/>
              <c:y val="0.1782746584507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606128"/>
        <c:crosses val="autoZero"/>
        <c:crossBetween val="midCat"/>
      </c:valAx>
      <c:spPr>
        <a:noFill/>
        <a:ln w="12700" cmpd="sng">
          <a:solidFill>
            <a:schemeClr val="tx1"/>
          </a:solidFill>
          <a:prstDash val="solid"/>
        </a:ln>
        <a:effectLst/>
      </c:spPr>
    </c:plotArea>
    <c:legend>
      <c:legendPos val="r"/>
      <c:layout>
        <c:manualLayout>
          <c:xMode val="edge"/>
          <c:yMode val="edge"/>
          <c:x val="0.706264166494952"/>
          <c:y val="0.0520430107526882"/>
          <c:w val="0.247990933443231"/>
          <c:h val="0.309677419354839"/>
        </c:manualLayout>
      </c:layout>
      <c:overlay val="0"/>
      <c:spPr>
        <a:solidFill>
          <a:schemeClr val="bg1"/>
        </a:solidFill>
        <a:ln>
          <a:solidFill>
            <a:schemeClr val="tx1"/>
          </a:solid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13c84a60-1afe-415d-a018-8b2736920b4d}"/>
      </c:ext>
    </c:extLst>
  </c:chart>
  <c:spPr>
    <a:solidFill>
      <a:schemeClr val="bg1"/>
    </a:solidFill>
    <a:ln w="9525" cap="flat" cmpd="sng" algn="ctr">
      <a:solidFill>
        <a:schemeClr val="tx1"/>
      </a:solidFill>
      <a:round/>
    </a:ln>
    <a:effectLst/>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58216718709"/>
          <c:y val="0.0479774115235671"/>
          <c:w val="0.848419464794547"/>
          <c:h val="0.763549139690872"/>
        </c:manualLayout>
      </c:layout>
      <c:lineChart>
        <c:grouping val="standard"/>
        <c:varyColors val="0"/>
        <c:ser>
          <c:idx val="0"/>
          <c:order val="0"/>
          <c:tx>
            <c:strRef>
              <c:f>[电磁预测绘图.xlsx]单回路不同最低高度!$E$161</c:f>
              <c:strCache>
                <c:ptCount val="1"/>
                <c:pt idx="0">
                  <c:v>单回路塔线路段</c:v>
                </c:pt>
              </c:strCache>
            </c:strRef>
          </c:tx>
          <c:spPr>
            <a:ln w="28575" cap="rnd" cmpd="sng">
              <a:solidFill>
                <a:schemeClr val="accent1"/>
              </a:solidFill>
              <a:prstDash val="solid"/>
              <a:round/>
            </a:ln>
            <a:effectLst/>
            <a:sp3d contourW="28575"/>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[电磁预测绘图.xlsx]单回路不同最低高度!$E$162:$E$262</c:f>
              <c:numCache>
                <c:formatCode>General</c:formatCode>
                <c:ptCount val="101"/>
                <c:pt idx="0">
                  <c:v>0.192</c:v>
                </c:pt>
                <c:pt idx="1">
                  <c:v>0.2</c:v>
                </c:pt>
                <c:pt idx="2">
                  <c:v>0.208</c:v>
                </c:pt>
                <c:pt idx="3">
                  <c:v>0.217</c:v>
                </c:pt>
                <c:pt idx="4">
                  <c:v>0.226</c:v>
                </c:pt>
                <c:pt idx="5">
                  <c:v>0.236</c:v>
                </c:pt>
                <c:pt idx="6">
                  <c:v>0.247</c:v>
                </c:pt>
                <c:pt idx="7">
                  <c:v>0.258</c:v>
                </c:pt>
                <c:pt idx="8">
                  <c:v>0.27</c:v>
                </c:pt>
                <c:pt idx="9">
                  <c:v>0.283</c:v>
                </c:pt>
                <c:pt idx="10">
                  <c:v>0.297</c:v>
                </c:pt>
                <c:pt idx="11">
                  <c:v>0.312</c:v>
                </c:pt>
                <c:pt idx="12">
                  <c:v>0.328</c:v>
                </c:pt>
                <c:pt idx="13">
                  <c:v>0.346</c:v>
                </c:pt>
                <c:pt idx="14">
                  <c:v>0.364</c:v>
                </c:pt>
                <c:pt idx="15">
                  <c:v>0.385</c:v>
                </c:pt>
                <c:pt idx="16">
                  <c:v>0.407</c:v>
                </c:pt>
                <c:pt idx="17">
                  <c:v>0.431</c:v>
                </c:pt>
                <c:pt idx="18">
                  <c:v>0.457</c:v>
                </c:pt>
                <c:pt idx="19">
                  <c:v>0.485</c:v>
                </c:pt>
                <c:pt idx="20">
                  <c:v>0.516</c:v>
                </c:pt>
                <c:pt idx="21">
                  <c:v>0.55</c:v>
                </c:pt>
                <c:pt idx="22">
                  <c:v>0.587</c:v>
                </c:pt>
                <c:pt idx="23">
                  <c:v>0.628</c:v>
                </c:pt>
                <c:pt idx="24">
                  <c:v>0.674</c:v>
                </c:pt>
                <c:pt idx="25">
                  <c:v>0.724</c:v>
                </c:pt>
                <c:pt idx="26">
                  <c:v>0.78</c:v>
                </c:pt>
                <c:pt idx="27">
                  <c:v>0.842</c:v>
                </c:pt>
                <c:pt idx="28">
                  <c:v>0.911</c:v>
                </c:pt>
                <c:pt idx="29">
                  <c:v>0.989</c:v>
                </c:pt>
                <c:pt idx="30">
                  <c:v>1.076</c:v>
                </c:pt>
                <c:pt idx="31">
                  <c:v>1.174</c:v>
                </c:pt>
                <c:pt idx="32">
                  <c:v>1.284</c:v>
                </c:pt>
                <c:pt idx="33">
                  <c:v>1.409</c:v>
                </c:pt>
                <c:pt idx="34">
                  <c:v>1.55</c:v>
                </c:pt>
                <c:pt idx="35">
                  <c:v>1.71</c:v>
                </c:pt>
                <c:pt idx="36">
                  <c:v>1.89</c:v>
                </c:pt>
                <c:pt idx="37">
                  <c:v>2.093</c:v>
                </c:pt>
                <c:pt idx="38">
                  <c:v>2.319</c:v>
                </c:pt>
                <c:pt idx="39">
                  <c:v>2.57</c:v>
                </c:pt>
                <c:pt idx="40">
                  <c:v>2.844</c:v>
                </c:pt>
                <c:pt idx="41">
                  <c:v>3.135</c:v>
                </c:pt>
                <c:pt idx="42">
                  <c:v>3.437</c:v>
                </c:pt>
                <c:pt idx="43">
                  <c:v>3.738</c:v>
                </c:pt>
                <c:pt idx="44">
                  <c:v>4.023</c:v>
                </c:pt>
                <c:pt idx="45">
                  <c:v>4.277</c:v>
                </c:pt>
                <c:pt idx="46">
                  <c:v>4.488</c:v>
                </c:pt>
                <c:pt idx="47">
                  <c:v>4.646</c:v>
                </c:pt>
                <c:pt idx="48">
                  <c:v>4.749</c:v>
                </c:pt>
                <c:pt idx="49">
                  <c:v>4.796</c:v>
                </c:pt>
                <c:pt idx="50">
                  <c:v>4.789</c:v>
                </c:pt>
                <c:pt idx="51">
                  <c:v>4.73</c:v>
                </c:pt>
                <c:pt idx="52">
                  <c:v>4.618</c:v>
                </c:pt>
                <c:pt idx="53">
                  <c:v>4.454</c:v>
                </c:pt>
                <c:pt idx="54">
                  <c:v>4.242</c:v>
                </c:pt>
                <c:pt idx="55">
                  <c:v>3.99</c:v>
                </c:pt>
                <c:pt idx="56">
                  <c:v>3.708</c:v>
                </c:pt>
                <c:pt idx="57">
                  <c:v>3.412</c:v>
                </c:pt>
                <c:pt idx="58">
                  <c:v>3.114</c:v>
                </c:pt>
                <c:pt idx="59">
                  <c:v>2.827</c:v>
                </c:pt>
                <c:pt idx="60">
                  <c:v>2.557</c:v>
                </c:pt>
                <c:pt idx="61">
                  <c:v>2.309</c:v>
                </c:pt>
                <c:pt idx="62">
                  <c:v>2.084</c:v>
                </c:pt>
                <c:pt idx="63">
                  <c:v>1.883</c:v>
                </c:pt>
                <c:pt idx="64">
                  <c:v>1.705</c:v>
                </c:pt>
                <c:pt idx="65">
                  <c:v>1.546</c:v>
                </c:pt>
                <c:pt idx="66">
                  <c:v>1.406</c:v>
                </c:pt>
                <c:pt idx="67">
                  <c:v>1.282</c:v>
                </c:pt>
                <c:pt idx="68">
                  <c:v>1.172</c:v>
                </c:pt>
                <c:pt idx="69">
                  <c:v>1.074</c:v>
                </c:pt>
                <c:pt idx="70">
                  <c:v>0.988</c:v>
                </c:pt>
                <c:pt idx="71">
                  <c:v>0.91</c:v>
                </c:pt>
                <c:pt idx="72">
                  <c:v>0.841</c:v>
                </c:pt>
                <c:pt idx="73">
                  <c:v>0.779</c:v>
                </c:pt>
                <c:pt idx="74">
                  <c:v>0.724</c:v>
                </c:pt>
                <c:pt idx="75">
                  <c:v>0.673</c:v>
                </c:pt>
                <c:pt idx="76">
                  <c:v>0.628</c:v>
                </c:pt>
                <c:pt idx="77">
                  <c:v>0.587</c:v>
                </c:pt>
                <c:pt idx="78">
                  <c:v>0.55</c:v>
                </c:pt>
                <c:pt idx="79">
                  <c:v>0.516</c:v>
                </c:pt>
                <c:pt idx="80">
                  <c:v>0.485</c:v>
                </c:pt>
                <c:pt idx="81">
                  <c:v>0.457</c:v>
                </c:pt>
                <c:pt idx="82">
                  <c:v>0.431</c:v>
                </c:pt>
                <c:pt idx="83">
                  <c:v>0.407</c:v>
                </c:pt>
                <c:pt idx="84">
                  <c:v>0.385</c:v>
                </c:pt>
                <c:pt idx="85">
                  <c:v>0.365</c:v>
                </c:pt>
                <c:pt idx="86">
                  <c:v>0.346</c:v>
                </c:pt>
                <c:pt idx="87">
                  <c:v>0.328</c:v>
                </c:pt>
                <c:pt idx="88">
                  <c:v>0.312</c:v>
                </c:pt>
                <c:pt idx="89">
                  <c:v>0.297</c:v>
                </c:pt>
                <c:pt idx="90">
                  <c:v>0.283</c:v>
                </c:pt>
                <c:pt idx="91">
                  <c:v>0.27</c:v>
                </c:pt>
                <c:pt idx="92">
                  <c:v>0.258</c:v>
                </c:pt>
                <c:pt idx="93">
                  <c:v>0.247</c:v>
                </c:pt>
                <c:pt idx="94">
                  <c:v>0.236</c:v>
                </c:pt>
                <c:pt idx="95">
                  <c:v>0.226</c:v>
                </c:pt>
                <c:pt idx="96">
                  <c:v>0.217</c:v>
                </c:pt>
                <c:pt idx="97">
                  <c:v>0.208</c:v>
                </c:pt>
                <c:pt idx="98">
                  <c:v>0.2</c:v>
                </c:pt>
                <c:pt idx="99">
                  <c:v>0.191</c:v>
                </c:pt>
                <c:pt idx="100">
                  <c:v>0.185</c:v>
                </c:pt>
              </c:numCache>
            </c:numRef>
          </c:val>
          <c:smooth val="0"/>
        </c:ser>
        <c:ser>
          <c:idx val="1"/>
          <c:order val="1"/>
          <c:tx>
            <c:strRef>
              <c:f>[电磁预测绘图.xlsx]单回路不同最低高度!$F$161</c:f>
              <c:strCache>
                <c:ptCount val="1"/>
                <c:pt idx="0">
                  <c:v>同塔双回路塔单侧挂线段（按单回投运预测）</c:v>
                </c:pt>
              </c:strCache>
            </c:strRef>
          </c:tx>
          <c:spPr>
            <a:ln w="28575" cap="rnd" cmpd="sng">
              <a:solidFill>
                <a:schemeClr val="tx1"/>
              </a:solidFill>
              <a:prstDash val="solid"/>
              <a:round/>
            </a:ln>
            <a:effectLst/>
            <a:sp3d contourW="28575"/>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[电磁预测绘图.xlsx]单回路不同最低高度!$F$162:$F$262</c:f>
              <c:numCache>
                <c:formatCode>General</c:formatCode>
                <c:ptCount val="101"/>
                <c:pt idx="0">
                  <c:v>0.195</c:v>
                </c:pt>
                <c:pt idx="1">
                  <c:v>0.203</c:v>
                </c:pt>
                <c:pt idx="2">
                  <c:v>0.212</c:v>
                </c:pt>
                <c:pt idx="3">
                  <c:v>0.222</c:v>
                </c:pt>
                <c:pt idx="4">
                  <c:v>0.232</c:v>
                </c:pt>
                <c:pt idx="5">
                  <c:v>0.242</c:v>
                </c:pt>
                <c:pt idx="6">
                  <c:v>0.254</c:v>
                </c:pt>
                <c:pt idx="7">
                  <c:v>0.266</c:v>
                </c:pt>
                <c:pt idx="8">
                  <c:v>0.279</c:v>
                </c:pt>
                <c:pt idx="9">
                  <c:v>0.293</c:v>
                </c:pt>
                <c:pt idx="10">
                  <c:v>0.308</c:v>
                </c:pt>
                <c:pt idx="11">
                  <c:v>0.324</c:v>
                </c:pt>
                <c:pt idx="12">
                  <c:v>0.341</c:v>
                </c:pt>
                <c:pt idx="13">
                  <c:v>0.36</c:v>
                </c:pt>
                <c:pt idx="14">
                  <c:v>0.38</c:v>
                </c:pt>
                <c:pt idx="15">
                  <c:v>0.402</c:v>
                </c:pt>
                <c:pt idx="16">
                  <c:v>0.425</c:v>
                </c:pt>
                <c:pt idx="17">
                  <c:v>0.451</c:v>
                </c:pt>
                <c:pt idx="18">
                  <c:v>0.479</c:v>
                </c:pt>
                <c:pt idx="19">
                  <c:v>0.509</c:v>
                </c:pt>
                <c:pt idx="20">
                  <c:v>0.542</c:v>
                </c:pt>
                <c:pt idx="21">
                  <c:v>0.578</c:v>
                </c:pt>
                <c:pt idx="22">
                  <c:v>0.618</c:v>
                </c:pt>
                <c:pt idx="23">
                  <c:v>0.661</c:v>
                </c:pt>
                <c:pt idx="24">
                  <c:v>0.708</c:v>
                </c:pt>
                <c:pt idx="25">
                  <c:v>0.76</c:v>
                </c:pt>
                <c:pt idx="26">
                  <c:v>0.818</c:v>
                </c:pt>
                <c:pt idx="27">
                  <c:v>0.881</c:v>
                </c:pt>
                <c:pt idx="28">
                  <c:v>0.951</c:v>
                </c:pt>
                <c:pt idx="29">
                  <c:v>1.028</c:v>
                </c:pt>
                <c:pt idx="30">
                  <c:v>1.113</c:v>
                </c:pt>
                <c:pt idx="31">
                  <c:v>1.207</c:v>
                </c:pt>
                <c:pt idx="32">
                  <c:v>1.31</c:v>
                </c:pt>
                <c:pt idx="33">
                  <c:v>1.424</c:v>
                </c:pt>
                <c:pt idx="34">
                  <c:v>1.548</c:v>
                </c:pt>
                <c:pt idx="35">
                  <c:v>1.684</c:v>
                </c:pt>
                <c:pt idx="36">
                  <c:v>1.831</c:v>
                </c:pt>
                <c:pt idx="37">
                  <c:v>1.987</c:v>
                </c:pt>
                <c:pt idx="38">
                  <c:v>2.152</c:v>
                </c:pt>
                <c:pt idx="39">
                  <c:v>2.321</c:v>
                </c:pt>
                <c:pt idx="40">
                  <c:v>2.488</c:v>
                </c:pt>
                <c:pt idx="41">
                  <c:v>2.645</c:v>
                </c:pt>
                <c:pt idx="42">
                  <c:v>2.782</c:v>
                </c:pt>
                <c:pt idx="43">
                  <c:v>2.888</c:v>
                </c:pt>
                <c:pt idx="44">
                  <c:v>2.953</c:v>
                </c:pt>
                <c:pt idx="45">
                  <c:v>2.968</c:v>
                </c:pt>
                <c:pt idx="46">
                  <c:v>2.932</c:v>
                </c:pt>
                <c:pt idx="47">
                  <c:v>2.849</c:v>
                </c:pt>
                <c:pt idx="48">
                  <c:v>2.728</c:v>
                </c:pt>
                <c:pt idx="49">
                  <c:v>2.58</c:v>
                </c:pt>
                <c:pt idx="50">
                  <c:v>2.416</c:v>
                </c:pt>
                <c:pt idx="51">
                  <c:v>2.247</c:v>
                </c:pt>
                <c:pt idx="52">
                  <c:v>2.078</c:v>
                </c:pt>
                <c:pt idx="53">
                  <c:v>1.916</c:v>
                </c:pt>
                <c:pt idx="54">
                  <c:v>1.763</c:v>
                </c:pt>
                <c:pt idx="55">
                  <c:v>1.62</c:v>
                </c:pt>
                <c:pt idx="56">
                  <c:v>1.489</c:v>
                </c:pt>
                <c:pt idx="57">
                  <c:v>1.369</c:v>
                </c:pt>
                <c:pt idx="58">
                  <c:v>1.26</c:v>
                </c:pt>
                <c:pt idx="59">
                  <c:v>1.161</c:v>
                </c:pt>
                <c:pt idx="60">
                  <c:v>1.072</c:v>
                </c:pt>
                <c:pt idx="61">
                  <c:v>0.99</c:v>
                </c:pt>
                <c:pt idx="62">
                  <c:v>0.917</c:v>
                </c:pt>
                <c:pt idx="63">
                  <c:v>0.85</c:v>
                </c:pt>
                <c:pt idx="64">
                  <c:v>0.79</c:v>
                </c:pt>
                <c:pt idx="65">
                  <c:v>0.735</c:v>
                </c:pt>
                <c:pt idx="66">
                  <c:v>0.685</c:v>
                </c:pt>
                <c:pt idx="67">
                  <c:v>0.64</c:v>
                </c:pt>
                <c:pt idx="68">
                  <c:v>0.598</c:v>
                </c:pt>
                <c:pt idx="69">
                  <c:v>0.56</c:v>
                </c:pt>
                <c:pt idx="70">
                  <c:v>0.526</c:v>
                </c:pt>
                <c:pt idx="71">
                  <c:v>0.494</c:v>
                </c:pt>
                <c:pt idx="72">
                  <c:v>0.465</c:v>
                </c:pt>
                <c:pt idx="73">
                  <c:v>0.438</c:v>
                </c:pt>
                <c:pt idx="74">
                  <c:v>0.414</c:v>
                </c:pt>
                <c:pt idx="75">
                  <c:v>0.391</c:v>
                </c:pt>
                <c:pt idx="76">
                  <c:v>0.37</c:v>
                </c:pt>
                <c:pt idx="77">
                  <c:v>0.351</c:v>
                </c:pt>
                <c:pt idx="78">
                  <c:v>0.333</c:v>
                </c:pt>
                <c:pt idx="79">
                  <c:v>0.316</c:v>
                </c:pt>
                <c:pt idx="80">
                  <c:v>0.3</c:v>
                </c:pt>
                <c:pt idx="81">
                  <c:v>0.286</c:v>
                </c:pt>
                <c:pt idx="82">
                  <c:v>0.272</c:v>
                </c:pt>
                <c:pt idx="83">
                  <c:v>0.26</c:v>
                </c:pt>
                <c:pt idx="84">
                  <c:v>0.248</c:v>
                </c:pt>
                <c:pt idx="85">
                  <c:v>0.237</c:v>
                </c:pt>
                <c:pt idx="86">
                  <c:v>0.227</c:v>
                </c:pt>
                <c:pt idx="87">
                  <c:v>0.217</c:v>
                </c:pt>
                <c:pt idx="88">
                  <c:v>0.208</c:v>
                </c:pt>
                <c:pt idx="89">
                  <c:v>0.199</c:v>
                </c:pt>
                <c:pt idx="90">
                  <c:v>0.191</c:v>
                </c:pt>
                <c:pt idx="91">
                  <c:v>0.184</c:v>
                </c:pt>
                <c:pt idx="92">
                  <c:v>0.177</c:v>
                </c:pt>
                <c:pt idx="93">
                  <c:v>0.17</c:v>
                </c:pt>
                <c:pt idx="94">
                  <c:v>0.164</c:v>
                </c:pt>
                <c:pt idx="95">
                  <c:v>0.158</c:v>
                </c:pt>
                <c:pt idx="96">
                  <c:v>0.152</c:v>
                </c:pt>
                <c:pt idx="97">
                  <c:v>0.146</c:v>
                </c:pt>
                <c:pt idx="98">
                  <c:v>0.141</c:v>
                </c:pt>
                <c:pt idx="99">
                  <c:v>0.136</c:v>
                </c:pt>
                <c:pt idx="100">
                  <c:v>0.132</c:v>
                </c:pt>
              </c:numCache>
            </c:numRef>
          </c:val>
          <c:smooth val="0"/>
        </c:ser>
        <c:ser>
          <c:idx val="2"/>
          <c:order val="2"/>
          <c:tx>
            <c:strRef>
              <c:f>[电磁预测绘图.xlsx]单回路不同最低高度!$G$161</c:f>
              <c:strCache>
                <c:ptCount val="1"/>
                <c:pt idx="0">
                  <c:v>同塔双回路塔单侧挂线段（按终期规模双回投运预测）</c:v>
                </c:pt>
              </c:strCache>
            </c:strRef>
          </c:tx>
          <c:spPr>
            <a:ln w="28575" cap="rnd" cmpd="sng">
              <a:solidFill>
                <a:schemeClr val="tx1"/>
              </a:solidFill>
              <a:prstDash val="sysDot"/>
              <a:round/>
            </a:ln>
            <a:effectLst/>
            <a:sp3d contourW="28575"/>
          </c:spPr>
          <c:marker>
            <c:symbol val="none"/>
          </c:marker>
          <c:dLbls>
            <c:delete val="1"/>
          </c:dLbls>
          <c:cat>
            <c:numRef>
              <c:f>[电磁预测绘图.xlsx]单回路不同最低高度!$A$162:$A$262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cat>
          <c:val>
            <c:numRef>
              <c:f>[电磁预测绘图.xlsx]单回路不同最低高度!$G$162:$G$262</c:f>
              <c:numCache>
                <c:formatCode>General</c:formatCode>
                <c:ptCount val="101"/>
                <c:pt idx="0">
                  <c:v>0.325</c:v>
                </c:pt>
                <c:pt idx="1">
                  <c:v>0.337</c:v>
                </c:pt>
                <c:pt idx="2">
                  <c:v>0.351</c:v>
                </c:pt>
                <c:pt idx="3">
                  <c:v>0.365</c:v>
                </c:pt>
                <c:pt idx="4">
                  <c:v>0.38</c:v>
                </c:pt>
                <c:pt idx="5">
                  <c:v>0.397</c:v>
                </c:pt>
                <c:pt idx="6">
                  <c:v>0.414</c:v>
                </c:pt>
                <c:pt idx="7">
                  <c:v>0.432</c:v>
                </c:pt>
                <c:pt idx="8">
                  <c:v>0.452</c:v>
                </c:pt>
                <c:pt idx="9">
                  <c:v>0.472</c:v>
                </c:pt>
                <c:pt idx="10">
                  <c:v>0.495</c:v>
                </c:pt>
                <c:pt idx="11">
                  <c:v>0.518</c:v>
                </c:pt>
                <c:pt idx="12">
                  <c:v>0.544</c:v>
                </c:pt>
                <c:pt idx="13">
                  <c:v>0.571</c:v>
                </c:pt>
                <c:pt idx="14">
                  <c:v>0.601</c:v>
                </c:pt>
                <c:pt idx="15">
                  <c:v>0.632</c:v>
                </c:pt>
                <c:pt idx="16">
                  <c:v>0.666</c:v>
                </c:pt>
                <c:pt idx="17">
                  <c:v>0.703</c:v>
                </c:pt>
                <c:pt idx="18">
                  <c:v>0.742</c:v>
                </c:pt>
                <c:pt idx="19">
                  <c:v>0.785</c:v>
                </c:pt>
                <c:pt idx="20">
                  <c:v>0.832</c:v>
                </c:pt>
                <c:pt idx="21">
                  <c:v>0.882</c:v>
                </c:pt>
                <c:pt idx="22">
                  <c:v>0.937</c:v>
                </c:pt>
                <c:pt idx="23">
                  <c:v>0.996</c:v>
                </c:pt>
                <c:pt idx="24">
                  <c:v>1.061</c:v>
                </c:pt>
                <c:pt idx="25">
                  <c:v>1.131</c:v>
                </c:pt>
                <c:pt idx="26">
                  <c:v>1.208</c:v>
                </c:pt>
                <c:pt idx="27">
                  <c:v>1.292</c:v>
                </c:pt>
                <c:pt idx="28">
                  <c:v>1.384</c:v>
                </c:pt>
                <c:pt idx="29">
                  <c:v>1.485</c:v>
                </c:pt>
                <c:pt idx="30">
                  <c:v>1.594</c:v>
                </c:pt>
                <c:pt idx="31">
                  <c:v>1.714</c:v>
                </c:pt>
                <c:pt idx="32">
                  <c:v>1.845</c:v>
                </c:pt>
                <c:pt idx="33">
                  <c:v>1.986</c:v>
                </c:pt>
                <c:pt idx="34">
                  <c:v>2.139</c:v>
                </c:pt>
                <c:pt idx="35">
                  <c:v>2.303</c:v>
                </c:pt>
                <c:pt idx="36">
                  <c:v>2.477</c:v>
                </c:pt>
                <c:pt idx="37">
                  <c:v>2.659</c:v>
                </c:pt>
                <c:pt idx="38">
                  <c:v>2.846</c:v>
                </c:pt>
                <c:pt idx="39">
                  <c:v>3.032</c:v>
                </c:pt>
                <c:pt idx="40">
                  <c:v>3.208</c:v>
                </c:pt>
                <c:pt idx="41">
                  <c:v>3.366</c:v>
                </c:pt>
                <c:pt idx="42">
                  <c:v>3.493</c:v>
                </c:pt>
                <c:pt idx="43">
                  <c:v>3.578</c:v>
                </c:pt>
                <c:pt idx="44">
                  <c:v>3.613</c:v>
                </c:pt>
                <c:pt idx="45">
                  <c:v>3.597</c:v>
                </c:pt>
                <c:pt idx="46">
                  <c:v>3.538</c:v>
                </c:pt>
                <c:pt idx="47">
                  <c:v>3.453</c:v>
                </c:pt>
                <c:pt idx="48">
                  <c:v>3.365</c:v>
                </c:pt>
                <c:pt idx="49">
                  <c:v>3.301</c:v>
                </c:pt>
                <c:pt idx="50">
                  <c:v>3.277</c:v>
                </c:pt>
                <c:pt idx="51">
                  <c:v>3.301</c:v>
                </c:pt>
                <c:pt idx="52">
                  <c:v>3.365</c:v>
                </c:pt>
                <c:pt idx="53">
                  <c:v>3.453</c:v>
                </c:pt>
                <c:pt idx="54">
                  <c:v>3.538</c:v>
                </c:pt>
                <c:pt idx="55">
                  <c:v>3.597</c:v>
                </c:pt>
                <c:pt idx="56">
                  <c:v>3.613</c:v>
                </c:pt>
                <c:pt idx="57">
                  <c:v>3.578</c:v>
                </c:pt>
                <c:pt idx="58">
                  <c:v>3.493</c:v>
                </c:pt>
                <c:pt idx="59">
                  <c:v>3.366</c:v>
                </c:pt>
                <c:pt idx="60">
                  <c:v>3.208</c:v>
                </c:pt>
                <c:pt idx="61">
                  <c:v>3.032</c:v>
                </c:pt>
                <c:pt idx="62">
                  <c:v>2.846</c:v>
                </c:pt>
                <c:pt idx="63">
                  <c:v>2.659</c:v>
                </c:pt>
                <c:pt idx="64">
                  <c:v>2.477</c:v>
                </c:pt>
                <c:pt idx="65">
                  <c:v>2.303</c:v>
                </c:pt>
                <c:pt idx="66">
                  <c:v>2.139</c:v>
                </c:pt>
                <c:pt idx="67">
                  <c:v>1.986</c:v>
                </c:pt>
                <c:pt idx="68">
                  <c:v>1.845</c:v>
                </c:pt>
                <c:pt idx="69">
                  <c:v>1.714</c:v>
                </c:pt>
                <c:pt idx="70">
                  <c:v>1.594</c:v>
                </c:pt>
                <c:pt idx="71">
                  <c:v>1.485</c:v>
                </c:pt>
                <c:pt idx="72">
                  <c:v>1.384</c:v>
                </c:pt>
                <c:pt idx="73">
                  <c:v>1.292</c:v>
                </c:pt>
                <c:pt idx="74">
                  <c:v>1.208</c:v>
                </c:pt>
                <c:pt idx="75">
                  <c:v>1.131</c:v>
                </c:pt>
                <c:pt idx="76">
                  <c:v>1.061</c:v>
                </c:pt>
                <c:pt idx="77">
                  <c:v>0.996</c:v>
                </c:pt>
                <c:pt idx="78">
                  <c:v>0.937</c:v>
                </c:pt>
                <c:pt idx="79">
                  <c:v>0.882</c:v>
                </c:pt>
                <c:pt idx="80">
                  <c:v>0.832</c:v>
                </c:pt>
                <c:pt idx="81">
                  <c:v>0.785</c:v>
                </c:pt>
                <c:pt idx="82">
                  <c:v>0.742</c:v>
                </c:pt>
                <c:pt idx="83">
                  <c:v>0.703</c:v>
                </c:pt>
                <c:pt idx="84">
                  <c:v>0.666</c:v>
                </c:pt>
                <c:pt idx="85">
                  <c:v>0.632</c:v>
                </c:pt>
                <c:pt idx="86">
                  <c:v>0.601</c:v>
                </c:pt>
                <c:pt idx="87">
                  <c:v>0.571</c:v>
                </c:pt>
                <c:pt idx="88">
                  <c:v>0.544</c:v>
                </c:pt>
                <c:pt idx="89">
                  <c:v>0.518</c:v>
                </c:pt>
                <c:pt idx="90">
                  <c:v>0.495</c:v>
                </c:pt>
                <c:pt idx="91">
                  <c:v>0.472</c:v>
                </c:pt>
                <c:pt idx="92">
                  <c:v>0.452</c:v>
                </c:pt>
                <c:pt idx="93">
                  <c:v>0.432</c:v>
                </c:pt>
                <c:pt idx="94">
                  <c:v>0.414</c:v>
                </c:pt>
                <c:pt idx="95">
                  <c:v>0.397</c:v>
                </c:pt>
                <c:pt idx="96">
                  <c:v>0.38</c:v>
                </c:pt>
                <c:pt idx="97">
                  <c:v>0.365</c:v>
                </c:pt>
                <c:pt idx="98">
                  <c:v>0.351</c:v>
                </c:pt>
                <c:pt idx="99">
                  <c:v>0.337</c:v>
                </c:pt>
                <c:pt idx="100">
                  <c:v>0.325</c:v>
                </c:pt>
              </c:numCache>
            </c:numRef>
          </c:val>
          <c:smooth val="0"/>
        </c:ser>
        <c:dLbls>
          <c:showLegendKey val="0"/>
          <c:showVal val="0"/>
          <c:showCatName val="0"/>
          <c:showSerName val="0"/>
          <c:showPercent val="0"/>
          <c:showBubbleSize val="0"/>
        </c:dLbls>
        <c:marker val="0"/>
        <c:smooth val="0"/>
        <c:axId val="207610608"/>
        <c:axId val="207611168"/>
      </c:lineChart>
      <c:catAx>
        <c:axId val="207610608"/>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r>
                  <a:rPr lang="zh-CN" altLang="en-US"/>
                  <a:t>与线路走廊中心线距离（</a:t>
                </a:r>
                <a:r>
                  <a:rPr lang="en-US" altLang="zh-CN"/>
                  <a:t>m</a:t>
                </a:r>
                <a:r>
                  <a:rPr lang="zh-CN" altLang="en-US"/>
                  <a:t>）</a:t>
                </a:r>
                <a:endParaRPr lang="zh-CN" altLang="en-US"/>
              </a:p>
            </c:rich>
          </c:tx>
          <c:layout/>
          <c:overlay val="0"/>
          <c:spPr>
            <a:noFill/>
            <a:ln>
              <a:noFill/>
            </a:ln>
            <a:effectLst/>
          </c:spPr>
        </c:title>
        <c:numFmt formatCode="General" sourceLinked="1"/>
        <c:majorTickMark val="in"/>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611168"/>
        <c:crosses val="autoZero"/>
        <c:auto val="1"/>
        <c:lblAlgn val="ctr"/>
        <c:lblOffset val="100"/>
        <c:tickLblSkip val="5"/>
        <c:tickMarkSkip val="5"/>
        <c:noMultiLvlLbl val="0"/>
      </c:catAx>
      <c:valAx>
        <c:axId val="207611168"/>
        <c:scaling>
          <c:orientation val="minMax"/>
          <c:max val="5"/>
          <c:min val="0"/>
        </c:scaling>
        <c:delete val="0"/>
        <c:axPos val="l"/>
        <c:majorGridlines>
          <c:spPr>
            <a:ln w="9525" cap="flat" cmpd="sng" algn="ctr">
              <a:solidFill>
                <a:schemeClr val="bg2">
                  <a:lumMod val="50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r>
                  <a:rPr lang="zh-CN" altLang="en-US"/>
                  <a:t>工频磁感应强度（</a:t>
                </a:r>
                <a:r>
                  <a:rPr lang="el-GR" altLang="zh-CN"/>
                  <a:t>μ</a:t>
                </a:r>
                <a:r>
                  <a:rPr lang="en-US" altLang="zh-CN"/>
                  <a:t>T</a:t>
                </a:r>
                <a:r>
                  <a:rPr lang="zh-CN" altLang="en-US"/>
                  <a:t>）</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07610608"/>
        <c:crosses val="autoZero"/>
        <c:crossBetween val="midCat"/>
      </c:valAx>
      <c:spPr>
        <a:noFill/>
        <a:ln>
          <a:solidFill>
            <a:schemeClr val="tx1"/>
          </a:solidFill>
        </a:ln>
        <a:effectLst/>
      </c:spPr>
    </c:plotArea>
    <c:legend>
      <c:legendPos val="r"/>
      <c:layout>
        <c:manualLayout>
          <c:xMode val="edge"/>
          <c:yMode val="edge"/>
          <c:x val="0.697976878612717"/>
          <c:y val="0.0440639269406393"/>
          <c:w val="0.255986787778695"/>
          <c:h val="0.327397260273973"/>
        </c:manualLayout>
      </c:layout>
      <c:overlay val="0"/>
      <c:spPr>
        <a:solidFill>
          <a:schemeClr val="bg1"/>
        </a:solidFill>
        <a:ln>
          <a:solidFill>
            <a:schemeClr val="tx1"/>
          </a:solid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7ad36ec6-7fc1-442a-a92d-5791c7d26892}"/>
      </c:ext>
    </c:extLst>
  </c:chart>
  <c:spPr>
    <a:solidFill>
      <a:schemeClr val="bg1"/>
    </a:solidFill>
    <a:ln w="9525" cap="flat" cmpd="sng" algn="ctr">
      <a:solidFill>
        <a:schemeClr val="tx1"/>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3MjU1NTcxNDMyIiwKCSJHcm91cElkIiA6ICI1MzU5NTI3MjQiLAoJIkltYWdlIiA6ICJpVkJPUncwS0dnb0FBQUFOU1VoRVVnQUFCT2NBQUFIekNBWUFBQUJySFhtYkFBQUFBWE5TUjBJQXJzNGM2UUFBSUFCSlJFRlVlSnpzM1hkWWsxZjdCL0J2MkFJS3VGNVVWTndERnlwcVFXdTFkUlJiYWgxWXQ2MmoxbTMxZGRhSldMZWlnbEwzQnJjNGExWGNpQk1ISW9xQ0JVVVpNbVNHSk0vdmp6ZDVmc1FrREVVait2MWNsOWRGbm5tQ1BEa245em5uUGd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LOThBQ0owTnA1YnUwYkRBQUFBQUVsRlRrU3VRbUNDIiwKCSJUaGVtZSIgOiAiIiwKCSJUeXBlIiA6ICJmbG93IiwKCSJVc2VySWQiIDogIjQ1NjQzMTMyMSIsCgkiVmVyc2lvbiIgOiAiMj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14855</Words>
  <Characters>16480</Characters>
  <Lines>155</Lines>
  <Paragraphs>162</Paragraphs>
  <TotalTime>6</TotalTime>
  <ScaleCrop>false</ScaleCrop>
  <LinksUpToDate>false</LinksUpToDate>
  <CharactersWithSpaces>16664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2023-11-21T11:56:00Z</dcterms:created>
  <dc:creator>史晓娟</dc:creator>
  <cp:lastModifiedBy>于倩倩</cp:lastModifiedBy>
  <cp:lastPrinted>2024-09-01T06:55:00Z</cp:lastPrinted>
  <dcterms:modified xsi:type="dcterms:W3CDTF">2026-03-12T09:14:33Z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E89D29BE51BF43288A232E4DFD4FB92B_13</vt:lpwstr>
  </property>
  <property fmtid="{D5CDD505-2E9C-101B-9397-08002B2CF9AE}" pid="4" name="KSOTemplateDocerSaveRecord">
    <vt:lpwstr>eyJoZGlkIjoiMjIxYjJmOTk1YTc2NDliYTdmZGIzMTA4NWE1OTdkNTMiLCJ1c2VySWQiOiI0NTY0MzEzMjEifQ==</vt:lpwstr>
  </property>
</Properties>
</file>