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7A1DD">
      <w:pPr>
        <w:outlineLvl w:val="9"/>
        <w:rPr>
          <w:rFonts w:ascii="Times New Roman" w:hAnsi="Times New Roman" w:eastAsia="宋体"/>
          <w:color w:val="000000" w:themeColor="text1"/>
          <w:spacing w:val="0"/>
          <w:sz w:val="36"/>
          <w:szCs w:val="36"/>
          <w:highlight w:val="none"/>
          <w14:textFill>
            <w14:solidFill>
              <w14:schemeClr w14:val="tx1"/>
            </w14:solidFill>
          </w14:textFill>
        </w:rPr>
      </w:pPr>
      <w:bookmarkStart w:id="0" w:name="_Hlk57883707"/>
    </w:p>
    <w:p w14:paraId="7FB95E91">
      <w:pPr>
        <w:outlineLvl w:val="9"/>
        <w:rPr>
          <w:rFonts w:ascii="Times New Roman" w:hAnsi="Times New Roman" w:eastAsia="宋体"/>
          <w:color w:val="000000" w:themeColor="text1"/>
          <w:spacing w:val="0"/>
          <w:sz w:val="36"/>
          <w:szCs w:val="36"/>
          <w:highlight w:val="none"/>
          <w14:textFill>
            <w14:solidFill>
              <w14:schemeClr w14:val="tx1"/>
            </w14:solidFill>
          </w14:textFill>
        </w:rPr>
      </w:pPr>
    </w:p>
    <w:p w14:paraId="056DE53B">
      <w:pPr>
        <w:outlineLvl w:val="9"/>
        <w:rPr>
          <w:rFonts w:ascii="Times New Roman" w:hAnsi="Times New Roman" w:eastAsia="宋体"/>
          <w:color w:val="000000" w:themeColor="text1"/>
          <w:spacing w:val="0"/>
          <w:sz w:val="36"/>
          <w:szCs w:val="36"/>
          <w:highlight w:val="none"/>
          <w14:textFill>
            <w14:solidFill>
              <w14:schemeClr w14:val="tx1"/>
            </w14:solidFill>
          </w14:textFill>
        </w:rPr>
      </w:pPr>
    </w:p>
    <w:p w14:paraId="63FFAD85">
      <w:pPr>
        <w:pStyle w:val="7"/>
        <w:ind w:left="0" w:leftChars="0" w:firstLine="0"/>
        <w:outlineLvl w:val="9"/>
        <w:rPr>
          <w:rFonts w:ascii="Times New Roman" w:hAnsi="Times New Roman" w:eastAsia="宋体"/>
          <w:color w:val="000000" w:themeColor="text1"/>
          <w:spacing w:val="0"/>
          <w:highlight w:val="none"/>
          <w14:textFill>
            <w14:solidFill>
              <w14:schemeClr w14:val="tx1"/>
            </w14:solidFill>
          </w14:textFill>
        </w:rPr>
      </w:pPr>
    </w:p>
    <w:p w14:paraId="62B0C425">
      <w:pPr>
        <w:outlineLvl w:val="9"/>
        <w:rPr>
          <w:rFonts w:ascii="Times New Roman" w:hAnsi="Times New Roman" w:eastAsia="宋体"/>
          <w:color w:val="000000" w:themeColor="text1"/>
          <w:spacing w:val="0"/>
          <w:sz w:val="36"/>
          <w:szCs w:val="36"/>
          <w:highlight w:val="none"/>
          <w14:textFill>
            <w14:solidFill>
              <w14:schemeClr w14:val="tx1"/>
            </w14:solidFill>
          </w14:textFill>
        </w:rPr>
      </w:pPr>
    </w:p>
    <w:p w14:paraId="3261B0CF">
      <w:pPr>
        <w:adjustRightInd w:val="0"/>
        <w:snapToGrid w:val="0"/>
        <w:jc w:val="center"/>
        <w:outlineLvl w:val="9"/>
        <w:rPr>
          <w:rFonts w:ascii="Times New Roman" w:hAnsi="Times New Roman" w:eastAsia="宋体"/>
          <w:b/>
          <w:bCs w:val="0"/>
          <w:color w:val="000000" w:themeColor="text1"/>
          <w:spacing w:val="0"/>
          <w:sz w:val="72"/>
          <w:szCs w:val="72"/>
          <w:highlight w:val="none"/>
          <w14:textFill>
            <w14:solidFill>
              <w14:schemeClr w14:val="tx1"/>
            </w14:solidFill>
          </w14:textFill>
        </w:rPr>
      </w:pPr>
      <w:r>
        <w:rPr>
          <w:rFonts w:ascii="Times New Roman" w:hAnsi="Times New Roman" w:eastAsia="宋体"/>
          <w:b/>
          <w:bCs w:val="0"/>
          <w:color w:val="000000" w:themeColor="text1"/>
          <w:spacing w:val="0"/>
          <w:sz w:val="72"/>
          <w:szCs w:val="72"/>
          <w:highlight w:val="none"/>
          <w14:textFill>
            <w14:solidFill>
              <w14:schemeClr w14:val="tx1"/>
            </w14:solidFill>
          </w14:textFill>
        </w:rPr>
        <w:t>建设项目环境影响报告表</w:t>
      </w:r>
    </w:p>
    <w:p w14:paraId="68C8C838">
      <w:pPr>
        <w:adjustRightInd w:val="0"/>
        <w:snapToGrid w:val="0"/>
        <w:spacing w:before="192" w:beforeLines="80"/>
        <w:jc w:val="center"/>
        <w:outlineLvl w:val="9"/>
        <w:rPr>
          <w:rFonts w:ascii="Times New Roman" w:hAnsi="Times New Roman" w:eastAsia="宋体"/>
          <w:bCs/>
          <w:color w:val="000000" w:themeColor="text1"/>
          <w:spacing w:val="0"/>
          <w:sz w:val="48"/>
          <w:szCs w:val="48"/>
          <w:highlight w:val="none"/>
          <w14:textFill>
            <w14:solidFill>
              <w14:schemeClr w14:val="tx1"/>
            </w14:solidFill>
          </w14:textFill>
        </w:rPr>
      </w:pPr>
      <w:r>
        <w:rPr>
          <w:rFonts w:ascii="Times New Roman" w:hAnsi="Times New Roman" w:eastAsia="宋体"/>
          <w:bCs/>
          <w:color w:val="000000" w:themeColor="text1"/>
          <w:spacing w:val="0"/>
          <w:sz w:val="48"/>
          <w:szCs w:val="48"/>
          <w:highlight w:val="none"/>
          <w14:textFill>
            <w14:solidFill>
              <w14:schemeClr w14:val="tx1"/>
            </w14:solidFill>
          </w14:textFill>
        </w:rPr>
        <w:t>（生态影响类）</w:t>
      </w:r>
    </w:p>
    <w:p w14:paraId="79B5F012">
      <w:pPr>
        <w:adjustRightInd w:val="0"/>
        <w:snapToGrid w:val="0"/>
        <w:spacing w:line="288" w:lineRule="auto"/>
        <w:jc w:val="center"/>
        <w:outlineLvl w:val="9"/>
        <w:rPr>
          <w:rFonts w:ascii="Times New Roman" w:hAnsi="Times New Roman" w:eastAsia="宋体"/>
          <w:color w:val="000000" w:themeColor="text1"/>
          <w:spacing w:val="0"/>
          <w:kern w:val="44"/>
          <w:sz w:val="44"/>
          <w:szCs w:val="44"/>
          <w:highlight w:val="none"/>
          <w14:textFill>
            <w14:solidFill>
              <w14:schemeClr w14:val="tx1"/>
            </w14:solidFill>
          </w14:textFill>
        </w:rPr>
      </w:pPr>
      <w:bookmarkStart w:id="1" w:name="_Hlk57883728"/>
    </w:p>
    <w:p w14:paraId="53C7D9AD">
      <w:pPr>
        <w:jc w:val="center"/>
        <w:outlineLvl w:val="9"/>
        <w:rPr>
          <w:rFonts w:ascii="Times New Roman" w:hAnsi="Times New Roman" w:eastAsia="宋体"/>
          <w:color w:val="000000" w:themeColor="text1"/>
          <w:spacing w:val="0"/>
          <w:sz w:val="52"/>
          <w:szCs w:val="52"/>
          <w:highlight w:val="none"/>
          <w14:textFill>
            <w14:solidFill>
              <w14:schemeClr w14:val="tx1"/>
            </w14:solidFill>
          </w14:textFill>
        </w:rPr>
      </w:pPr>
    </w:p>
    <w:p w14:paraId="34F6947F">
      <w:pPr>
        <w:outlineLvl w:val="9"/>
        <w:rPr>
          <w:rFonts w:ascii="Times New Roman" w:hAnsi="Times New Roman" w:eastAsia="宋体"/>
          <w:color w:val="000000" w:themeColor="text1"/>
          <w:spacing w:val="0"/>
          <w:sz w:val="44"/>
          <w:szCs w:val="44"/>
          <w:highlight w:val="none"/>
          <w14:textFill>
            <w14:solidFill>
              <w14:schemeClr w14:val="tx1"/>
            </w14:solidFill>
          </w14:textFill>
        </w:rPr>
      </w:pPr>
    </w:p>
    <w:p w14:paraId="72AB8D06">
      <w:pPr>
        <w:outlineLvl w:val="9"/>
        <w:rPr>
          <w:rFonts w:ascii="Times New Roman" w:hAnsi="Times New Roman" w:eastAsia="宋体"/>
          <w:color w:val="000000" w:themeColor="text1"/>
          <w:spacing w:val="0"/>
          <w:sz w:val="44"/>
          <w:szCs w:val="44"/>
          <w:highlight w:val="none"/>
          <w14:textFill>
            <w14:solidFill>
              <w14:schemeClr w14:val="tx1"/>
            </w14:solidFill>
          </w14:textFill>
        </w:rPr>
      </w:pPr>
    </w:p>
    <w:p w14:paraId="3A4E048F">
      <w:pPr>
        <w:outlineLvl w:val="9"/>
        <w:rPr>
          <w:rFonts w:ascii="Times New Roman" w:hAnsi="Times New Roman" w:eastAsia="宋体"/>
          <w:color w:val="000000" w:themeColor="text1"/>
          <w:spacing w:val="0"/>
          <w:sz w:val="44"/>
          <w:szCs w:val="44"/>
          <w:highlight w:val="none"/>
          <w14:textFill>
            <w14:solidFill>
              <w14:schemeClr w14:val="tx1"/>
            </w14:solidFill>
          </w14:textFill>
        </w:rPr>
      </w:pPr>
    </w:p>
    <w:bookmarkEnd w:id="1"/>
    <w:p w14:paraId="5E11B2A5">
      <w:pPr>
        <w:outlineLvl w:val="9"/>
        <w:rPr>
          <w:rFonts w:ascii="Times New Roman" w:hAnsi="Times New Roman" w:eastAsia="宋体"/>
          <w:color w:val="000000" w:themeColor="text1"/>
          <w:spacing w:val="0"/>
          <w:sz w:val="44"/>
          <w:szCs w:val="44"/>
          <w:highlight w:val="none"/>
          <w14:textFill>
            <w14:solidFill>
              <w14:schemeClr w14:val="tx1"/>
            </w14:solidFill>
          </w14:textFill>
        </w:rPr>
      </w:pPr>
    </w:p>
    <w:p w14:paraId="67FF55D5">
      <w:pPr>
        <w:adjustRightInd w:val="0"/>
        <w:snapToGrid w:val="0"/>
        <w:spacing w:line="288" w:lineRule="auto"/>
        <w:outlineLvl w:val="9"/>
        <w:rPr>
          <w:rFonts w:hint="default" w:ascii="Times New Roman" w:hAnsi="Times New Roman" w:eastAsia="宋体"/>
          <w:color w:val="000000" w:themeColor="text1"/>
          <w:spacing w:val="0"/>
          <w:sz w:val="36"/>
          <w:szCs w:val="36"/>
          <w:highlight w:val="none"/>
          <w:u w:val="single"/>
          <w:lang w:val="en-US"/>
          <w14:textFill>
            <w14:solidFill>
              <w14:schemeClr w14:val="tx1"/>
            </w14:solidFill>
          </w14:textFill>
        </w:rPr>
      </w:pPr>
      <w:r>
        <w:rPr>
          <w:rFonts w:ascii="Times New Roman" w:hAnsi="Times New Roman" w:eastAsia="宋体"/>
          <w:color w:val="000000" w:themeColor="text1"/>
          <w:spacing w:val="0"/>
          <w:sz w:val="36"/>
          <w:szCs w:val="36"/>
          <w:highlight w:val="none"/>
          <w14:textFill>
            <w14:solidFill>
              <w14:schemeClr w14:val="tx1"/>
            </w14:solidFill>
          </w14:textFill>
        </w:rPr>
        <w:t>项目名称：</w:t>
      </w:r>
      <w:r>
        <w:rPr>
          <w:rFonts w:hint="eastAsia" w:ascii="Times New Roman" w:hAnsi="Times New Roman" w:eastAsia="宋体"/>
          <w:color w:val="000000" w:themeColor="text1"/>
          <w:spacing w:val="0"/>
          <w:sz w:val="36"/>
          <w:szCs w:val="36"/>
          <w:highlight w:val="none"/>
          <w:u w:val="single"/>
          <w:lang w:val="en-US" w:eastAsia="zh-CN"/>
          <w14:textFill>
            <w14:solidFill>
              <w14:schemeClr w14:val="tx1"/>
            </w14:solidFill>
          </w14:textFill>
        </w:rPr>
        <w:t xml:space="preserve">  </w:t>
      </w:r>
      <w:r>
        <w:rPr>
          <w:rFonts w:hint="eastAsia"/>
          <w:color w:val="000000" w:themeColor="text1"/>
          <w:spacing w:val="0"/>
          <w:sz w:val="36"/>
          <w:szCs w:val="36"/>
          <w:highlight w:val="none"/>
          <w:u w:val="single"/>
          <w:lang w:val="en-US" w:eastAsia="zh-CN"/>
          <w14:textFill>
            <w14:solidFill>
              <w14:schemeClr w14:val="tx1"/>
            </w14:solidFill>
          </w14:textFill>
        </w:rPr>
        <w:t>宁夏固原三岔110千伏输变电工程</w:t>
      </w:r>
      <w:r>
        <w:rPr>
          <w:rFonts w:hint="eastAsia" w:ascii="Times New Roman" w:hAnsi="Times New Roman" w:eastAsia="宋体"/>
          <w:color w:val="000000" w:themeColor="text1"/>
          <w:spacing w:val="0"/>
          <w:sz w:val="36"/>
          <w:szCs w:val="36"/>
          <w:highlight w:val="none"/>
          <w:u w:val="single"/>
          <w:lang w:val="en-US" w:eastAsia="zh-CN"/>
          <w14:textFill>
            <w14:solidFill>
              <w14:schemeClr w14:val="tx1"/>
            </w14:solidFill>
          </w14:textFill>
        </w:rPr>
        <w:t xml:space="preserve"> </w:t>
      </w:r>
      <w:r>
        <w:rPr>
          <w:rFonts w:hint="eastAsia"/>
          <w:color w:val="000000" w:themeColor="text1"/>
          <w:spacing w:val="0"/>
          <w:sz w:val="36"/>
          <w:szCs w:val="36"/>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spacing w:val="0"/>
          <w:sz w:val="36"/>
          <w:szCs w:val="36"/>
          <w:highlight w:val="none"/>
          <w:u w:val="single"/>
          <w:lang w:val="en-US" w:eastAsia="zh-CN"/>
          <w14:textFill>
            <w14:solidFill>
              <w14:schemeClr w14:val="tx1"/>
            </w14:solidFill>
          </w14:textFill>
        </w:rPr>
        <w:t xml:space="preserve"> </w:t>
      </w:r>
      <w:r>
        <w:rPr>
          <w:rFonts w:hint="eastAsia"/>
          <w:color w:val="000000" w:themeColor="text1"/>
          <w:spacing w:val="0"/>
          <w:sz w:val="36"/>
          <w:szCs w:val="36"/>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spacing w:val="0"/>
          <w:sz w:val="36"/>
          <w:szCs w:val="36"/>
          <w:highlight w:val="none"/>
          <w:u w:val="single"/>
          <w:lang w:val="en-US" w:eastAsia="zh-CN"/>
          <w14:textFill>
            <w14:solidFill>
              <w14:schemeClr w14:val="tx1"/>
            </w14:solidFill>
          </w14:textFill>
        </w:rPr>
        <w:t xml:space="preserve"> </w:t>
      </w:r>
    </w:p>
    <w:p w14:paraId="498CA9D0">
      <w:pPr>
        <w:adjustRightInd w:val="0"/>
        <w:snapToGrid w:val="0"/>
        <w:spacing w:line="288" w:lineRule="auto"/>
        <w:outlineLvl w:val="9"/>
        <w:rPr>
          <w:rFonts w:hint="eastAsia" w:ascii="Times New Roman" w:hAnsi="Times New Roman" w:eastAsia="宋体"/>
          <w:color w:val="000000" w:themeColor="text1"/>
          <w:spacing w:val="0"/>
          <w:sz w:val="36"/>
          <w:szCs w:val="36"/>
          <w:highlight w:val="none"/>
          <w:u w:val="single"/>
          <w:lang w:val="en-US" w:eastAsia="zh-CN"/>
          <w14:textFill>
            <w14:solidFill>
              <w14:schemeClr w14:val="tx1"/>
            </w14:solidFill>
          </w14:textFill>
        </w:rPr>
      </w:pPr>
      <w:r>
        <w:rPr>
          <w:rFonts w:ascii="Times New Roman" w:hAnsi="Times New Roman" w:eastAsia="宋体"/>
          <w:color w:val="000000" w:themeColor="text1"/>
          <w:spacing w:val="0"/>
          <w:sz w:val="36"/>
          <w:szCs w:val="36"/>
          <w:highlight w:val="none"/>
          <w14:textFill>
            <w14:solidFill>
              <w14:schemeClr w14:val="tx1"/>
            </w14:solidFill>
          </w14:textFill>
        </w:rPr>
        <w:t>建设单位</w:t>
      </w:r>
      <w:r>
        <w:rPr>
          <w:rFonts w:ascii="Times New Roman" w:hAnsi="Times New Roman" w:eastAsia="宋体"/>
          <w:color w:val="000000" w:themeColor="text1"/>
          <w:spacing w:val="-28"/>
          <w:sz w:val="36"/>
          <w:szCs w:val="36"/>
          <w:highlight w:val="none"/>
          <w14:textFill>
            <w14:solidFill>
              <w14:schemeClr w14:val="tx1"/>
            </w14:solidFill>
          </w14:textFill>
        </w:rPr>
        <w:t>（</w:t>
      </w:r>
      <w:r>
        <w:rPr>
          <w:rFonts w:ascii="Times New Roman" w:hAnsi="Times New Roman" w:eastAsia="宋体"/>
          <w:color w:val="000000" w:themeColor="text1"/>
          <w:spacing w:val="-17"/>
          <w:sz w:val="36"/>
          <w:szCs w:val="36"/>
          <w:highlight w:val="none"/>
          <w14:textFill>
            <w14:solidFill>
              <w14:schemeClr w14:val="tx1"/>
            </w14:solidFill>
          </w14:textFill>
        </w:rPr>
        <w:t>盖章）：</w:t>
      </w:r>
      <w:r>
        <w:rPr>
          <w:rFonts w:ascii="Times New Roman" w:hAnsi="Times New Roman" w:eastAsia="宋体"/>
          <w:color w:val="000000" w:themeColor="text1"/>
          <w:spacing w:val="-17"/>
          <w:sz w:val="36"/>
          <w:szCs w:val="36"/>
          <w:highlight w:val="none"/>
          <w:u w:val="single"/>
          <w14:textFill>
            <w14:solidFill>
              <w14:schemeClr w14:val="tx1"/>
            </w14:solidFill>
          </w14:textFill>
        </w:rPr>
        <w:t>国网宁夏电力有限公司</w:t>
      </w:r>
      <w:r>
        <w:rPr>
          <w:rFonts w:hint="eastAsia" w:ascii="Times New Roman" w:hAnsi="Times New Roman" w:eastAsia="宋体"/>
          <w:color w:val="000000" w:themeColor="text1"/>
          <w:spacing w:val="-17"/>
          <w:sz w:val="36"/>
          <w:szCs w:val="36"/>
          <w:highlight w:val="none"/>
          <w:u w:val="single"/>
          <w:lang w:val="en-US" w:eastAsia="zh-CN"/>
          <w14:textFill>
            <w14:solidFill>
              <w14:schemeClr w14:val="tx1"/>
            </w14:solidFill>
          </w14:textFill>
        </w:rPr>
        <w:t>固原</w:t>
      </w:r>
      <w:r>
        <w:rPr>
          <w:rFonts w:ascii="Times New Roman" w:hAnsi="Times New Roman" w:eastAsia="宋体"/>
          <w:color w:val="000000" w:themeColor="text1"/>
          <w:spacing w:val="-17"/>
          <w:sz w:val="36"/>
          <w:szCs w:val="36"/>
          <w:highlight w:val="none"/>
          <w:u w:val="single"/>
          <w14:textFill>
            <w14:solidFill>
              <w14:schemeClr w14:val="tx1"/>
            </w14:solidFill>
          </w14:textFill>
        </w:rPr>
        <w:t>供电公司</w:t>
      </w:r>
      <w:r>
        <w:rPr>
          <w:rFonts w:hint="eastAsia"/>
          <w:color w:val="000000" w:themeColor="text1"/>
          <w:spacing w:val="-17"/>
          <w:sz w:val="36"/>
          <w:szCs w:val="36"/>
          <w:highlight w:val="none"/>
          <w:u w:val="single"/>
          <w:lang w:val="en-US" w:eastAsia="zh-CN"/>
          <w14:textFill>
            <w14:solidFill>
              <w14:schemeClr w14:val="tx1"/>
            </w14:solidFill>
          </w14:textFill>
        </w:rPr>
        <w:t xml:space="preserve">   </w:t>
      </w:r>
      <w:r>
        <w:rPr>
          <w:rFonts w:hint="eastAsia"/>
          <w:color w:val="000000" w:themeColor="text1"/>
          <w:spacing w:val="-28"/>
          <w:sz w:val="36"/>
          <w:szCs w:val="36"/>
          <w:highlight w:val="none"/>
          <w:u w:val="single"/>
          <w:lang w:val="en-US" w:eastAsia="zh-CN"/>
          <w14:textFill>
            <w14:solidFill>
              <w14:schemeClr w14:val="tx1"/>
            </w14:solidFill>
          </w14:textFill>
        </w:rPr>
        <w:t xml:space="preserve"> </w:t>
      </w:r>
    </w:p>
    <w:p w14:paraId="345B7DCF">
      <w:pPr>
        <w:adjustRightInd w:val="0"/>
        <w:snapToGrid w:val="0"/>
        <w:spacing w:line="288" w:lineRule="auto"/>
        <w:outlineLvl w:val="9"/>
        <w:rPr>
          <w:rFonts w:ascii="Times New Roman" w:hAnsi="Times New Roman" w:eastAsia="宋体"/>
          <w:color w:val="000000" w:themeColor="text1"/>
          <w:spacing w:val="0"/>
          <w:sz w:val="36"/>
          <w:szCs w:val="36"/>
          <w:highlight w:val="none"/>
          <w:u w:val="single"/>
          <w14:textFill>
            <w14:solidFill>
              <w14:schemeClr w14:val="tx1"/>
            </w14:solidFill>
          </w14:textFill>
        </w:rPr>
      </w:pPr>
      <w:r>
        <w:rPr>
          <w:rFonts w:ascii="Times New Roman" w:hAnsi="Times New Roman" w:eastAsia="宋体"/>
          <w:color w:val="000000" w:themeColor="text1"/>
          <w:spacing w:val="0"/>
          <w:sz w:val="36"/>
          <w:szCs w:val="36"/>
          <w:highlight w:val="none"/>
          <w14:textFill>
            <w14:solidFill>
              <w14:schemeClr w14:val="tx1"/>
            </w14:solidFill>
          </w14:textFill>
        </w:rPr>
        <w:t>编制日期：</w:t>
      </w:r>
      <w:r>
        <w:rPr>
          <w:rFonts w:ascii="Times New Roman" w:hAnsi="Times New Roman" w:eastAsia="宋体"/>
          <w:color w:val="000000" w:themeColor="text1"/>
          <w:spacing w:val="0"/>
          <w:sz w:val="36"/>
          <w:szCs w:val="36"/>
          <w:highlight w:val="none"/>
          <w:u w:val="single"/>
          <w14:textFill>
            <w14:solidFill>
              <w14:schemeClr w14:val="tx1"/>
            </w14:solidFill>
          </w14:textFill>
        </w:rPr>
        <w:t xml:space="preserve">         二〇二</w:t>
      </w:r>
      <w:r>
        <w:rPr>
          <w:rFonts w:hint="eastAsia"/>
          <w:color w:val="000000" w:themeColor="text1"/>
          <w:spacing w:val="0"/>
          <w:sz w:val="36"/>
          <w:szCs w:val="36"/>
          <w:highlight w:val="none"/>
          <w:u w:val="single"/>
          <w:lang w:val="en-US" w:eastAsia="zh-CN"/>
          <w14:textFill>
            <w14:solidFill>
              <w14:schemeClr w14:val="tx1"/>
            </w14:solidFill>
          </w14:textFill>
        </w:rPr>
        <w:t>六</w:t>
      </w:r>
      <w:r>
        <w:rPr>
          <w:rFonts w:ascii="Times New Roman" w:hAnsi="Times New Roman" w:eastAsia="宋体"/>
          <w:color w:val="000000" w:themeColor="text1"/>
          <w:spacing w:val="0"/>
          <w:sz w:val="36"/>
          <w:szCs w:val="36"/>
          <w:highlight w:val="none"/>
          <w:u w:val="single"/>
          <w14:textFill>
            <w14:solidFill>
              <w14:schemeClr w14:val="tx1"/>
            </w14:solidFill>
          </w14:textFill>
        </w:rPr>
        <w:t>年</w:t>
      </w:r>
      <w:r>
        <w:rPr>
          <w:rFonts w:hint="eastAsia"/>
          <w:color w:val="000000" w:themeColor="text1"/>
          <w:spacing w:val="0"/>
          <w:sz w:val="36"/>
          <w:szCs w:val="36"/>
          <w:highlight w:val="none"/>
          <w:u w:val="single"/>
          <w:lang w:val="en-US" w:eastAsia="zh-CN"/>
          <w14:textFill>
            <w14:solidFill>
              <w14:schemeClr w14:val="tx1"/>
            </w14:solidFill>
          </w14:textFill>
        </w:rPr>
        <w:t>三</w:t>
      </w:r>
      <w:r>
        <w:rPr>
          <w:rFonts w:ascii="Times New Roman" w:hAnsi="Times New Roman" w:eastAsia="宋体"/>
          <w:color w:val="000000" w:themeColor="text1"/>
          <w:spacing w:val="0"/>
          <w:sz w:val="36"/>
          <w:szCs w:val="36"/>
          <w:highlight w:val="none"/>
          <w:u w:val="single"/>
          <w14:textFill>
            <w14:solidFill>
              <w14:schemeClr w14:val="tx1"/>
            </w14:solidFill>
          </w14:textFill>
        </w:rPr>
        <w:t xml:space="preserve">月     </w:t>
      </w:r>
      <w:r>
        <w:rPr>
          <w:rFonts w:hint="eastAsia"/>
          <w:color w:val="000000" w:themeColor="text1"/>
          <w:spacing w:val="0"/>
          <w:sz w:val="36"/>
          <w:szCs w:val="36"/>
          <w:highlight w:val="none"/>
          <w:u w:val="single"/>
          <w:lang w:val="en-US" w:eastAsia="zh-CN"/>
          <w14:textFill>
            <w14:solidFill>
              <w14:schemeClr w14:val="tx1"/>
            </w14:solidFill>
          </w14:textFill>
        </w:rPr>
        <w:t xml:space="preserve"> </w:t>
      </w:r>
      <w:r>
        <w:rPr>
          <w:rFonts w:ascii="Times New Roman" w:hAnsi="Times New Roman" w:eastAsia="宋体"/>
          <w:color w:val="000000" w:themeColor="text1"/>
          <w:spacing w:val="0"/>
          <w:sz w:val="36"/>
          <w:szCs w:val="36"/>
          <w:highlight w:val="none"/>
          <w:u w:val="single"/>
          <w14:textFill>
            <w14:solidFill>
              <w14:schemeClr w14:val="tx1"/>
            </w14:solidFill>
          </w14:textFill>
        </w:rPr>
        <w:t xml:space="preserve">     </w:t>
      </w:r>
    </w:p>
    <w:p w14:paraId="34F64198">
      <w:pPr>
        <w:adjustRightInd w:val="0"/>
        <w:snapToGrid w:val="0"/>
        <w:spacing w:line="288" w:lineRule="auto"/>
        <w:outlineLvl w:val="9"/>
        <w:rPr>
          <w:rFonts w:ascii="Times New Roman" w:hAnsi="Times New Roman" w:eastAsia="宋体"/>
          <w:color w:val="000000" w:themeColor="text1"/>
          <w:spacing w:val="0"/>
          <w:sz w:val="36"/>
          <w:szCs w:val="36"/>
          <w:highlight w:val="none"/>
          <w14:textFill>
            <w14:solidFill>
              <w14:schemeClr w14:val="tx1"/>
            </w14:solidFill>
          </w14:textFill>
        </w:rPr>
      </w:pPr>
    </w:p>
    <w:p w14:paraId="663F446D">
      <w:pPr>
        <w:adjustRightInd w:val="0"/>
        <w:snapToGrid w:val="0"/>
        <w:spacing w:line="288" w:lineRule="auto"/>
        <w:outlineLvl w:val="9"/>
        <w:rPr>
          <w:rFonts w:ascii="Times New Roman" w:hAnsi="Times New Roman" w:eastAsia="宋体"/>
          <w:color w:val="000000" w:themeColor="text1"/>
          <w:spacing w:val="0"/>
          <w:sz w:val="36"/>
          <w:szCs w:val="36"/>
          <w:highlight w:val="none"/>
          <w14:textFill>
            <w14:solidFill>
              <w14:schemeClr w14:val="tx1"/>
            </w14:solidFill>
          </w14:textFill>
        </w:rPr>
      </w:pPr>
    </w:p>
    <w:p w14:paraId="2430EC21">
      <w:pPr>
        <w:pStyle w:val="25"/>
        <w:ind w:firstLine="0" w:firstLineChars="0"/>
        <w:jc w:val="both"/>
        <w:outlineLvl w:val="9"/>
        <w:rPr>
          <w:rFonts w:ascii="Times New Roman" w:hAnsi="Times New Roman" w:eastAsia="宋体"/>
          <w:color w:val="000000" w:themeColor="text1"/>
          <w:spacing w:val="0"/>
          <w:highlight w:val="none"/>
          <w14:textFill>
            <w14:solidFill>
              <w14:schemeClr w14:val="tx1"/>
            </w14:solidFill>
          </w14:textFill>
        </w:rPr>
      </w:pPr>
    </w:p>
    <w:p w14:paraId="03DF825D">
      <w:pPr>
        <w:pStyle w:val="25"/>
        <w:ind w:firstLine="0" w:firstLineChars="0"/>
        <w:jc w:val="both"/>
        <w:outlineLvl w:val="9"/>
        <w:rPr>
          <w:rFonts w:ascii="Times New Roman" w:hAnsi="Times New Roman" w:eastAsia="宋体"/>
          <w:color w:val="000000" w:themeColor="text1"/>
          <w:spacing w:val="0"/>
          <w:highlight w:val="none"/>
          <w14:textFill>
            <w14:solidFill>
              <w14:schemeClr w14:val="tx1"/>
            </w14:solidFill>
          </w14:textFill>
        </w:rPr>
      </w:pPr>
    </w:p>
    <w:p w14:paraId="3098CB21">
      <w:pPr>
        <w:adjustRightInd w:val="0"/>
        <w:snapToGrid w:val="0"/>
        <w:spacing w:line="288" w:lineRule="auto"/>
        <w:outlineLvl w:val="9"/>
        <w:rPr>
          <w:rFonts w:ascii="Times New Roman" w:hAnsi="Times New Roman" w:eastAsia="宋体"/>
          <w:color w:val="000000" w:themeColor="text1"/>
          <w:spacing w:val="0"/>
          <w:sz w:val="36"/>
          <w:szCs w:val="36"/>
          <w:highlight w:val="none"/>
          <w14:textFill>
            <w14:solidFill>
              <w14:schemeClr w14:val="tx1"/>
            </w14:solidFill>
          </w14:textFill>
        </w:rPr>
      </w:pPr>
    </w:p>
    <w:p w14:paraId="70B5844E">
      <w:pPr>
        <w:adjustRightInd w:val="0"/>
        <w:snapToGrid w:val="0"/>
        <w:spacing w:line="288" w:lineRule="auto"/>
        <w:outlineLvl w:val="9"/>
        <w:rPr>
          <w:rFonts w:ascii="Times New Roman" w:hAnsi="Times New Roman" w:eastAsia="宋体"/>
          <w:color w:val="000000" w:themeColor="text1"/>
          <w:spacing w:val="0"/>
          <w:sz w:val="36"/>
          <w:szCs w:val="36"/>
          <w:highlight w:val="none"/>
          <w14:textFill>
            <w14:solidFill>
              <w14:schemeClr w14:val="tx1"/>
            </w14:solidFill>
          </w14:textFill>
        </w:rPr>
      </w:pPr>
    </w:p>
    <w:p w14:paraId="7EA1A3EF">
      <w:pPr>
        <w:pStyle w:val="7"/>
        <w:outlineLvl w:val="9"/>
        <w:rPr>
          <w:rFonts w:ascii="Times New Roman" w:hAnsi="Times New Roman" w:eastAsia="宋体"/>
          <w:color w:val="000000" w:themeColor="text1"/>
          <w:spacing w:val="0"/>
          <w:highlight w:val="none"/>
          <w14:textFill>
            <w14:solidFill>
              <w14:schemeClr w14:val="tx1"/>
            </w14:solidFill>
          </w14:textFill>
        </w:rPr>
      </w:pPr>
    </w:p>
    <w:p w14:paraId="1A1B14EB">
      <w:pPr>
        <w:spacing w:after="240" w:afterLines="100" w:line="360" w:lineRule="auto"/>
        <w:jc w:val="center"/>
        <w:outlineLvl w:val="9"/>
        <w:rPr>
          <w:rFonts w:ascii="Times New Roman" w:hAnsi="Times New Roman" w:eastAsia="宋体"/>
          <w:b/>
          <w:bCs/>
          <w:snapToGrid w:val="0"/>
          <w:color w:val="000000" w:themeColor="text1"/>
          <w:spacing w:val="0"/>
          <w:sz w:val="30"/>
          <w:szCs w:val="30"/>
          <w:highlight w:val="none"/>
          <w14:textFill>
            <w14:solidFill>
              <w14:schemeClr w14:val="tx1"/>
            </w14:solidFill>
          </w14:textFill>
        </w:rPr>
      </w:pPr>
      <w:r>
        <w:rPr>
          <w:rFonts w:ascii="Times New Roman" w:hAnsi="Times New Roman" w:eastAsia="宋体"/>
          <w:b/>
          <w:bCs/>
          <w:color w:val="000000" w:themeColor="text1"/>
          <w:spacing w:val="0"/>
          <w:sz w:val="32"/>
          <w:szCs w:val="32"/>
          <w:highlight w:val="none"/>
          <w14:textFill>
            <w14:solidFill>
              <w14:schemeClr w14:val="tx1"/>
            </w14:solidFill>
          </w14:textFill>
        </w:rPr>
        <w:t>中华人民共和国生态环境部制</w:t>
      </w:r>
      <w:bookmarkEnd w:id="0"/>
    </w:p>
    <w:p w14:paraId="1BFE300C">
      <w:pPr>
        <w:pStyle w:val="23"/>
        <w:spacing w:before="0" w:beforeAutospacing="0" w:after="0" w:afterAutospacing="0" w:line="360" w:lineRule="auto"/>
        <w:jc w:val="center"/>
        <w:outlineLvl w:val="9"/>
        <w:rPr>
          <w:rFonts w:ascii="Times New Roman" w:hAnsi="Times New Roman" w:eastAsia="宋体"/>
          <w:b/>
          <w:bCs/>
          <w:snapToGrid w:val="0"/>
          <w:color w:val="000000" w:themeColor="text1"/>
          <w:spacing w:val="0"/>
          <w:sz w:val="30"/>
          <w:szCs w:val="30"/>
          <w:highlight w:val="none"/>
          <w14:textFill>
            <w14:solidFill>
              <w14:schemeClr w14:val="tx1"/>
            </w14:solidFill>
          </w14:textFill>
        </w:rPr>
      </w:pPr>
    </w:p>
    <w:p w14:paraId="33179C96">
      <w:pPr>
        <w:outlineLvl w:val="9"/>
        <w:rPr>
          <w:rFonts w:hint="default" w:ascii="Times New Roman" w:hAnsi="Times New Roman" w:eastAsia="宋体" w:cs="Times New Roman"/>
          <w:caps w:val="0"/>
          <w:color w:val="000000" w:themeColor="text1"/>
          <w:spacing w:val="0"/>
          <w:w w:val="100"/>
          <w:highlight w:val="none"/>
          <w14:textFill>
            <w14:solidFill>
              <w14:schemeClr w14:val="tx1"/>
            </w14:solidFill>
          </w14:textFill>
        </w:rPr>
        <w:sectPr>
          <w:pgSz w:w="11906" w:h="16838"/>
          <w:pgMar w:top="1440" w:right="1800" w:bottom="1440" w:left="1800" w:header="850" w:footer="850" w:gutter="0"/>
          <w:pgBorders>
            <w:top w:val="none" w:sz="0" w:space="0"/>
            <w:left w:val="none" w:sz="0" w:space="0"/>
            <w:bottom w:val="none" w:sz="0" w:space="0"/>
            <w:right w:val="none" w:sz="0" w:space="0"/>
          </w:pgBorders>
          <w:pgNumType w:fmt="numberInDash" w:start="1"/>
          <w:cols w:space="720" w:num="1"/>
          <w:docGrid w:linePitch="381" w:charSpace="0"/>
        </w:sectPr>
      </w:pPr>
    </w:p>
    <w:sdt>
      <w:sdtPr>
        <w:rPr>
          <w:rFonts w:ascii="宋体" w:hAnsi="宋体" w:eastAsia="宋体" w:cs="Times New Roman"/>
          <w:color w:val="000000" w:themeColor="text1"/>
          <w:kern w:val="2"/>
          <w:sz w:val="21"/>
          <w:szCs w:val="24"/>
          <w:lang w:val="en-US" w:eastAsia="zh-CN" w:bidi="ar-SA"/>
          <w14:textFill>
            <w14:solidFill>
              <w14:schemeClr w14:val="tx1"/>
            </w14:solidFill>
          </w14:textFill>
        </w:rPr>
        <w:id w:val="147474598"/>
        <w15:color w:val="DBDBDB"/>
        <w:docPartObj>
          <w:docPartGallery w:val="Table of Contents"/>
          <w:docPartUnique/>
        </w:docPartObj>
      </w:sdtPr>
      <w:sdtEndPr>
        <w:rPr>
          <w:rFonts w:ascii="宋体" w:hAnsi="宋体" w:eastAsia="宋体" w:cs="Times New Roman"/>
          <w:color w:val="000000" w:themeColor="text1"/>
          <w:kern w:val="2"/>
          <w:sz w:val="21"/>
          <w:szCs w:val="24"/>
          <w:lang w:val="en-US" w:eastAsia="zh-CN" w:bidi="ar-SA"/>
          <w14:textFill>
            <w14:solidFill>
              <w14:schemeClr w14:val="tx1"/>
            </w14:solidFill>
          </w14:textFill>
        </w:rPr>
      </w:sdtEndPr>
      <w:sdtContent>
        <w:p w14:paraId="07394B59">
          <w:pPr>
            <w:spacing w:before="0" w:beforeLines="0" w:after="0" w:afterLines="0" w:line="240" w:lineRule="auto"/>
            <w:ind w:left="0" w:leftChars="0" w:right="0" w:rightChars="0" w:firstLine="0" w:firstLineChars="0"/>
            <w:jc w:val="center"/>
            <w:rPr>
              <w:rFonts w:ascii="宋体" w:hAnsi="宋体" w:eastAsia="宋体" w:cs="Times New Roman"/>
              <w:color w:val="000000" w:themeColor="text1"/>
              <w:kern w:val="2"/>
              <w:sz w:val="21"/>
              <w:szCs w:val="24"/>
              <w:lang w:val="en-US" w:eastAsia="zh-CN" w:bidi="ar-SA"/>
              <w14:textFill>
                <w14:solidFill>
                  <w14:schemeClr w14:val="tx1"/>
                </w14:solidFill>
              </w14:textFill>
            </w:rPr>
          </w:pPr>
        </w:p>
        <w:p w14:paraId="23B3754C">
          <w:pPr>
            <w:spacing w:before="0" w:beforeLines="0" w:after="0" w:afterLines="0" w:line="240" w:lineRule="auto"/>
            <w:ind w:left="0" w:leftChars="0" w:right="0" w:rightChars="0" w:firstLine="0" w:firstLineChars="0"/>
            <w:jc w:val="center"/>
            <w:rPr>
              <w:rFonts w:ascii="宋体" w:hAnsi="宋体" w:eastAsia="宋体"/>
              <w:color w:val="000000" w:themeColor="text1"/>
              <w:sz w:val="21"/>
              <w14:textFill>
                <w14:solidFill>
                  <w14:schemeClr w14:val="tx1"/>
                </w14:solidFill>
              </w14:textFill>
            </w:rPr>
          </w:pPr>
        </w:p>
        <w:p w14:paraId="4D37AAD1">
          <w:pPr>
            <w:spacing w:before="0" w:beforeLines="0" w:after="0" w:afterLines="0" w:line="240" w:lineRule="auto"/>
            <w:ind w:left="0" w:leftChars="0" w:right="0" w:rightChars="0" w:firstLine="0" w:firstLineChars="0"/>
            <w:jc w:val="center"/>
            <w:rPr>
              <w:rFonts w:ascii="宋体" w:hAnsi="宋体" w:eastAsia="宋体"/>
              <w:color w:val="000000" w:themeColor="text1"/>
              <w:sz w:val="21"/>
              <w14:textFill>
                <w14:solidFill>
                  <w14:schemeClr w14:val="tx1"/>
                </w14:solidFill>
              </w14:textFill>
            </w:rPr>
          </w:pPr>
        </w:p>
        <w:p w14:paraId="24EDBD73">
          <w:pPr>
            <w:spacing w:before="0" w:beforeLines="0" w:after="0" w:afterLines="0" w:line="480" w:lineRule="auto"/>
            <w:ind w:left="0" w:leftChars="0" w:right="0" w:rightChars="0" w:firstLine="0" w:firstLineChars="0"/>
            <w:jc w:val="center"/>
            <w:rPr>
              <w:rFonts w:ascii="宋体" w:hAnsi="宋体" w:eastAsia="宋体"/>
              <w:b/>
              <w:bCs/>
              <w:color w:val="000000" w:themeColor="text1"/>
              <w:sz w:val="30"/>
              <w:szCs w:val="30"/>
              <w14:textFill>
                <w14:solidFill>
                  <w14:schemeClr w14:val="tx1"/>
                </w14:solidFill>
              </w14:textFill>
            </w:rPr>
          </w:pPr>
          <w:r>
            <w:rPr>
              <w:rFonts w:ascii="宋体" w:hAnsi="宋体" w:eastAsia="宋体"/>
              <w:b/>
              <w:bCs/>
              <w:color w:val="000000" w:themeColor="text1"/>
              <w:sz w:val="30"/>
              <w:szCs w:val="30"/>
              <w14:textFill>
                <w14:solidFill>
                  <w14:schemeClr w14:val="tx1"/>
                </w14:solidFill>
              </w14:textFill>
            </w:rPr>
            <w:t>目</w:t>
          </w:r>
          <w:r>
            <w:rPr>
              <w:rFonts w:hint="eastAsia" w:ascii="宋体" w:hAnsi="宋体" w:eastAsia="宋体"/>
              <w:b/>
              <w:bCs/>
              <w:color w:val="000000" w:themeColor="text1"/>
              <w:sz w:val="30"/>
              <w:szCs w:val="30"/>
              <w:lang w:val="en-US" w:eastAsia="zh-CN"/>
              <w14:textFill>
                <w14:solidFill>
                  <w14:schemeClr w14:val="tx1"/>
                </w14:solidFill>
              </w14:textFill>
            </w:rPr>
            <w:t xml:space="preserve">  </w:t>
          </w:r>
          <w:r>
            <w:rPr>
              <w:rFonts w:ascii="宋体" w:hAnsi="宋体" w:eastAsia="宋体"/>
              <w:b/>
              <w:bCs/>
              <w:color w:val="000000" w:themeColor="text1"/>
              <w:sz w:val="30"/>
              <w:szCs w:val="30"/>
              <w14:textFill>
                <w14:solidFill>
                  <w14:schemeClr w14:val="tx1"/>
                </w14:solidFill>
              </w14:textFill>
            </w:rPr>
            <w:t>录</w:t>
          </w:r>
        </w:p>
        <w:p w14:paraId="17032206">
          <w:pPr>
            <w:pStyle w:val="7"/>
            <w:rPr>
              <w:color w:val="000000" w:themeColor="text1"/>
              <w14:textFill>
                <w14:solidFill>
                  <w14:schemeClr w14:val="tx1"/>
                </w14:solidFill>
              </w14:textFill>
            </w:rPr>
          </w:pPr>
        </w:p>
        <w:p w14:paraId="2F0FD51E">
          <w:pPr>
            <w:pStyle w:val="18"/>
            <w:tabs>
              <w:tab w:val="right" w:leader="dot" w:pos="8306"/>
            </w:tabs>
            <w:spacing w:line="480" w:lineRule="auto"/>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TOC \o "1-1" \h \u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HYPERLINK \l _Toc28631 </w:instrText>
          </w:r>
          <w:r>
            <w:rPr>
              <w:color w:val="000000" w:themeColor="text1"/>
              <w:sz w:val="30"/>
              <w:szCs w:val="30"/>
              <w14:textFill>
                <w14:solidFill>
                  <w14:schemeClr w14:val="tx1"/>
                </w14:solidFill>
              </w14:textFill>
            </w:rPr>
            <w:fldChar w:fldCharType="separate"/>
          </w:r>
          <w:r>
            <w:rPr>
              <w:rFonts w:ascii="Times New Roman" w:hAnsi="Times New Roman" w:eastAsia="宋体"/>
              <w:bCs/>
              <w:snapToGrid w:val="0"/>
              <w:color w:val="000000" w:themeColor="text1"/>
              <w:spacing w:val="0"/>
              <w:sz w:val="30"/>
              <w:szCs w:val="30"/>
              <w:highlight w:val="none"/>
              <w14:textFill>
                <w14:solidFill>
                  <w14:schemeClr w14:val="tx1"/>
                </w14:solidFill>
              </w14:textFill>
            </w:rPr>
            <w:t>一、建设项目基本情况</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_Toc28631 \h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2</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74BF37E3">
          <w:pPr>
            <w:pStyle w:val="18"/>
            <w:tabs>
              <w:tab w:val="right" w:leader="dot" w:pos="8306"/>
            </w:tabs>
            <w:spacing w:line="480" w:lineRule="auto"/>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HYPERLINK \l _Toc25234 </w:instrText>
          </w:r>
          <w:r>
            <w:rPr>
              <w:color w:val="000000" w:themeColor="text1"/>
              <w:sz w:val="30"/>
              <w:szCs w:val="30"/>
              <w14:textFill>
                <w14:solidFill>
                  <w14:schemeClr w14:val="tx1"/>
                </w14:solidFill>
              </w14:textFill>
            </w:rPr>
            <w:fldChar w:fldCharType="separate"/>
          </w:r>
          <w:r>
            <w:rPr>
              <w:rFonts w:hint="eastAsia" w:ascii="Times New Roman" w:hAnsi="Times New Roman" w:eastAsia="宋体"/>
              <w:bCs/>
              <w:snapToGrid w:val="0"/>
              <w:color w:val="000000" w:themeColor="text1"/>
              <w:spacing w:val="0"/>
              <w:sz w:val="30"/>
              <w:szCs w:val="30"/>
              <w14:textFill>
                <w14:solidFill>
                  <w14:schemeClr w14:val="tx1"/>
                </w14:solidFill>
              </w14:textFill>
            </w:rPr>
            <w:t xml:space="preserve">二、 </w:t>
          </w:r>
          <w:r>
            <w:rPr>
              <w:rFonts w:ascii="Times New Roman" w:hAnsi="Times New Roman" w:eastAsia="宋体"/>
              <w:bCs/>
              <w:snapToGrid w:val="0"/>
              <w:color w:val="000000" w:themeColor="text1"/>
              <w:spacing w:val="0"/>
              <w:sz w:val="30"/>
              <w:szCs w:val="30"/>
              <w:highlight w:val="none"/>
              <w14:textFill>
                <w14:solidFill>
                  <w14:schemeClr w14:val="tx1"/>
                </w14:solidFill>
              </w14:textFill>
            </w:rPr>
            <w:t>建设内容</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_Toc25234 \h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9</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2697D7D9">
          <w:pPr>
            <w:pStyle w:val="18"/>
            <w:tabs>
              <w:tab w:val="right" w:leader="dot" w:pos="8306"/>
            </w:tabs>
            <w:spacing w:line="480" w:lineRule="auto"/>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HYPERLINK \l _Toc7167 </w:instrText>
          </w:r>
          <w:r>
            <w:rPr>
              <w:color w:val="000000" w:themeColor="text1"/>
              <w:sz w:val="30"/>
              <w:szCs w:val="30"/>
              <w14:textFill>
                <w14:solidFill>
                  <w14:schemeClr w14:val="tx1"/>
                </w14:solidFill>
              </w14:textFill>
            </w:rPr>
            <w:fldChar w:fldCharType="separate"/>
          </w:r>
          <w:r>
            <w:rPr>
              <w:rFonts w:ascii="Times New Roman" w:hAnsi="Times New Roman" w:eastAsia="宋体"/>
              <w:bCs/>
              <w:snapToGrid w:val="0"/>
              <w:color w:val="000000" w:themeColor="text1"/>
              <w:spacing w:val="0"/>
              <w:sz w:val="30"/>
              <w:szCs w:val="30"/>
              <w:highlight w:val="none"/>
              <w14:textFill>
                <w14:solidFill>
                  <w14:schemeClr w14:val="tx1"/>
                </w14:solidFill>
              </w14:textFill>
            </w:rPr>
            <w:t>三、生态环境现状、保护目标及评价标准</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_Toc7167 \h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22</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6C5F1025">
          <w:pPr>
            <w:pStyle w:val="18"/>
            <w:tabs>
              <w:tab w:val="right" w:leader="dot" w:pos="8306"/>
            </w:tabs>
            <w:spacing w:line="480" w:lineRule="auto"/>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HYPERLINK \l _Toc31057 </w:instrText>
          </w:r>
          <w:r>
            <w:rPr>
              <w:color w:val="000000" w:themeColor="text1"/>
              <w:sz w:val="30"/>
              <w:szCs w:val="30"/>
              <w14:textFill>
                <w14:solidFill>
                  <w14:schemeClr w14:val="tx1"/>
                </w14:solidFill>
              </w14:textFill>
            </w:rPr>
            <w:fldChar w:fldCharType="separate"/>
          </w:r>
          <w:r>
            <w:rPr>
              <w:rFonts w:ascii="Times New Roman" w:hAnsi="Times New Roman" w:eastAsia="宋体"/>
              <w:bCs/>
              <w:snapToGrid w:val="0"/>
              <w:color w:val="000000" w:themeColor="text1"/>
              <w:spacing w:val="0"/>
              <w:sz w:val="30"/>
              <w:szCs w:val="30"/>
              <w:highlight w:val="none"/>
              <w14:textFill>
                <w14:solidFill>
                  <w14:schemeClr w14:val="tx1"/>
                </w14:solidFill>
              </w14:textFill>
            </w:rPr>
            <w:t>四、生态环境影响分析</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_Toc31057 \h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37</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70D8B73D">
          <w:pPr>
            <w:pStyle w:val="18"/>
            <w:tabs>
              <w:tab w:val="right" w:leader="dot" w:pos="8306"/>
            </w:tabs>
            <w:spacing w:line="480" w:lineRule="auto"/>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HYPERLINK \l _Toc18749 </w:instrText>
          </w:r>
          <w:r>
            <w:rPr>
              <w:color w:val="000000" w:themeColor="text1"/>
              <w:sz w:val="30"/>
              <w:szCs w:val="30"/>
              <w14:textFill>
                <w14:solidFill>
                  <w14:schemeClr w14:val="tx1"/>
                </w14:solidFill>
              </w14:textFill>
            </w:rPr>
            <w:fldChar w:fldCharType="separate"/>
          </w:r>
          <w:r>
            <w:rPr>
              <w:rFonts w:ascii="Times New Roman" w:hAnsi="Times New Roman" w:eastAsia="宋体"/>
              <w:bCs/>
              <w:snapToGrid w:val="0"/>
              <w:color w:val="000000" w:themeColor="text1"/>
              <w:spacing w:val="0"/>
              <w:sz w:val="30"/>
              <w:szCs w:val="30"/>
              <w:highlight w:val="none"/>
              <w14:textFill>
                <w14:solidFill>
                  <w14:schemeClr w14:val="tx1"/>
                </w14:solidFill>
              </w14:textFill>
            </w:rPr>
            <w:t>五、主要生态环境保护措施</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_Toc18749 \h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56</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4AAD4D7A">
          <w:pPr>
            <w:pStyle w:val="18"/>
            <w:tabs>
              <w:tab w:val="right" w:leader="dot" w:pos="8306"/>
            </w:tabs>
            <w:spacing w:line="480" w:lineRule="auto"/>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HYPERLINK \l _Toc21439 </w:instrText>
          </w:r>
          <w:r>
            <w:rPr>
              <w:color w:val="000000" w:themeColor="text1"/>
              <w:sz w:val="30"/>
              <w:szCs w:val="30"/>
              <w14:textFill>
                <w14:solidFill>
                  <w14:schemeClr w14:val="tx1"/>
                </w14:solidFill>
              </w14:textFill>
            </w:rPr>
            <w:fldChar w:fldCharType="separate"/>
          </w:r>
          <w:r>
            <w:rPr>
              <w:rFonts w:ascii="Times New Roman" w:hAnsi="Times New Roman" w:eastAsia="宋体"/>
              <w:bCs/>
              <w:snapToGrid w:val="0"/>
              <w:color w:val="000000" w:themeColor="text1"/>
              <w:spacing w:val="0"/>
              <w:sz w:val="30"/>
              <w:szCs w:val="30"/>
              <w:highlight w:val="none"/>
              <w14:textFill>
                <w14:solidFill>
                  <w14:schemeClr w14:val="tx1"/>
                </w14:solidFill>
              </w14:textFill>
            </w:rPr>
            <w:t>六、生态环境保护措施监督检查清单</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_Toc21439 \h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67</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34E183D2">
          <w:pPr>
            <w:pStyle w:val="18"/>
            <w:tabs>
              <w:tab w:val="right" w:leader="dot" w:pos="8306"/>
            </w:tabs>
            <w:spacing w:line="480" w:lineRule="auto"/>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HYPERLINK \l _Toc28569 </w:instrText>
          </w:r>
          <w:r>
            <w:rPr>
              <w:color w:val="000000" w:themeColor="text1"/>
              <w:sz w:val="30"/>
              <w:szCs w:val="30"/>
              <w14:textFill>
                <w14:solidFill>
                  <w14:schemeClr w14:val="tx1"/>
                </w14:solidFill>
              </w14:textFill>
            </w:rPr>
            <w:fldChar w:fldCharType="separate"/>
          </w:r>
          <w:r>
            <w:rPr>
              <w:rFonts w:ascii="Times New Roman" w:hAnsi="Times New Roman" w:eastAsia="宋体"/>
              <w:bCs/>
              <w:snapToGrid w:val="0"/>
              <w:color w:val="000000" w:themeColor="text1"/>
              <w:spacing w:val="0"/>
              <w:sz w:val="30"/>
              <w:szCs w:val="30"/>
              <w:highlight w:val="none"/>
              <w14:textFill>
                <w14:solidFill>
                  <w14:schemeClr w14:val="tx1"/>
                </w14:solidFill>
              </w14:textFill>
            </w:rPr>
            <w:t>七、结论</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_Toc28569 \h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70</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487C4550">
          <w:pPr>
            <w:pStyle w:val="18"/>
            <w:tabs>
              <w:tab w:val="right" w:leader="dot" w:pos="8306"/>
            </w:tabs>
            <w:spacing w:line="480" w:lineRule="auto"/>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HYPERLINK \l _Toc11096 </w:instrText>
          </w:r>
          <w:r>
            <w:rPr>
              <w:color w:val="000000" w:themeColor="text1"/>
              <w:sz w:val="30"/>
              <w:szCs w:val="30"/>
              <w14:textFill>
                <w14:solidFill>
                  <w14:schemeClr w14:val="tx1"/>
                </w14:solidFill>
              </w14:textFill>
            </w:rPr>
            <w:fldChar w:fldCharType="separate"/>
          </w:r>
          <w:r>
            <w:rPr>
              <w:rFonts w:ascii="Times New Roman" w:hAnsi="Times New Roman" w:eastAsia="宋体"/>
              <w:color w:val="000000" w:themeColor="text1"/>
              <w:spacing w:val="0"/>
              <w:kern w:val="0"/>
              <w:sz w:val="30"/>
              <w:szCs w:val="30"/>
              <w:highlight w:val="none"/>
              <w14:textFill>
                <w14:solidFill>
                  <w14:schemeClr w14:val="tx1"/>
                </w14:solidFill>
              </w14:textFill>
            </w:rPr>
            <w:t>电磁环境影响专题评价</w:t>
          </w:r>
          <w:r>
            <w:rPr>
              <w:color w:val="000000" w:themeColor="text1"/>
              <w:sz w:val="30"/>
              <w:szCs w:val="30"/>
              <w14:textFill>
                <w14:solidFill>
                  <w14:schemeClr w14:val="tx1"/>
                </w14:solidFill>
              </w14:textFill>
            </w:rPr>
            <w:tab/>
          </w:r>
          <w:r>
            <w:rPr>
              <w:color w:val="000000" w:themeColor="text1"/>
              <w:sz w:val="30"/>
              <w:szCs w:val="30"/>
              <w14:textFill>
                <w14:solidFill>
                  <w14:schemeClr w14:val="tx1"/>
                </w14:solidFill>
              </w14:textFill>
            </w:rPr>
            <w:fldChar w:fldCharType="begin"/>
          </w:r>
          <w:r>
            <w:rPr>
              <w:color w:val="000000" w:themeColor="text1"/>
              <w:sz w:val="30"/>
              <w:szCs w:val="30"/>
              <w14:textFill>
                <w14:solidFill>
                  <w14:schemeClr w14:val="tx1"/>
                </w14:solidFill>
              </w14:textFill>
            </w:rPr>
            <w:instrText xml:space="preserve"> PAGEREF _Toc11096 \h </w:instrText>
          </w:r>
          <w:r>
            <w:rPr>
              <w:color w:val="000000" w:themeColor="text1"/>
              <w:sz w:val="30"/>
              <w:szCs w:val="30"/>
              <w14:textFill>
                <w14:solidFill>
                  <w14:schemeClr w14:val="tx1"/>
                </w14:solidFill>
              </w14:textFill>
            </w:rPr>
            <w:fldChar w:fldCharType="separate"/>
          </w:r>
          <w:r>
            <w:rPr>
              <w:color w:val="000000" w:themeColor="text1"/>
              <w:sz w:val="30"/>
              <w:szCs w:val="30"/>
              <w14:textFill>
                <w14:solidFill>
                  <w14:schemeClr w14:val="tx1"/>
                </w14:solidFill>
              </w14:textFill>
            </w:rPr>
            <w:t>71</w:t>
          </w:r>
          <w:r>
            <w:rPr>
              <w:color w:val="000000" w:themeColor="text1"/>
              <w:sz w:val="30"/>
              <w:szCs w:val="30"/>
              <w14:textFill>
                <w14:solidFill>
                  <w14:schemeClr w14:val="tx1"/>
                </w14:solidFill>
              </w14:textFill>
            </w:rPr>
            <w:fldChar w:fldCharType="end"/>
          </w:r>
          <w:r>
            <w:rPr>
              <w:color w:val="000000" w:themeColor="text1"/>
              <w:sz w:val="30"/>
              <w:szCs w:val="30"/>
              <w14:textFill>
                <w14:solidFill>
                  <w14:schemeClr w14:val="tx1"/>
                </w14:solidFill>
              </w14:textFill>
            </w:rPr>
            <w:fldChar w:fldCharType="end"/>
          </w:r>
        </w:p>
        <w:p w14:paraId="7A2A279C">
          <w:pPr>
            <w:spacing w:line="480" w:lineRule="auto"/>
            <w:rPr>
              <w:color w:val="000000" w:themeColor="text1"/>
              <w14:textFill>
                <w14:solidFill>
                  <w14:schemeClr w14:val="tx1"/>
                </w14:solidFill>
              </w14:textFill>
            </w:rPr>
          </w:pPr>
          <w:r>
            <w:rPr>
              <w:color w:val="000000" w:themeColor="text1"/>
              <w:sz w:val="30"/>
              <w:szCs w:val="30"/>
              <w14:textFill>
                <w14:solidFill>
                  <w14:schemeClr w14:val="tx1"/>
                </w14:solidFill>
              </w14:textFill>
            </w:rPr>
            <w:fldChar w:fldCharType="end"/>
          </w:r>
        </w:p>
      </w:sdtContent>
    </w:sdt>
    <w:p w14:paraId="25ED3471">
      <w:pPr>
        <w:rPr>
          <w:color w:val="000000" w:themeColor="text1"/>
          <w14:textFill>
            <w14:solidFill>
              <w14:schemeClr w14:val="tx1"/>
            </w14:solidFill>
          </w14:textFill>
        </w:rPr>
      </w:pPr>
    </w:p>
    <w:p w14:paraId="563857F2">
      <w:pPr>
        <w:rPr>
          <w:rFonts w:ascii="Times New Roman" w:hAnsi="Times New Roman" w:eastAsia="宋体"/>
          <w:b/>
          <w:bCs/>
          <w:snapToGrid w:val="0"/>
          <w:color w:val="000000" w:themeColor="text1"/>
          <w:spacing w:val="0"/>
          <w:sz w:val="30"/>
          <w:szCs w:val="30"/>
          <w:highlight w:val="none"/>
          <w14:textFill>
            <w14:solidFill>
              <w14:schemeClr w14:val="tx1"/>
            </w14:solidFill>
          </w14:textFill>
        </w:rPr>
      </w:pPr>
      <w:bookmarkStart w:id="2" w:name="_Toc28631"/>
      <w:r>
        <w:rPr>
          <w:rFonts w:ascii="Times New Roman" w:hAnsi="Times New Roman" w:eastAsia="宋体"/>
          <w:b/>
          <w:bCs/>
          <w:snapToGrid w:val="0"/>
          <w:color w:val="000000" w:themeColor="text1"/>
          <w:spacing w:val="0"/>
          <w:sz w:val="30"/>
          <w:szCs w:val="30"/>
          <w:highlight w:val="none"/>
          <w14:textFill>
            <w14:solidFill>
              <w14:schemeClr w14:val="tx1"/>
            </w14:solidFill>
          </w14:textFill>
        </w:rPr>
        <w:br w:type="page"/>
      </w:r>
    </w:p>
    <w:p w14:paraId="745DB115">
      <w:pPr>
        <w:pStyle w:val="23"/>
        <w:spacing w:before="0" w:beforeAutospacing="0" w:after="0" w:afterAutospacing="0" w:line="360" w:lineRule="auto"/>
        <w:jc w:val="center"/>
        <w:outlineLvl w:val="0"/>
        <w:rPr>
          <w:rFonts w:ascii="Times New Roman" w:hAnsi="Times New Roman" w:eastAsia="宋体"/>
          <w:b/>
          <w:bCs/>
          <w:snapToGrid w:val="0"/>
          <w:color w:val="000000" w:themeColor="text1"/>
          <w:spacing w:val="0"/>
          <w:sz w:val="30"/>
          <w:szCs w:val="30"/>
          <w:highlight w:val="none"/>
          <w14:textFill>
            <w14:solidFill>
              <w14:schemeClr w14:val="tx1"/>
            </w14:solidFill>
          </w14:textFill>
        </w:rPr>
      </w:pPr>
      <w:r>
        <w:rPr>
          <w:rFonts w:ascii="Times New Roman" w:hAnsi="Times New Roman" w:eastAsia="宋体"/>
          <w:b/>
          <w:bCs/>
          <w:snapToGrid w:val="0"/>
          <w:color w:val="000000" w:themeColor="text1"/>
          <w:spacing w:val="0"/>
          <w:sz w:val="30"/>
          <w:szCs w:val="30"/>
          <w:highlight w:val="none"/>
          <w14:textFill>
            <w14:solidFill>
              <w14:schemeClr w14:val="tx1"/>
            </w14:solidFill>
          </w14:textFill>
        </w:rPr>
        <w:t>一、建设项目基本情况</w:t>
      </w:r>
      <w:bookmarkEnd w:id="2"/>
    </w:p>
    <w:tbl>
      <w:tblPr>
        <w:tblStyle w:val="26"/>
        <w:tblW w:w="94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72"/>
        <w:gridCol w:w="1033"/>
        <w:gridCol w:w="2201"/>
        <w:gridCol w:w="2355"/>
        <w:gridCol w:w="3134"/>
      </w:tblGrid>
      <w:tr w14:paraId="00FBB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495F5E43">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建设项目名称</w:t>
            </w:r>
          </w:p>
        </w:tc>
        <w:tc>
          <w:tcPr>
            <w:tcW w:w="7690" w:type="dxa"/>
            <w:gridSpan w:val="3"/>
            <w:vAlign w:val="center"/>
          </w:tcPr>
          <w:p w14:paraId="6AB01AA9">
            <w:pPr>
              <w:adjustRightInd w:val="0"/>
              <w:snapToGrid w:val="0"/>
              <w:jc w:val="center"/>
              <w:outlineLvl w:val="9"/>
              <w:rPr>
                <w:rFonts w:hint="eastAsia" w:ascii="Times New Roman" w:hAnsi="Times New Roman" w:eastAsia="宋体"/>
                <w:color w:val="000000" w:themeColor="text1"/>
                <w:spacing w:val="0"/>
                <w:sz w:val="24"/>
                <w:highlight w:val="none"/>
                <w:lang w:eastAsia="zh-CN"/>
                <w14:textFill>
                  <w14:solidFill>
                    <w14:schemeClr w14:val="tx1"/>
                  </w14:solidFill>
                </w14:textFill>
              </w:rPr>
            </w:pPr>
            <w:r>
              <w:rPr>
                <w:rFonts w:hint="eastAsia"/>
                <w:color w:val="000000" w:themeColor="text1"/>
                <w:spacing w:val="0"/>
                <w:sz w:val="24"/>
                <w:highlight w:val="none"/>
                <w:lang w:eastAsia="zh-CN"/>
                <w14:textFill>
                  <w14:solidFill>
                    <w14:schemeClr w14:val="tx1"/>
                  </w14:solidFill>
                </w14:textFill>
              </w:rPr>
              <w:t>宁夏固原三岔110千伏输变电工程</w:t>
            </w:r>
          </w:p>
        </w:tc>
      </w:tr>
      <w:tr w14:paraId="6D1E4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546580F0">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项目代码</w:t>
            </w:r>
          </w:p>
        </w:tc>
        <w:tc>
          <w:tcPr>
            <w:tcW w:w="7690" w:type="dxa"/>
            <w:gridSpan w:val="3"/>
            <w:vAlign w:val="center"/>
          </w:tcPr>
          <w:p w14:paraId="55104B1B">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2509-640402-04-01-928314</w:t>
            </w:r>
          </w:p>
        </w:tc>
      </w:tr>
      <w:tr w14:paraId="35E6A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3CAC7539">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建设单位联系人</w:t>
            </w:r>
          </w:p>
        </w:tc>
        <w:tc>
          <w:tcPr>
            <w:tcW w:w="2201" w:type="dxa"/>
            <w:vAlign w:val="center"/>
          </w:tcPr>
          <w:p w14:paraId="3F19D211">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妥平</w:t>
            </w:r>
          </w:p>
        </w:tc>
        <w:tc>
          <w:tcPr>
            <w:tcW w:w="2355" w:type="dxa"/>
            <w:vAlign w:val="center"/>
          </w:tcPr>
          <w:p w14:paraId="5C9C9F28">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联系方式</w:t>
            </w:r>
          </w:p>
        </w:tc>
        <w:tc>
          <w:tcPr>
            <w:tcW w:w="3134" w:type="dxa"/>
            <w:vAlign w:val="center"/>
          </w:tcPr>
          <w:p w14:paraId="7F929838">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13995422008</w:t>
            </w:r>
          </w:p>
        </w:tc>
      </w:tr>
      <w:tr w14:paraId="30850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6BF94E0E">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建设地点</w:t>
            </w:r>
          </w:p>
        </w:tc>
        <w:tc>
          <w:tcPr>
            <w:tcW w:w="7690" w:type="dxa"/>
            <w:gridSpan w:val="3"/>
            <w:vAlign w:val="center"/>
          </w:tcPr>
          <w:p w14:paraId="563453F0">
            <w:pPr>
              <w:adjustRightInd w:val="0"/>
              <w:snapToGrid w:val="0"/>
              <w:jc w:val="center"/>
              <w:outlineLvl w:val="9"/>
              <w:rPr>
                <w:rFonts w:hint="default" w:ascii="Times New Roman" w:hAnsi="Times New Roman" w:eastAsia="宋体"/>
                <w:color w:val="000000" w:themeColor="text1"/>
                <w:spacing w:val="0"/>
                <w:sz w:val="24"/>
                <w:highlight w:val="none"/>
                <w:lang w:val="en-US"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宁夏回族自治区</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固原市原州区</w:t>
            </w:r>
          </w:p>
        </w:tc>
      </w:tr>
      <w:tr w14:paraId="7D4CFD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7B00559F">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地理坐标</w:t>
            </w:r>
          </w:p>
        </w:tc>
        <w:tc>
          <w:tcPr>
            <w:tcW w:w="7690" w:type="dxa"/>
            <w:gridSpan w:val="3"/>
            <w:vAlign w:val="center"/>
          </w:tcPr>
          <w:p w14:paraId="75F73435">
            <w:pPr>
              <w:adjustRightInd w:val="0"/>
              <w:snapToGrid w:val="0"/>
              <w:jc w:val="center"/>
              <w:outlineLvl w:val="9"/>
              <w:rPr>
                <w:rFonts w:hint="default"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2B4C1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0DB1682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建设项目行业类别</w:t>
            </w:r>
          </w:p>
        </w:tc>
        <w:tc>
          <w:tcPr>
            <w:tcW w:w="2201" w:type="dxa"/>
            <w:vAlign w:val="center"/>
          </w:tcPr>
          <w:p w14:paraId="69F49EEA">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五十五、核与辐射：161输变电工程</w:t>
            </w:r>
          </w:p>
        </w:tc>
        <w:tc>
          <w:tcPr>
            <w:tcW w:w="2355" w:type="dxa"/>
            <w:vAlign w:val="center"/>
          </w:tcPr>
          <w:p w14:paraId="68816A8C">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用地（用海）面积（m</w:t>
            </w:r>
            <w:r>
              <w:rPr>
                <w:rFonts w:hint="default" w:ascii="Times New Roman" w:hAnsi="Times New Roman" w:eastAsia="宋体" w:cs="Times New Roman"/>
                <w:color w:val="000000" w:themeColor="text1"/>
                <w:spacing w:val="0"/>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4"/>
                <w:highlight w:val="none"/>
                <w14:textFill>
                  <w14:solidFill>
                    <w14:schemeClr w14:val="tx1"/>
                  </w14:solidFill>
                </w14:textFill>
              </w:rPr>
              <w:t>）/长度（km）</w:t>
            </w:r>
          </w:p>
        </w:tc>
        <w:tc>
          <w:tcPr>
            <w:tcW w:w="3134" w:type="dxa"/>
            <w:vAlign w:val="center"/>
          </w:tcPr>
          <w:p w14:paraId="47E15A25">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38828</w:t>
            </w:r>
            <w:r>
              <w:rPr>
                <w:rFonts w:ascii="Times New Roman" w:hAnsi="Times New Roman" w:eastAsia="宋体"/>
                <w:color w:val="000000" w:themeColor="text1"/>
                <w:spacing w:val="0"/>
                <w:sz w:val="24"/>
                <w:highlight w:val="none"/>
                <w14:textFill>
                  <w14:solidFill>
                    <w14:schemeClr w14:val="tx1"/>
                  </w14:solidFill>
                </w14:textFill>
              </w:rPr>
              <w:t>m</w:t>
            </w:r>
            <w:r>
              <w:rPr>
                <w:rFonts w:ascii="Times New Roman" w:hAnsi="Times New Roman" w:eastAsia="宋体"/>
                <w:color w:val="000000" w:themeColor="text1"/>
                <w:spacing w:val="0"/>
                <w:sz w:val="24"/>
                <w:highlight w:val="none"/>
                <w:vertAlign w:val="superscript"/>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（其中永久</w:t>
            </w:r>
            <w:r>
              <w:rPr>
                <w:rFonts w:hint="eastAsia"/>
                <w:color w:val="000000" w:themeColor="text1"/>
                <w:spacing w:val="0"/>
                <w:sz w:val="24"/>
                <w:highlight w:val="none"/>
                <w:lang w:val="en-US" w:eastAsia="zh-CN"/>
                <w14:textFill>
                  <w14:solidFill>
                    <w14:schemeClr w14:val="tx1"/>
                  </w14:solidFill>
                </w14:textFill>
              </w:rPr>
              <w:t>0.7560</w:t>
            </w:r>
            <w:r>
              <w:rPr>
                <w:rFonts w:ascii="Times New Roman" w:hAnsi="Times New Roman" w:eastAsia="宋体"/>
                <w:color w:val="000000" w:themeColor="text1"/>
                <w:spacing w:val="0"/>
                <w:sz w:val="24"/>
                <w:highlight w:val="none"/>
                <w14:textFill>
                  <w14:solidFill>
                    <w14:schemeClr w14:val="tx1"/>
                  </w14:solidFill>
                </w14:textFill>
              </w:rPr>
              <w:t>m</w:t>
            </w:r>
            <w:r>
              <w:rPr>
                <w:rFonts w:ascii="Times New Roman" w:hAnsi="Times New Roman" w:eastAsia="宋体"/>
                <w:color w:val="000000" w:themeColor="text1"/>
                <w:spacing w:val="0"/>
                <w:sz w:val="24"/>
                <w:highlight w:val="none"/>
                <w:vertAlign w:val="superscript"/>
                <w14:textFill>
                  <w14:solidFill>
                    <w14:schemeClr w14:val="tx1"/>
                  </w14:solidFill>
                </w14:textFill>
              </w:rPr>
              <w:t>2</w:t>
            </w:r>
            <w:r>
              <w:rPr>
                <w:rFonts w:hint="eastAsia" w:ascii="Times New Roman" w:hAnsi="Times New Roman" w:eastAsia="宋体"/>
                <w:color w:val="000000" w:themeColor="text1"/>
                <w:spacing w:val="0"/>
                <w:sz w:val="24"/>
                <w:highlight w:val="none"/>
                <w:vertAlign w:val="baseli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临时</w:t>
            </w:r>
            <w:r>
              <w:rPr>
                <w:rFonts w:hint="eastAsia"/>
                <w:color w:val="000000" w:themeColor="text1"/>
                <w:spacing w:val="0"/>
                <w:sz w:val="24"/>
                <w:highlight w:val="none"/>
                <w:lang w:val="en-US" w:eastAsia="zh-CN"/>
                <w14:textFill>
                  <w14:solidFill>
                    <w14:schemeClr w14:val="tx1"/>
                  </w14:solidFill>
                </w14:textFill>
              </w:rPr>
              <w:t>31268</w:t>
            </w:r>
            <w:r>
              <w:rPr>
                <w:rFonts w:ascii="Times New Roman" w:hAnsi="Times New Roman" w:eastAsia="宋体"/>
                <w:color w:val="000000" w:themeColor="text1"/>
                <w:spacing w:val="0"/>
                <w:sz w:val="24"/>
                <w:highlight w:val="none"/>
                <w14:textFill>
                  <w14:solidFill>
                    <w14:schemeClr w14:val="tx1"/>
                  </w14:solidFill>
                </w14:textFill>
              </w:rPr>
              <w:t>m</w:t>
            </w:r>
            <w:r>
              <w:rPr>
                <w:rFonts w:ascii="Times New Roman" w:hAnsi="Times New Roman" w:eastAsia="宋体"/>
                <w:color w:val="000000" w:themeColor="text1"/>
                <w:spacing w:val="0"/>
                <w:sz w:val="24"/>
                <w:highlight w:val="none"/>
                <w:vertAlign w:val="superscript"/>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长度</w:t>
            </w:r>
            <w:r>
              <w:rPr>
                <w:rFonts w:hint="eastAsia"/>
                <w:color w:val="000000" w:themeColor="text1"/>
                <w:spacing w:val="0"/>
                <w:sz w:val="24"/>
                <w:highlight w:val="none"/>
                <w:lang w:val="en-US" w:eastAsia="zh-CN"/>
                <w14:textFill>
                  <w14:solidFill>
                    <w14:schemeClr w14:val="tx1"/>
                  </w14:solidFill>
                </w14:textFill>
              </w:rPr>
              <w:t>6.13</w:t>
            </w:r>
            <w:r>
              <w:rPr>
                <w:rFonts w:hint="eastAsia" w:ascii="Times New Roman" w:hAnsi="Times New Roman" w:eastAsia="宋体"/>
                <w:color w:val="000000" w:themeColor="text1"/>
                <w:spacing w:val="0"/>
                <w:sz w:val="24"/>
                <w:highlight w:val="none"/>
                <w14:textFill>
                  <w14:solidFill>
                    <w14:schemeClr w14:val="tx1"/>
                  </w14:solidFill>
                </w14:textFill>
              </w:rPr>
              <w:t>km</w:t>
            </w:r>
          </w:p>
        </w:tc>
      </w:tr>
      <w:tr w14:paraId="3D71A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21F7CD64">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建设性质</w:t>
            </w:r>
          </w:p>
        </w:tc>
        <w:tc>
          <w:tcPr>
            <w:tcW w:w="2201" w:type="dxa"/>
            <w:vAlign w:val="center"/>
          </w:tcPr>
          <w:p w14:paraId="3A8F2E6D">
            <w:pPr>
              <w:adjustRightInd w:val="0"/>
              <w:snapToGrid w:val="0"/>
              <w:jc w:val="left"/>
              <w:outlineLvl w:val="9"/>
              <w:rPr>
                <w:rFonts w:hint="eastAsia" w:ascii="Times New Roman" w:hAnsi="Times New Roman" w:eastAsia="宋体"/>
                <w:color w:val="000000" w:themeColor="text1"/>
                <w:spacing w:val="0"/>
                <w:sz w:val="24"/>
                <w:highlight w:val="none"/>
                <w:lang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sym w:font="Wingdings 2" w:char="0052"/>
            </w:r>
            <w:r>
              <w:rPr>
                <w:rFonts w:ascii="Times New Roman" w:hAnsi="Times New Roman" w:eastAsia="宋体"/>
                <w:color w:val="000000" w:themeColor="text1"/>
                <w:spacing w:val="0"/>
                <w:sz w:val="24"/>
                <w:highlight w:val="none"/>
                <w14:textFill>
                  <w14:solidFill>
                    <w14:schemeClr w14:val="tx1"/>
                  </w14:solidFill>
                </w14:textFill>
              </w:rPr>
              <w:t>新建（迁建）</w:t>
            </w:r>
          </w:p>
          <w:p w14:paraId="21F4CECF">
            <w:pPr>
              <w:adjustRightInd w:val="0"/>
              <w:snapToGrid w:val="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□改建</w:t>
            </w:r>
          </w:p>
          <w:p w14:paraId="47AEB26A">
            <w:pPr>
              <w:adjustRightInd w:val="0"/>
              <w:snapToGrid w:val="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□扩建</w:t>
            </w:r>
          </w:p>
          <w:p w14:paraId="13FF76D6">
            <w:pPr>
              <w:adjustRightInd w:val="0"/>
              <w:snapToGrid w:val="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□技术改造</w:t>
            </w:r>
          </w:p>
        </w:tc>
        <w:tc>
          <w:tcPr>
            <w:tcW w:w="2355" w:type="dxa"/>
            <w:vAlign w:val="center"/>
          </w:tcPr>
          <w:p w14:paraId="4A7E998D">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建设项目</w:t>
            </w:r>
          </w:p>
          <w:p w14:paraId="75D59DB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申报情形</w:t>
            </w:r>
          </w:p>
        </w:tc>
        <w:tc>
          <w:tcPr>
            <w:tcW w:w="3134" w:type="dxa"/>
            <w:vAlign w:val="center"/>
          </w:tcPr>
          <w:p w14:paraId="1F0FAFF3">
            <w:pPr>
              <w:adjustRightInd w:val="0"/>
              <w:snapToGrid w:val="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sym w:font="Wingdings 2" w:char="0052"/>
            </w:r>
            <w:r>
              <w:rPr>
                <w:rFonts w:ascii="Times New Roman" w:hAnsi="Times New Roman" w:eastAsia="宋体"/>
                <w:color w:val="000000" w:themeColor="text1"/>
                <w:spacing w:val="0"/>
                <w:sz w:val="24"/>
                <w:highlight w:val="none"/>
                <w14:textFill>
                  <w14:solidFill>
                    <w14:schemeClr w14:val="tx1"/>
                  </w14:solidFill>
                </w14:textFill>
              </w:rPr>
              <w:t>首次申报项目</w:t>
            </w:r>
          </w:p>
          <w:p w14:paraId="37DDC18A">
            <w:pPr>
              <w:adjustRightInd w:val="0"/>
              <w:snapToGrid w:val="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□不予批准后再次申报项目</w:t>
            </w:r>
          </w:p>
          <w:p w14:paraId="515690D1">
            <w:pPr>
              <w:adjustRightInd w:val="0"/>
              <w:snapToGrid w:val="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□超五年重新审核项目</w:t>
            </w:r>
          </w:p>
          <w:p w14:paraId="00FE78EC">
            <w:pPr>
              <w:adjustRightInd w:val="0"/>
              <w:snapToGrid w:val="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□重大变动重新报批项目</w:t>
            </w:r>
          </w:p>
        </w:tc>
      </w:tr>
      <w:tr w14:paraId="30FBD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4BCBB5EC">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项目审批（核准/</w:t>
            </w:r>
          </w:p>
          <w:p w14:paraId="610EEA2F">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备案）部门（选填）</w:t>
            </w:r>
          </w:p>
        </w:tc>
        <w:tc>
          <w:tcPr>
            <w:tcW w:w="2201" w:type="dxa"/>
            <w:vAlign w:val="center"/>
          </w:tcPr>
          <w:p w14:paraId="143B09E8">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固原市</w:t>
            </w:r>
            <w:r>
              <w:rPr>
                <w:rFonts w:ascii="Times New Roman" w:hAnsi="Times New Roman" w:eastAsia="宋体"/>
                <w:color w:val="000000" w:themeColor="text1"/>
                <w:spacing w:val="0"/>
                <w:sz w:val="24"/>
                <w:highlight w:val="none"/>
                <w14:textFill>
                  <w14:solidFill>
                    <w14:schemeClr w14:val="tx1"/>
                  </w14:solidFill>
                </w14:textFill>
              </w:rPr>
              <w:t>审批服务管理局</w:t>
            </w:r>
          </w:p>
        </w:tc>
        <w:tc>
          <w:tcPr>
            <w:tcW w:w="2355" w:type="dxa"/>
            <w:vAlign w:val="center"/>
          </w:tcPr>
          <w:p w14:paraId="37F7D449">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项目审批（核准/</w:t>
            </w:r>
          </w:p>
          <w:p w14:paraId="3997C78A">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备案）文号（选填）</w:t>
            </w:r>
          </w:p>
        </w:tc>
        <w:tc>
          <w:tcPr>
            <w:tcW w:w="3134" w:type="dxa"/>
            <w:vAlign w:val="center"/>
          </w:tcPr>
          <w:p w14:paraId="0ECEDCDE">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固审批(投资)〔2025〕62号</w:t>
            </w:r>
          </w:p>
        </w:tc>
      </w:tr>
      <w:tr w14:paraId="2782E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490FA0F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总投资（万元）</w:t>
            </w:r>
          </w:p>
        </w:tc>
        <w:tc>
          <w:tcPr>
            <w:tcW w:w="2201" w:type="dxa"/>
            <w:vAlign w:val="center"/>
          </w:tcPr>
          <w:p w14:paraId="779E3D3A">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2355" w:type="dxa"/>
            <w:tcMar>
              <w:top w:w="16" w:type="dxa"/>
              <w:left w:w="16" w:type="dxa"/>
              <w:right w:w="16" w:type="dxa"/>
            </w:tcMar>
            <w:vAlign w:val="center"/>
          </w:tcPr>
          <w:p w14:paraId="0C9FC7B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环保投资（万元）</w:t>
            </w:r>
          </w:p>
        </w:tc>
        <w:tc>
          <w:tcPr>
            <w:tcW w:w="3134" w:type="dxa"/>
            <w:vAlign w:val="center"/>
          </w:tcPr>
          <w:p w14:paraId="68BCA13F">
            <w:pPr>
              <w:adjustRightInd w:val="0"/>
              <w:snapToGrid w:val="0"/>
              <w:jc w:val="center"/>
              <w:outlineLvl w:val="9"/>
              <w:rPr>
                <w:rFonts w:hint="default"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544DE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63DDE69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环保投资占比（%）</w:t>
            </w:r>
          </w:p>
        </w:tc>
        <w:tc>
          <w:tcPr>
            <w:tcW w:w="2201" w:type="dxa"/>
            <w:vAlign w:val="center"/>
          </w:tcPr>
          <w:p w14:paraId="52E3588A">
            <w:pPr>
              <w:adjustRightInd w:val="0"/>
              <w:snapToGrid w:val="0"/>
              <w:jc w:val="center"/>
              <w:outlineLvl w:val="9"/>
              <w:rPr>
                <w:rFonts w:hint="default"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2355" w:type="dxa"/>
            <w:tcMar>
              <w:top w:w="16" w:type="dxa"/>
              <w:left w:w="16" w:type="dxa"/>
              <w:right w:w="16" w:type="dxa"/>
            </w:tcMar>
            <w:vAlign w:val="center"/>
          </w:tcPr>
          <w:p w14:paraId="76C87661">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施工工期</w:t>
            </w:r>
          </w:p>
        </w:tc>
        <w:tc>
          <w:tcPr>
            <w:tcW w:w="3134" w:type="dxa"/>
            <w:vAlign w:val="center"/>
          </w:tcPr>
          <w:p w14:paraId="037255B0">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12</w:t>
            </w:r>
            <w:r>
              <w:rPr>
                <w:rFonts w:ascii="Times New Roman" w:hAnsi="Times New Roman" w:eastAsia="宋体"/>
                <w:color w:val="000000" w:themeColor="text1"/>
                <w:spacing w:val="0"/>
                <w:sz w:val="24"/>
                <w:highlight w:val="none"/>
                <w14:textFill>
                  <w14:solidFill>
                    <w14:schemeClr w14:val="tx1"/>
                  </w14:solidFill>
                </w14:textFill>
              </w:rPr>
              <w:t>个月</w:t>
            </w:r>
          </w:p>
        </w:tc>
      </w:tr>
      <w:tr w14:paraId="18A07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4C2AE940">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是否开工建设</w:t>
            </w:r>
          </w:p>
        </w:tc>
        <w:tc>
          <w:tcPr>
            <w:tcW w:w="7690" w:type="dxa"/>
            <w:gridSpan w:val="3"/>
            <w:vAlign w:val="center"/>
          </w:tcPr>
          <w:p w14:paraId="25431C89">
            <w:pPr>
              <w:adjustRightInd w:val="0"/>
              <w:snapToGrid w:val="0"/>
              <w:ind w:firstLine="105"/>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sym w:font="Wingdings 2" w:char="0052"/>
            </w:r>
            <w:r>
              <w:rPr>
                <w:rFonts w:ascii="Times New Roman" w:hAnsi="Times New Roman" w:eastAsia="宋体"/>
                <w:color w:val="000000" w:themeColor="text1"/>
                <w:spacing w:val="0"/>
                <w:sz w:val="24"/>
                <w:highlight w:val="none"/>
                <w14:textFill>
                  <w14:solidFill>
                    <w14:schemeClr w14:val="tx1"/>
                  </w14:solidFill>
                </w14:textFill>
              </w:rPr>
              <w:t>否</w:t>
            </w:r>
          </w:p>
          <w:p w14:paraId="1AAA76E8">
            <w:pPr>
              <w:adjustRightInd w:val="0"/>
              <w:snapToGrid w:val="0"/>
              <w:ind w:firstLine="92"/>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□是</w:t>
            </w:r>
          </w:p>
        </w:tc>
      </w:tr>
      <w:tr w14:paraId="4DACC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5E56937C">
            <w:pPr>
              <w:autoSpaceDE w:val="0"/>
              <w:autoSpaceDN w:val="0"/>
              <w:adjustRightInd w:val="0"/>
              <w:snapToGrid w:val="0"/>
              <w:jc w:val="center"/>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专项评价设置情况</w:t>
            </w:r>
          </w:p>
        </w:tc>
        <w:tc>
          <w:tcPr>
            <w:tcW w:w="7690" w:type="dxa"/>
            <w:gridSpan w:val="3"/>
            <w:tcMar>
              <w:top w:w="16" w:type="dxa"/>
              <w:left w:w="16" w:type="dxa"/>
              <w:right w:w="16" w:type="dxa"/>
            </w:tcMar>
            <w:vAlign w:val="center"/>
          </w:tcPr>
          <w:p w14:paraId="3A64F236">
            <w:pPr>
              <w:autoSpaceDE w:val="0"/>
              <w:autoSpaceDN w:val="0"/>
              <w:adjustRightInd w:val="0"/>
              <w:snapToGrid w:val="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1、电磁环境影响专题评价，设置理由：根据《环境影响评价技术导则 输变电》（HJ24-2020）要求，需设置电磁环境影响专题。</w:t>
            </w:r>
          </w:p>
        </w:tc>
      </w:tr>
      <w:tr w14:paraId="1B44C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783E6DC6">
            <w:pPr>
              <w:autoSpaceDE w:val="0"/>
              <w:autoSpaceDN w:val="0"/>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规划情况</w:t>
            </w:r>
          </w:p>
        </w:tc>
        <w:tc>
          <w:tcPr>
            <w:tcW w:w="7690" w:type="dxa"/>
            <w:gridSpan w:val="3"/>
            <w:tcMar>
              <w:top w:w="16" w:type="dxa"/>
              <w:left w:w="16" w:type="dxa"/>
              <w:right w:w="16" w:type="dxa"/>
            </w:tcMar>
            <w:vAlign w:val="center"/>
          </w:tcPr>
          <w:p w14:paraId="6A74BB5D">
            <w:pPr>
              <w:autoSpaceDE w:val="0"/>
              <w:autoSpaceDN w:val="0"/>
              <w:adjustRightInd w:val="0"/>
              <w:snapToGrid w:val="0"/>
              <w:jc w:val="center"/>
              <w:outlineLvl w:val="9"/>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无</w:t>
            </w:r>
          </w:p>
        </w:tc>
      </w:tr>
      <w:tr w14:paraId="44F4B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39B2FE09">
            <w:pPr>
              <w:autoSpaceDE w:val="0"/>
              <w:autoSpaceDN w:val="0"/>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规划环境影响评价情况</w:t>
            </w:r>
          </w:p>
        </w:tc>
        <w:tc>
          <w:tcPr>
            <w:tcW w:w="7690" w:type="dxa"/>
            <w:gridSpan w:val="3"/>
            <w:tcMar>
              <w:top w:w="16" w:type="dxa"/>
              <w:left w:w="16" w:type="dxa"/>
              <w:right w:w="16" w:type="dxa"/>
            </w:tcMar>
            <w:vAlign w:val="center"/>
          </w:tcPr>
          <w:p w14:paraId="7D2D1111">
            <w:pPr>
              <w:autoSpaceDE w:val="0"/>
              <w:autoSpaceDN w:val="0"/>
              <w:adjustRightInd w:val="0"/>
              <w:snapToGrid w:val="0"/>
              <w:jc w:val="center"/>
              <w:outlineLvl w:val="9"/>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无</w:t>
            </w:r>
          </w:p>
        </w:tc>
      </w:tr>
      <w:tr w14:paraId="391D4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05" w:type="dxa"/>
            <w:gridSpan w:val="2"/>
            <w:tcMar>
              <w:top w:w="16" w:type="dxa"/>
              <w:left w:w="16" w:type="dxa"/>
              <w:right w:w="16" w:type="dxa"/>
            </w:tcMar>
            <w:vAlign w:val="center"/>
          </w:tcPr>
          <w:p w14:paraId="7A591CEA">
            <w:pPr>
              <w:autoSpaceDE w:val="0"/>
              <w:autoSpaceDN w:val="0"/>
              <w:adjustRightInd w:val="0"/>
              <w:snapToGrid w:val="0"/>
              <w:jc w:val="center"/>
              <w:outlineLvl w:val="9"/>
              <w:rPr>
                <w:rFonts w:ascii="Times New Roman" w:hAnsi="Times New Roman" w:eastAsia="宋体"/>
                <w:color w:val="000000" w:themeColor="text1"/>
                <w:spacing w:val="0"/>
                <w:kern w:val="0"/>
                <w:szCs w:val="21"/>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规划及</w:t>
            </w:r>
            <w:r>
              <w:rPr>
                <w:rFonts w:ascii="Times New Roman" w:hAnsi="Times New Roman" w:eastAsia="宋体"/>
                <w:color w:val="000000" w:themeColor="text1"/>
                <w:spacing w:val="0"/>
                <w:sz w:val="24"/>
                <w:highlight w:val="none"/>
                <w14:textFill>
                  <w14:solidFill>
                    <w14:schemeClr w14:val="tx1"/>
                  </w14:solidFill>
                </w14:textFill>
              </w:rPr>
              <w:t>规划环境影响评价</w:t>
            </w:r>
            <w:r>
              <w:rPr>
                <w:rFonts w:ascii="Times New Roman" w:hAnsi="Times New Roman" w:eastAsia="宋体"/>
                <w:color w:val="000000" w:themeColor="text1"/>
                <w:spacing w:val="0"/>
                <w:kern w:val="0"/>
                <w:sz w:val="24"/>
                <w:highlight w:val="none"/>
                <w14:textFill>
                  <w14:solidFill>
                    <w14:schemeClr w14:val="tx1"/>
                  </w14:solidFill>
                </w14:textFill>
              </w:rPr>
              <w:t>符合性分析</w:t>
            </w:r>
          </w:p>
        </w:tc>
        <w:tc>
          <w:tcPr>
            <w:tcW w:w="7690" w:type="dxa"/>
            <w:gridSpan w:val="3"/>
            <w:tcMar>
              <w:top w:w="16" w:type="dxa"/>
              <w:left w:w="16" w:type="dxa"/>
              <w:right w:w="16" w:type="dxa"/>
            </w:tcMar>
            <w:vAlign w:val="center"/>
          </w:tcPr>
          <w:p w14:paraId="695D3DEB">
            <w:pPr>
              <w:autoSpaceDE w:val="0"/>
              <w:autoSpaceDN w:val="0"/>
              <w:adjustRightInd w:val="0"/>
              <w:snapToGrid w:val="0"/>
              <w:jc w:val="center"/>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无</w:t>
            </w:r>
          </w:p>
        </w:tc>
      </w:tr>
      <w:tr w14:paraId="5C4D9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2" w:type="dxa"/>
            <w:tcMar>
              <w:top w:w="16" w:type="dxa"/>
              <w:left w:w="16" w:type="dxa"/>
              <w:right w:w="16" w:type="dxa"/>
            </w:tcMar>
            <w:vAlign w:val="center"/>
          </w:tcPr>
          <w:p w14:paraId="33518424">
            <w:pPr>
              <w:autoSpaceDE w:val="0"/>
              <w:autoSpaceDN w:val="0"/>
              <w:adjustRightInd w:val="0"/>
              <w:snapToGrid w:val="0"/>
              <w:jc w:val="center"/>
              <w:outlineLvl w:val="9"/>
              <w:rPr>
                <w:rFonts w:ascii="Times New Roman" w:hAnsi="Times New Roman" w:eastAsia="宋体"/>
                <w:color w:val="000000" w:themeColor="text1"/>
                <w:spacing w:val="0"/>
                <w:kern w:val="0"/>
                <w:sz w:val="24"/>
                <w:highlight w:val="none"/>
                <w14:textFill>
                  <w14:solidFill>
                    <w14:schemeClr w14:val="tx1"/>
                  </w14:solidFill>
                </w14:textFill>
              </w:rPr>
            </w:pPr>
            <w:bookmarkStart w:id="3" w:name="_Hlk56690880"/>
            <w:r>
              <w:rPr>
                <w:rFonts w:ascii="Times New Roman" w:hAnsi="Times New Roman" w:eastAsia="宋体"/>
                <w:color w:val="000000" w:themeColor="text1"/>
                <w:spacing w:val="0"/>
                <w:kern w:val="0"/>
                <w:sz w:val="24"/>
                <w:highlight w:val="none"/>
                <w14:textFill>
                  <w14:solidFill>
                    <w14:schemeClr w14:val="tx1"/>
                  </w14:solidFill>
                </w14:textFill>
              </w:rPr>
              <w:t>其他符合性分析</w:t>
            </w:r>
            <w:bookmarkEnd w:id="3"/>
          </w:p>
        </w:tc>
        <w:tc>
          <w:tcPr>
            <w:tcW w:w="8723" w:type="dxa"/>
            <w:gridSpan w:val="4"/>
            <w:tcMar>
              <w:top w:w="16" w:type="dxa"/>
              <w:left w:w="16" w:type="dxa"/>
              <w:right w:w="16" w:type="dxa"/>
            </w:tcMar>
            <w:vAlign w:val="center"/>
          </w:tcPr>
          <w:p w14:paraId="594729B3">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 xml:space="preserve">1、产业政策符合性分析 </w:t>
            </w:r>
          </w:p>
          <w:p w14:paraId="1838BDFB">
            <w:pPr>
              <w:autoSpaceDE w:val="0"/>
              <w:autoSpaceDN w:val="0"/>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sz w:val="24"/>
                <w:highlight w:val="none"/>
                <w:lang w:val="en-US" w:eastAsia="zh-CN"/>
                <w14:textFill>
                  <w14:solidFill>
                    <w14:schemeClr w14:val="tx1"/>
                  </w14:solidFill>
                </w14:textFill>
              </w:rPr>
              <w:t>本项目属于《产业结构调整指导目录》（2024年本）</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中“第一类 鼓励类”中“四、电力”中“2.电力基础设施建设”中的“电网改造与建设”项目</w:t>
            </w:r>
            <w:r>
              <w:rPr>
                <w:rFonts w:hint="default" w:ascii="Times New Roman" w:hAnsi="Times New Roman" w:eastAsia="宋体" w:cs="Times New Roman"/>
                <w:color w:val="000000" w:themeColor="text1"/>
                <w:spacing w:val="0"/>
                <w:sz w:val="24"/>
                <w:highlight w:val="none"/>
                <w14:textFill>
                  <w14:solidFill>
                    <w14:schemeClr w14:val="tx1"/>
                  </w14:solidFill>
                </w14:textFill>
              </w:rPr>
              <w:t>，符合国家产业政策</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623E935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本项目属于《西部地区鼓励类产业目录（2025年本）》中“（九）宁夏回族自治区”中的“34.石油、天然气、电力等能源储备设施和系统建设及运营”，符合西部地区鼓励类产业目录要求。</w:t>
            </w:r>
          </w:p>
          <w:p w14:paraId="17D325D6">
            <w:pPr>
              <w:autoSpaceDE w:val="0"/>
              <w:autoSpaceDN w:val="0"/>
              <w:spacing w:line="360" w:lineRule="auto"/>
              <w:ind w:firstLine="482" w:firstLineChars="200"/>
              <w:outlineLvl w:val="9"/>
              <w:rPr>
                <w:rFonts w:ascii="Times New Roman" w:hAnsi="Times New Roman" w:eastAsia="宋体"/>
                <w:b/>
                <w:color w:val="000000" w:themeColor="text1"/>
                <w:spacing w:val="0"/>
                <w:sz w:val="24"/>
                <w:highlight w:val="none"/>
                <w14:textFill>
                  <w14:solidFill>
                    <w14:schemeClr w14:val="tx1"/>
                  </w14:solidFill>
                </w14:textFill>
              </w:rPr>
            </w:pP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2</w:t>
            </w:r>
            <w:r>
              <w:rPr>
                <w:rFonts w:ascii="Times New Roman" w:hAnsi="Times New Roman" w:eastAsia="宋体"/>
                <w:b/>
                <w:color w:val="000000" w:themeColor="text1"/>
                <w:spacing w:val="0"/>
                <w:sz w:val="24"/>
                <w:highlight w:val="none"/>
                <w14:textFill>
                  <w14:solidFill>
                    <w14:schemeClr w14:val="tx1"/>
                  </w14:solidFill>
                </w14:textFill>
              </w:rPr>
              <w:t>、</w:t>
            </w:r>
            <w:r>
              <w:rPr>
                <w:rFonts w:hint="eastAsia" w:ascii="Times New Roman" w:hAnsi="Times New Roman" w:eastAsia="宋体"/>
                <w:b/>
                <w:color w:val="000000" w:themeColor="text1"/>
                <w:spacing w:val="0"/>
                <w:sz w:val="24"/>
                <w:highlight w:val="none"/>
                <w14:textFill>
                  <w14:solidFill>
                    <w14:schemeClr w14:val="tx1"/>
                  </w14:solidFill>
                </w14:textFill>
              </w:rPr>
              <w:t>“</w:t>
            </w:r>
            <w:r>
              <w:rPr>
                <w:rFonts w:ascii="Times New Roman" w:hAnsi="Times New Roman" w:eastAsia="宋体"/>
                <w:b/>
                <w:color w:val="000000" w:themeColor="text1"/>
                <w:spacing w:val="0"/>
                <w:sz w:val="24"/>
                <w:highlight w:val="none"/>
                <w14:textFill>
                  <w14:solidFill>
                    <w14:schemeClr w14:val="tx1"/>
                  </w14:solidFill>
                </w14:textFill>
              </w:rPr>
              <w:t>三线一单</w:t>
            </w:r>
            <w:r>
              <w:rPr>
                <w:rFonts w:hint="eastAsia" w:ascii="Times New Roman" w:hAnsi="Times New Roman" w:eastAsia="宋体"/>
                <w:b/>
                <w:color w:val="000000" w:themeColor="text1"/>
                <w:spacing w:val="0"/>
                <w:sz w:val="24"/>
                <w:highlight w:val="none"/>
                <w14:textFill>
                  <w14:solidFill>
                    <w14:schemeClr w14:val="tx1"/>
                  </w14:solidFill>
                </w14:textFill>
              </w:rPr>
              <w:t>”</w:t>
            </w:r>
            <w:r>
              <w:rPr>
                <w:rFonts w:ascii="Times New Roman" w:hAnsi="Times New Roman" w:eastAsia="宋体"/>
                <w:b/>
                <w:color w:val="000000" w:themeColor="text1"/>
                <w:spacing w:val="0"/>
                <w:sz w:val="24"/>
                <w:highlight w:val="none"/>
                <w14:textFill>
                  <w14:solidFill>
                    <w14:schemeClr w14:val="tx1"/>
                  </w14:solidFill>
                </w14:textFill>
              </w:rPr>
              <w:t>符合性分析</w:t>
            </w:r>
          </w:p>
          <w:p w14:paraId="1A5F4941">
            <w:pPr>
              <w:autoSpaceDE w:val="0"/>
              <w:autoSpaceDN w:val="0"/>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根据生态环境部发布的《关于以改善环境质量为核心加强环境影响评价管理的通知》（环环评</w:t>
            </w:r>
            <w:r>
              <w:rPr>
                <w:rFonts w:ascii="Times New Roman" w:hAnsi="Times New Roman" w:eastAsia="宋体"/>
                <w:color w:val="000000" w:themeColor="text1"/>
                <w:spacing w:val="0"/>
                <w:sz w:val="24"/>
                <w:highlight w:val="none"/>
                <w14:textFill>
                  <w14:solidFill>
                    <w14:schemeClr w14:val="tx1"/>
                  </w14:solidFill>
                </w14:textFill>
              </w:rPr>
              <w:t>〔20</w:t>
            </w:r>
            <w:r>
              <w:rPr>
                <w:rFonts w:hint="eastAsia" w:ascii="Times New Roman" w:hAnsi="Times New Roman" w:eastAsia="宋体"/>
                <w:color w:val="000000" w:themeColor="text1"/>
                <w:spacing w:val="0"/>
                <w:sz w:val="24"/>
                <w:highlight w:val="none"/>
                <w14:textFill>
                  <w14:solidFill>
                    <w14:schemeClr w14:val="tx1"/>
                  </w14:solidFill>
                </w14:textFill>
              </w:rPr>
              <w:t>16</w:t>
            </w:r>
            <w:r>
              <w:rPr>
                <w:rFonts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150号）要求：切实加强环境影响评价管理，落实</w:t>
            </w:r>
            <w:r>
              <w:rPr>
                <w:rFonts w:hint="eastAsia" w:ascii="Times New Roman" w:hAnsi="Times New Roman" w:eastAsia="宋体"/>
                <w:bCs/>
                <w:color w:val="000000" w:themeColor="text1"/>
                <w:spacing w:val="0"/>
                <w:sz w:val="24"/>
                <w:highlight w:val="none"/>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生态保护红线、环境质量底线、资源利用上线和环境准入负面清单</w:t>
            </w:r>
            <w:r>
              <w:rPr>
                <w:rFonts w:hint="eastAsia" w:ascii="Times New Roman" w:hAnsi="Times New Roman" w:eastAsia="宋体"/>
                <w:bCs/>
                <w:color w:val="000000" w:themeColor="text1"/>
                <w:spacing w:val="0"/>
                <w:sz w:val="24"/>
                <w:highlight w:val="none"/>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约束，建立项目环评审批与现有项目环境管理、区域环境质量联动机制，更好地发挥环评制度从源头防范环境污染和生态破坏的作用，加快推进改善环境质量。</w:t>
            </w:r>
          </w:p>
          <w:p w14:paraId="5489F32A">
            <w:pPr>
              <w:autoSpaceDE w:val="0"/>
              <w:autoSpaceDN w:val="0"/>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（1）生态保护红线</w:t>
            </w:r>
          </w:p>
          <w:p w14:paraId="4B428712">
            <w:pPr>
              <w:pStyle w:val="39"/>
              <w:ind w:firstLine="480" w:firstLineChars="200"/>
              <w:outlineLvl w:val="9"/>
              <w:rPr>
                <w:rFonts w:ascii="Times New Roman" w:hAnsi="Times New Roman" w:eastAsia="宋体"/>
                <w:bCs/>
                <w:color w:val="000000" w:themeColor="text1"/>
                <w:spacing w:val="0"/>
                <w:highlight w:val="none"/>
                <w14:textFill>
                  <w14:solidFill>
                    <w14:schemeClr w14:val="tx1"/>
                  </w14:solidFill>
                </w14:textFill>
              </w:rPr>
            </w:pPr>
            <w:r>
              <w:rPr>
                <w:rFonts w:hint="eastAsia" w:ascii="Times New Roman" w:hAnsi="Times New Roman" w:eastAsia="宋体" w:cs="宋体"/>
                <w:color w:val="000000" w:themeColor="text1"/>
                <w:spacing w:val="0"/>
                <w:sz w:val="24"/>
                <w:highlight w:val="none"/>
                <w14:textFill>
                  <w14:solidFill>
                    <w14:schemeClr w14:val="tx1"/>
                  </w14:solidFill>
                </w14:textFill>
              </w:rPr>
              <w:t>本项目位于</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 w:val="24"/>
                <w:highlight w:val="none"/>
                <w14:textFill>
                  <w14:solidFill>
                    <w14:schemeClr w14:val="tx1"/>
                  </w14:solidFill>
                </w14:textFill>
              </w:rPr>
              <w:t>根据《</w:t>
            </w:r>
            <w:r>
              <w:rPr>
                <w:rFonts w:hint="eastAsia" w:ascii="Times New Roman" w:hAnsi="Times New Roman" w:eastAsia="宋体" w:cs="宋体"/>
                <w:color w:val="000000" w:themeColor="text1"/>
                <w:spacing w:val="0"/>
                <w:sz w:val="24"/>
                <w:highlight w:val="none"/>
                <w:lang w:val="en-US" w:eastAsia="zh-CN"/>
                <w14:textFill>
                  <w14:solidFill>
                    <w14:schemeClr w14:val="tx1"/>
                  </w14:solidFill>
                </w14:textFill>
              </w:rPr>
              <w:t>固原市</w:t>
            </w:r>
            <w:r>
              <w:rPr>
                <w:rFonts w:hint="eastAsia" w:ascii="Times New Roman" w:hAnsi="Times New Roman" w:eastAsia="宋体" w:cs="宋体"/>
                <w:color w:val="000000" w:themeColor="text1"/>
                <w:spacing w:val="0"/>
                <w:sz w:val="24"/>
                <w:highlight w:val="none"/>
                <w:lang w:eastAsia="zh-CN"/>
                <w14:textFill>
                  <w14:solidFill>
                    <w14:schemeClr w14:val="tx1"/>
                  </w14:solidFill>
                </w14:textFill>
              </w:rPr>
              <w:t>生态保护红线</w:t>
            </w:r>
            <w:r>
              <w:rPr>
                <w:rFonts w:hint="eastAsia" w:ascii="Times New Roman" w:hAnsi="Times New Roman" w:eastAsia="宋体" w:cs="宋体"/>
                <w:color w:val="000000" w:themeColor="text1"/>
                <w:spacing w:val="0"/>
                <w:sz w:val="24"/>
                <w:highlight w:val="none"/>
                <w:lang w:val="en-US" w:eastAsia="zh-CN"/>
                <w14:textFill>
                  <w14:solidFill>
                    <w14:schemeClr w14:val="tx1"/>
                  </w14:solidFill>
                </w14:textFill>
              </w:rPr>
              <w:t>图</w:t>
            </w:r>
            <w:r>
              <w:rPr>
                <w:rFonts w:hint="eastAsia" w:ascii="Times New Roman" w:hAnsi="Times New Roman" w:eastAsia="宋体" w:cs="宋体"/>
                <w:color w:val="000000" w:themeColor="text1"/>
                <w:spacing w:val="0"/>
                <w:sz w:val="24"/>
                <w:highlight w:val="none"/>
                <w14:textFill>
                  <w14:solidFill>
                    <w14:schemeClr w14:val="tx1"/>
                  </w14:solidFill>
                </w14:textFill>
              </w:rPr>
              <w:t>》</w:t>
            </w:r>
            <w:r>
              <w:rPr>
                <w:rFonts w:hint="eastAsia" w:ascii="Times New Roman" w:hAnsi="Times New Roman" w:eastAsia="宋体" w:cs="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s="宋体"/>
                <w:color w:val="000000" w:themeColor="text1"/>
                <w:spacing w:val="0"/>
                <w:sz w:val="24"/>
                <w:highlight w:val="none"/>
                <w:lang w:val="en-US" w:eastAsia="zh-CN"/>
                <w14:textFill>
                  <w14:solidFill>
                    <w14:schemeClr w14:val="tx1"/>
                  </w14:solidFill>
                </w14:textFill>
              </w:rPr>
              <w:t>本</w:t>
            </w:r>
            <w:r>
              <w:rPr>
                <w:rFonts w:hint="eastAsia" w:ascii="Times New Roman" w:hAnsi="Times New Roman" w:eastAsia="宋体" w:cs="宋体"/>
                <w:color w:val="000000" w:themeColor="text1"/>
                <w:spacing w:val="0"/>
                <w:sz w:val="24"/>
                <w:highlight w:val="none"/>
                <w14:textFill>
                  <w14:solidFill>
                    <w14:schemeClr w14:val="tx1"/>
                  </w14:solidFill>
                </w14:textFill>
              </w:rPr>
              <w:t>项目</w:t>
            </w:r>
            <w:r>
              <w:rPr>
                <w:rFonts w:hint="eastAsia" w:ascii="Times New Roman" w:hAnsi="Times New Roman" w:eastAsia="宋体" w:cs="宋体"/>
                <w:color w:val="000000" w:themeColor="text1"/>
                <w:spacing w:val="0"/>
                <w:sz w:val="24"/>
                <w:highlight w:val="none"/>
                <w:lang w:val="en-US" w:eastAsia="zh-CN"/>
                <w14:textFill>
                  <w14:solidFill>
                    <w14:schemeClr w14:val="tx1"/>
                  </w14:solidFill>
                </w14:textFill>
              </w:rPr>
              <w:t>不涉及</w:t>
            </w:r>
            <w:r>
              <w:rPr>
                <w:rFonts w:hint="eastAsia" w:ascii="Times New Roman" w:hAnsi="Times New Roman" w:eastAsia="宋体" w:cs="宋体"/>
                <w:color w:val="000000" w:themeColor="text1"/>
                <w:spacing w:val="0"/>
                <w:sz w:val="24"/>
                <w:highlight w:val="none"/>
                <w14:textFill>
                  <w14:solidFill>
                    <w14:schemeClr w14:val="tx1"/>
                  </w14:solidFill>
                </w14:textFill>
              </w:rPr>
              <w:t>生态保护红线范围之内</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s="宋体"/>
                <w:color w:val="000000" w:themeColor="text1"/>
                <w:spacing w:val="0"/>
                <w:sz w:val="24"/>
                <w:highlight w:val="none"/>
                <w14:textFill>
                  <w14:solidFill>
                    <w14:schemeClr w14:val="tx1"/>
                  </w14:solidFill>
                </w14:textFill>
              </w:rPr>
              <w:t>项目与</w:t>
            </w:r>
            <w:r>
              <w:rPr>
                <w:rFonts w:hint="eastAsia" w:ascii="Times New Roman" w:hAnsi="Times New Roman" w:eastAsia="宋体" w:cs="宋体"/>
                <w:color w:val="000000" w:themeColor="text1"/>
                <w:spacing w:val="0"/>
                <w:sz w:val="24"/>
                <w:highlight w:val="none"/>
                <w:lang w:val="en-US" w:eastAsia="zh-CN"/>
                <w14:textFill>
                  <w14:solidFill>
                    <w14:schemeClr w14:val="tx1"/>
                  </w14:solidFill>
                </w14:textFill>
              </w:rPr>
              <w:t>固原市生态保护红线位置关系见</w:t>
            </w:r>
            <w:r>
              <w:rPr>
                <w:rFonts w:hint="eastAsia" w:ascii="Times New Roman" w:hAnsi="Times New Roman" w:eastAsia="宋体" w:cs="宋体"/>
                <w:b/>
                <w:bCs/>
                <w:color w:val="000000" w:themeColor="text1"/>
                <w:spacing w:val="0"/>
                <w:sz w:val="24"/>
                <w:highlight w:val="none"/>
                <w:lang w:val="en-US" w:eastAsia="zh-CN"/>
                <w14:textFill>
                  <w14:solidFill>
                    <w14:schemeClr w14:val="tx1"/>
                  </w14:solidFill>
                </w14:textFill>
              </w:rPr>
              <w:t>附图</w:t>
            </w: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3</w:t>
            </w:r>
            <w:r>
              <w:rPr>
                <w:rFonts w:hint="eastAsia" w:ascii="Times New Roman" w:hAnsi="Times New Roman" w:eastAsia="宋体" w:cs="宋体"/>
                <w:color w:val="000000" w:themeColor="text1"/>
                <w:spacing w:val="0"/>
                <w:sz w:val="24"/>
                <w:highlight w:val="none"/>
                <w:lang w:val="en-US" w:eastAsia="zh-CN"/>
                <w14:textFill>
                  <w14:solidFill>
                    <w14:schemeClr w14:val="tx1"/>
                  </w14:solidFill>
                </w14:textFill>
              </w:rPr>
              <w:t>。</w:t>
            </w:r>
          </w:p>
          <w:p w14:paraId="2D75CA25">
            <w:pPr>
              <w:autoSpaceDE w:val="0"/>
              <w:autoSpaceDN w:val="0"/>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（2）环境质量底线</w:t>
            </w:r>
          </w:p>
          <w:p w14:paraId="78FD8D7D">
            <w:pPr>
              <w:autoSpaceDE w:val="0"/>
              <w:autoSpaceDN w:val="0"/>
              <w:spacing w:line="360" w:lineRule="auto"/>
              <w:ind w:firstLine="480" w:firstLineChars="200"/>
              <w:jc w:val="left"/>
              <w:outlineLvl w:val="9"/>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①大气环境</w:t>
            </w:r>
          </w:p>
          <w:p w14:paraId="4DFB9C8B">
            <w:pPr>
              <w:autoSpaceDE w:val="0"/>
              <w:autoSpaceDN w:val="0"/>
              <w:spacing w:line="360" w:lineRule="auto"/>
              <w:ind w:firstLine="480" w:firstLineChars="200"/>
              <w:jc w:val="left"/>
              <w:outlineLvl w:val="9"/>
              <w:rPr>
                <w:rFonts w:hint="eastAsia" w:ascii="Times New Roman" w:hAnsi="Times New Roman" w:eastAsia="宋体"/>
                <w:bCs/>
                <w:color w:val="000000" w:themeColor="text1"/>
                <w:spacing w:val="0"/>
                <w:sz w:val="24"/>
                <w:highlight w:val="none"/>
                <w14:textFill>
                  <w14:solidFill>
                    <w14:schemeClr w14:val="tx1"/>
                  </w14:solidFill>
                </w14:textFill>
              </w:rPr>
            </w:pPr>
            <w:r>
              <w:rPr>
                <w:rFonts w:hint="eastAsia" w:ascii="Times New Roman" w:hAnsi="Times New Roman" w:eastAsia="宋体"/>
                <w:bCs/>
                <w:color w:val="000000" w:themeColor="text1"/>
                <w:spacing w:val="0"/>
                <w:sz w:val="24"/>
                <w:highlight w:val="none"/>
                <w14:textFill>
                  <w14:solidFill>
                    <w14:schemeClr w14:val="tx1"/>
                  </w14:solidFill>
                </w14:textFill>
              </w:rPr>
              <w:t>根据《202</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4</w:t>
            </w:r>
            <w:r>
              <w:rPr>
                <w:rFonts w:hint="eastAsia" w:ascii="Times New Roman" w:hAnsi="Times New Roman" w:eastAsia="宋体"/>
                <w:bCs/>
                <w:color w:val="000000" w:themeColor="text1"/>
                <w:spacing w:val="0"/>
                <w:sz w:val="24"/>
                <w:highlight w:val="none"/>
                <w14:textFill>
                  <w14:solidFill>
                    <w14:schemeClr w14:val="tx1"/>
                  </w14:solidFill>
                </w14:textFill>
              </w:rPr>
              <w:t>年宁夏生态环境质量状况》中</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原州区</w:t>
            </w:r>
            <w:r>
              <w:rPr>
                <w:rFonts w:hint="eastAsia" w:ascii="Times New Roman" w:hAnsi="Times New Roman" w:eastAsia="宋体"/>
                <w:bCs/>
                <w:color w:val="000000" w:themeColor="text1"/>
                <w:spacing w:val="0"/>
                <w:sz w:val="24"/>
                <w:highlight w:val="none"/>
                <w14:textFill>
                  <w14:solidFill>
                    <w14:schemeClr w14:val="tx1"/>
                  </w14:solidFill>
                </w14:textFill>
              </w:rPr>
              <w:t>环境空气质量监测数据</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和结论</w:t>
            </w:r>
            <w:r>
              <w:rPr>
                <w:rFonts w:hint="eastAsia" w:ascii="Times New Roman" w:hAnsi="Times New Roman" w:eastAsia="宋体"/>
                <w:bCs/>
                <w:color w:val="000000" w:themeColor="text1"/>
                <w:spacing w:val="0"/>
                <w:sz w:val="24"/>
                <w:highlight w:val="none"/>
                <w14:textFill>
                  <w14:solidFill>
                    <w14:schemeClr w14:val="tx1"/>
                  </w14:solidFill>
                </w14:textFill>
              </w:rPr>
              <w:t>，</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原州区</w:t>
            </w:r>
            <w:r>
              <w:rPr>
                <w:rFonts w:hint="eastAsia" w:ascii="Times New Roman" w:hAnsi="Times New Roman" w:eastAsia="宋体"/>
                <w:bCs/>
                <w:color w:val="000000" w:themeColor="text1"/>
                <w:spacing w:val="0"/>
                <w:sz w:val="24"/>
                <w:highlight w:val="none"/>
                <w14:textFill>
                  <w14:solidFill>
                    <w14:schemeClr w14:val="tx1"/>
                  </w14:solidFill>
                </w14:textFill>
              </w:rPr>
              <w:t>202</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4</w:t>
            </w:r>
            <w:r>
              <w:rPr>
                <w:rFonts w:hint="eastAsia" w:ascii="Times New Roman" w:hAnsi="Times New Roman" w:eastAsia="宋体"/>
                <w:bCs/>
                <w:color w:val="000000" w:themeColor="text1"/>
                <w:spacing w:val="0"/>
                <w:sz w:val="24"/>
                <w:highlight w:val="none"/>
                <w14:textFill>
                  <w14:solidFill>
                    <w14:schemeClr w14:val="tx1"/>
                  </w14:solidFill>
                </w14:textFill>
              </w:rPr>
              <w:t>年度</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6</w:t>
            </w:r>
            <w:r>
              <w:rPr>
                <w:rFonts w:hint="eastAsia" w:ascii="Times New Roman" w:hAnsi="Times New Roman" w:eastAsia="宋体"/>
                <w:bCs/>
                <w:color w:val="000000" w:themeColor="text1"/>
                <w:spacing w:val="0"/>
                <w:sz w:val="24"/>
                <w:highlight w:val="none"/>
                <w14:textFill>
                  <w14:solidFill>
                    <w14:schemeClr w14:val="tx1"/>
                  </w14:solidFill>
                </w14:textFill>
              </w:rPr>
              <w:t>项</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基本</w:t>
            </w:r>
            <w:r>
              <w:rPr>
                <w:rFonts w:hint="eastAsia" w:ascii="Times New Roman" w:hAnsi="Times New Roman" w:eastAsia="宋体"/>
                <w:bCs/>
                <w:color w:val="000000" w:themeColor="text1"/>
                <w:spacing w:val="0"/>
                <w:sz w:val="24"/>
                <w:highlight w:val="none"/>
                <w14:textFill>
                  <w14:solidFill>
                    <w14:schemeClr w14:val="tx1"/>
                  </w14:solidFill>
                </w14:textFill>
              </w:rPr>
              <w:t>污染物均满足《环境空气质量标准》（GB3095-2012）</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中</w:t>
            </w:r>
            <w:r>
              <w:rPr>
                <w:rFonts w:hint="eastAsia" w:ascii="Times New Roman" w:hAnsi="Times New Roman" w:eastAsia="宋体"/>
                <w:bCs/>
                <w:color w:val="000000" w:themeColor="text1"/>
                <w:spacing w:val="0"/>
                <w:sz w:val="24"/>
                <w:highlight w:val="none"/>
                <w14:textFill>
                  <w14:solidFill>
                    <w14:schemeClr w14:val="tx1"/>
                  </w14:solidFill>
                </w14:textFill>
              </w:rPr>
              <w:t>二级标准限值要求，判定项目所在区域为达标区域。</w:t>
            </w:r>
          </w:p>
          <w:p w14:paraId="16B5831F">
            <w:pPr>
              <w:autoSpaceDE w:val="0"/>
              <w:autoSpaceDN w:val="0"/>
              <w:spacing w:line="360" w:lineRule="auto"/>
              <w:ind w:firstLine="480" w:firstLineChars="200"/>
              <w:jc w:val="left"/>
              <w:outlineLvl w:val="9"/>
              <w:rPr>
                <w:rFonts w:hint="eastAsia" w:ascii="Times New Roman" w:hAnsi="Times New Roman" w:eastAsia="宋体"/>
                <w:bCs/>
                <w:color w:val="000000" w:themeColor="text1"/>
                <w:spacing w:val="0"/>
                <w:sz w:val="24"/>
                <w:highlight w:val="none"/>
                <w:lang w:eastAsia="zh-CN"/>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本项目运行期无废气产生，在落实项目</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环境影响</w:t>
            </w:r>
            <w:r>
              <w:rPr>
                <w:rFonts w:ascii="Times New Roman" w:hAnsi="Times New Roman" w:eastAsia="宋体"/>
                <w:bCs/>
                <w:color w:val="000000" w:themeColor="text1"/>
                <w:spacing w:val="0"/>
                <w:sz w:val="24"/>
                <w:highlight w:val="none"/>
                <w14:textFill>
                  <w14:solidFill>
                    <w14:schemeClr w14:val="tx1"/>
                  </w14:solidFill>
                </w14:textFill>
              </w:rPr>
              <w:t>报告表提出的相应防治措施后，</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项目建成后</w:t>
            </w:r>
            <w:r>
              <w:rPr>
                <w:rFonts w:ascii="Times New Roman" w:hAnsi="Times New Roman" w:eastAsia="宋体"/>
                <w:bCs/>
                <w:color w:val="000000" w:themeColor="text1"/>
                <w:spacing w:val="0"/>
                <w:sz w:val="24"/>
                <w:highlight w:val="none"/>
                <w14:textFill>
                  <w14:solidFill>
                    <w14:schemeClr w14:val="tx1"/>
                  </w14:solidFill>
                </w14:textFill>
              </w:rPr>
              <w:t>对周围</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大气</w:t>
            </w:r>
            <w:r>
              <w:rPr>
                <w:rFonts w:ascii="Times New Roman" w:hAnsi="Times New Roman" w:eastAsia="宋体"/>
                <w:bCs/>
                <w:color w:val="000000" w:themeColor="text1"/>
                <w:spacing w:val="0"/>
                <w:sz w:val="24"/>
                <w:highlight w:val="none"/>
                <w14:textFill>
                  <w14:solidFill>
                    <w14:schemeClr w14:val="tx1"/>
                  </w14:solidFill>
                </w14:textFill>
              </w:rPr>
              <w:t>环境</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无</w:t>
            </w:r>
            <w:r>
              <w:rPr>
                <w:rFonts w:ascii="Times New Roman" w:hAnsi="Times New Roman" w:eastAsia="宋体"/>
                <w:bCs/>
                <w:color w:val="000000" w:themeColor="text1"/>
                <w:spacing w:val="0"/>
                <w:sz w:val="24"/>
                <w:highlight w:val="none"/>
                <w14:textFill>
                  <w14:solidFill>
                    <w14:schemeClr w14:val="tx1"/>
                  </w14:solidFill>
                </w14:textFill>
              </w:rPr>
              <w:t>影响。</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因此，</w:t>
            </w:r>
            <w:r>
              <w:rPr>
                <w:rFonts w:ascii="Times New Roman" w:hAnsi="Times New Roman" w:eastAsia="宋体"/>
                <w:bCs/>
                <w:color w:val="000000" w:themeColor="text1"/>
                <w:spacing w:val="0"/>
                <w:sz w:val="24"/>
                <w:highlight w:val="none"/>
                <w14:textFill>
                  <w14:solidFill>
                    <w14:schemeClr w14:val="tx1"/>
                  </w14:solidFill>
                </w14:textFill>
              </w:rPr>
              <w:t>项目符合</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固原市</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大气</w:t>
            </w:r>
            <w:r>
              <w:rPr>
                <w:rFonts w:ascii="Times New Roman" w:hAnsi="Times New Roman" w:eastAsia="宋体"/>
                <w:bCs/>
                <w:color w:val="000000" w:themeColor="text1"/>
                <w:spacing w:val="0"/>
                <w:sz w:val="24"/>
                <w:highlight w:val="none"/>
                <w14:textFill>
                  <w14:solidFill>
                    <w14:schemeClr w14:val="tx1"/>
                  </w14:solidFill>
                </w14:textFill>
              </w:rPr>
              <w:t>环境质量底线</w:t>
            </w:r>
            <w:r>
              <w:rPr>
                <w:rFonts w:ascii="Times New Roman" w:hAnsi="Times New Roman" w:eastAsia="宋体" w:cs="宋体"/>
                <w:color w:val="000000" w:themeColor="text1"/>
                <w:spacing w:val="0"/>
                <w:sz w:val="24"/>
                <w:szCs w:val="24"/>
                <w14:textFill>
                  <w14:solidFill>
                    <w14:schemeClr w14:val="tx1"/>
                  </w14:solidFill>
                </w14:textFill>
              </w:rPr>
              <w:t>要求</w:t>
            </w:r>
            <w:r>
              <w:rPr>
                <w:rFonts w:hint="eastAsia" w:ascii="Times New Roman" w:hAnsi="Times New Roman" w:eastAsia="宋体"/>
                <w:bCs/>
                <w:color w:val="000000" w:themeColor="text1"/>
                <w:spacing w:val="0"/>
                <w:sz w:val="24"/>
                <w:highlight w:val="none"/>
                <w:lang w:eastAsia="zh-CN"/>
                <w14:textFill>
                  <w14:solidFill>
                    <w14:schemeClr w14:val="tx1"/>
                  </w14:solidFill>
                </w14:textFill>
              </w:rPr>
              <w:t>。</w:t>
            </w:r>
          </w:p>
          <w:p w14:paraId="644B4EA3">
            <w:pPr>
              <w:autoSpaceDE w:val="0"/>
              <w:autoSpaceDN w:val="0"/>
              <w:spacing w:line="360" w:lineRule="auto"/>
              <w:ind w:firstLine="480" w:firstLineChars="200"/>
              <w:jc w:val="left"/>
              <w:outlineLvl w:val="9"/>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②水环境</w:t>
            </w:r>
          </w:p>
          <w:p w14:paraId="1E1D4A39">
            <w:pPr>
              <w:autoSpaceDE w:val="0"/>
              <w:autoSpaceDN w:val="0"/>
              <w:spacing w:line="360" w:lineRule="auto"/>
              <w:outlineLvl w:val="9"/>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 xml:space="preserve">    </w:t>
            </w:r>
            <w:r>
              <w:rPr>
                <w:rFonts w:ascii="Times New Roman" w:hAnsi="Times New Roman" w:eastAsia="宋体"/>
                <w:color w:val="000000" w:themeColor="text1"/>
                <w:spacing w:val="0"/>
                <w:kern w:val="0"/>
                <w:sz w:val="24"/>
                <w:szCs w:val="24"/>
                <w:highlight w:val="none"/>
                <w14:textFill>
                  <w14:solidFill>
                    <w14:schemeClr w14:val="tx1"/>
                  </w14:solidFill>
                </w14:textFill>
              </w:rPr>
              <w:t>本项目</w:t>
            </w:r>
            <w:r>
              <w:rPr>
                <w:rFonts w:hint="eastAsia" w:ascii="Times New Roman" w:hAnsi="Times New Roman" w:eastAsia="宋体"/>
                <w:color w:val="000000" w:themeColor="text1"/>
                <w:spacing w:val="0"/>
                <w:kern w:val="0"/>
                <w:sz w:val="24"/>
                <w:szCs w:val="24"/>
                <w:highlight w:val="none"/>
                <w:lang w:val="en-US" w:eastAsia="zh-CN"/>
                <w14:textFill>
                  <w14:solidFill>
                    <w14:schemeClr w14:val="tx1"/>
                  </w14:solidFill>
                </w14:textFill>
              </w:rPr>
              <w:t>变电站周围无稳定地表径流，</w:t>
            </w:r>
            <w:r>
              <w:rPr>
                <w:rFonts w:ascii="Times New Roman" w:hAnsi="Times New Roman" w:eastAsia="宋体"/>
                <w:color w:val="000000" w:themeColor="text1"/>
                <w:spacing w:val="0"/>
                <w:kern w:val="0"/>
                <w:sz w:val="24"/>
                <w:szCs w:val="24"/>
                <w:highlight w:val="none"/>
                <w14:textFill>
                  <w14:solidFill>
                    <w14:schemeClr w14:val="tx1"/>
                  </w14:solidFill>
                </w14:textFill>
              </w:rPr>
              <w:t>输电线路</w:t>
            </w:r>
            <w:r>
              <w:rPr>
                <w:rFonts w:hint="eastAsia"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一档跨越华木林沟</w:t>
            </w:r>
            <w:r>
              <w:rPr>
                <w:rFonts w:ascii="Times New Roman" w:hAnsi="Times New Roman" w:eastAsia="宋体"/>
                <w:color w:val="000000" w:themeColor="text1"/>
                <w:spacing w:val="0"/>
                <w:kern w:val="0"/>
                <w:sz w:val="24"/>
                <w:szCs w:val="24"/>
                <w:highlight w:val="none"/>
                <w14:textFill>
                  <w14:solidFill>
                    <w14:schemeClr w14:val="tx1"/>
                  </w14:solidFill>
                </w14:textFill>
              </w:rPr>
              <w:t>。</w:t>
            </w:r>
          </w:p>
          <w:p w14:paraId="2FCDFF1B">
            <w:pPr>
              <w:autoSpaceDE w:val="0"/>
              <w:autoSpaceDN w:val="0"/>
              <w:spacing w:line="360" w:lineRule="auto"/>
              <w:ind w:firstLine="480" w:firstLineChars="200"/>
              <w:jc w:val="left"/>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本项目变电站为</w:t>
            </w:r>
            <w:r>
              <w:rPr>
                <w:rFonts w:hint="eastAsia"/>
                <w:bCs/>
                <w:color w:val="000000" w:themeColor="text1"/>
                <w:spacing w:val="0"/>
                <w:sz w:val="24"/>
                <w:highlight w:val="none"/>
                <w:lang w:val="en-US" w:eastAsia="zh-CN"/>
                <w14:textFill>
                  <w14:solidFill>
                    <w14:schemeClr w14:val="tx1"/>
                  </w14:solidFill>
                </w14:textFill>
              </w:rPr>
              <w:t>智能化变电站，无人值班门卫值守</w:t>
            </w:r>
            <w:r>
              <w:rPr>
                <w:rFonts w:ascii="Times New Roman" w:hAnsi="Times New Roman" w:eastAsia="宋体"/>
                <w:bCs/>
                <w:color w:val="000000" w:themeColor="text1"/>
                <w:spacing w:val="0"/>
                <w:sz w:val="24"/>
                <w:highlight w:val="none"/>
                <w14:textFill>
                  <w14:solidFill>
                    <w14:schemeClr w14:val="tx1"/>
                  </w14:solidFill>
                </w14:textFill>
              </w:rPr>
              <w:t>，</w:t>
            </w:r>
            <w:r>
              <w:rPr>
                <w:rFonts w:hint="eastAsia" w:ascii="Times New Roman" w:hAnsi="Times New Roman" w:eastAsia="宋体"/>
                <w:bCs/>
                <w:color w:val="000000" w:themeColor="text1"/>
                <w:spacing w:val="0"/>
                <w:sz w:val="24"/>
                <w:highlight w:val="none"/>
                <w14:textFill>
                  <w14:solidFill>
                    <w14:schemeClr w14:val="tx1"/>
                  </w14:solidFill>
                </w14:textFill>
              </w:rPr>
              <w:t>运行期</w:t>
            </w:r>
            <w:r>
              <w:rPr>
                <w:rFonts w:hint="eastAsia" w:cs="Times New Roman"/>
                <w:bCs/>
                <w:color w:val="000000" w:themeColor="text1"/>
                <w:spacing w:val="0"/>
                <w:sz w:val="24"/>
                <w:lang w:val="en-US" w:eastAsia="zh-CN"/>
                <w14:textFill>
                  <w14:solidFill>
                    <w14:schemeClr w14:val="tx1"/>
                  </w14:solidFill>
                </w14:textFill>
              </w:rPr>
              <w:t>门卫生活污水由站内化粪池处理后定期清掏</w:t>
            </w:r>
            <w:r>
              <w:rPr>
                <w:rFonts w:hint="eastAsia" w:ascii="Times New Roman" w:hAnsi="Times New Roman" w:eastAsia="宋体" w:cs="Times New Roman"/>
                <w:bCs/>
                <w:color w:val="000000" w:themeColor="text1"/>
                <w:spacing w:val="0"/>
                <w:sz w:val="24"/>
                <w:lang w:eastAsia="zh-CN"/>
                <w14:textFill>
                  <w14:solidFill>
                    <w14:schemeClr w14:val="tx1"/>
                  </w14:solidFill>
                </w14:textFill>
              </w:rPr>
              <w:t>，</w:t>
            </w: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输电线路</w:t>
            </w:r>
            <w:r>
              <w:rPr>
                <w:rFonts w:ascii="Times New Roman" w:hAnsi="Times New Roman" w:eastAsia="宋体"/>
                <w:bCs/>
                <w:color w:val="000000" w:themeColor="text1"/>
                <w:spacing w:val="0"/>
                <w:sz w:val="24"/>
                <w:highlight w:val="none"/>
                <w14:textFill>
                  <w14:solidFill>
                    <w14:schemeClr w14:val="tx1"/>
                  </w14:solidFill>
                </w14:textFill>
              </w:rPr>
              <w:t>运行期无废水产生，在落实项目</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环境影响</w:t>
            </w:r>
            <w:r>
              <w:rPr>
                <w:rFonts w:ascii="Times New Roman" w:hAnsi="Times New Roman" w:eastAsia="宋体"/>
                <w:bCs/>
                <w:color w:val="000000" w:themeColor="text1"/>
                <w:spacing w:val="0"/>
                <w:sz w:val="24"/>
                <w:highlight w:val="none"/>
                <w14:textFill>
                  <w14:solidFill>
                    <w14:schemeClr w14:val="tx1"/>
                  </w14:solidFill>
                </w14:textFill>
              </w:rPr>
              <w:t>报告表提出的相应防治措施后，</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项目建成后</w:t>
            </w:r>
            <w:r>
              <w:rPr>
                <w:rFonts w:ascii="Times New Roman" w:hAnsi="Times New Roman" w:eastAsia="宋体"/>
                <w:bCs/>
                <w:color w:val="000000" w:themeColor="text1"/>
                <w:spacing w:val="0"/>
                <w:sz w:val="24"/>
                <w:highlight w:val="none"/>
                <w14:textFill>
                  <w14:solidFill>
                    <w14:schemeClr w14:val="tx1"/>
                  </w14:solidFill>
                </w14:textFill>
              </w:rPr>
              <w:t>对周围</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水</w:t>
            </w:r>
            <w:r>
              <w:rPr>
                <w:rFonts w:ascii="Times New Roman" w:hAnsi="Times New Roman" w:eastAsia="宋体"/>
                <w:bCs/>
                <w:color w:val="000000" w:themeColor="text1"/>
                <w:spacing w:val="0"/>
                <w:sz w:val="24"/>
                <w:highlight w:val="none"/>
                <w14:textFill>
                  <w14:solidFill>
                    <w14:schemeClr w14:val="tx1"/>
                  </w14:solidFill>
                </w14:textFill>
              </w:rPr>
              <w:t>环境影响</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较小</w:t>
            </w:r>
            <w:r>
              <w:rPr>
                <w:rFonts w:ascii="Times New Roman" w:hAnsi="Times New Roman" w:eastAsia="宋体"/>
                <w:bCs/>
                <w:color w:val="000000" w:themeColor="text1"/>
                <w:spacing w:val="0"/>
                <w:sz w:val="24"/>
                <w:highlight w:val="none"/>
                <w14:textFill>
                  <w14:solidFill>
                    <w14:schemeClr w14:val="tx1"/>
                  </w14:solidFill>
                </w14:textFill>
              </w:rPr>
              <w:t>。</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因此，</w:t>
            </w:r>
            <w:r>
              <w:rPr>
                <w:rFonts w:ascii="Times New Roman" w:hAnsi="Times New Roman" w:eastAsia="宋体"/>
                <w:bCs/>
                <w:color w:val="000000" w:themeColor="text1"/>
                <w:spacing w:val="0"/>
                <w:sz w:val="24"/>
                <w:highlight w:val="none"/>
                <w14:textFill>
                  <w14:solidFill>
                    <w14:schemeClr w14:val="tx1"/>
                  </w14:solidFill>
                </w14:textFill>
              </w:rPr>
              <w:t>项目符合</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固原市</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水</w:t>
            </w:r>
            <w:r>
              <w:rPr>
                <w:rFonts w:ascii="Times New Roman" w:hAnsi="Times New Roman" w:eastAsia="宋体"/>
                <w:bCs/>
                <w:color w:val="000000" w:themeColor="text1"/>
                <w:spacing w:val="0"/>
                <w:sz w:val="24"/>
                <w:highlight w:val="none"/>
                <w14:textFill>
                  <w14:solidFill>
                    <w14:schemeClr w14:val="tx1"/>
                  </w14:solidFill>
                </w14:textFill>
              </w:rPr>
              <w:t>环境质量底线</w:t>
            </w:r>
            <w:r>
              <w:rPr>
                <w:rFonts w:ascii="Times New Roman" w:hAnsi="Times New Roman" w:eastAsia="宋体" w:cs="宋体"/>
                <w:color w:val="000000" w:themeColor="text1"/>
                <w:spacing w:val="0"/>
                <w:sz w:val="24"/>
                <w:szCs w:val="24"/>
                <w14:textFill>
                  <w14:solidFill>
                    <w14:schemeClr w14:val="tx1"/>
                  </w14:solidFill>
                </w14:textFill>
              </w:rPr>
              <w:t>要求</w:t>
            </w:r>
            <w:r>
              <w:rPr>
                <w:rFonts w:hint="eastAsia" w:ascii="Times New Roman" w:hAnsi="Times New Roman" w:eastAsia="宋体"/>
                <w:bCs/>
                <w:color w:val="000000" w:themeColor="text1"/>
                <w:spacing w:val="0"/>
                <w:sz w:val="24"/>
                <w:highlight w:val="none"/>
                <w:lang w:eastAsia="zh-CN"/>
                <w14:textFill>
                  <w14:solidFill>
                    <w14:schemeClr w14:val="tx1"/>
                  </w14:solidFill>
                </w14:textFill>
              </w:rPr>
              <w:t>。</w:t>
            </w:r>
          </w:p>
          <w:p w14:paraId="04DB7AF3">
            <w:pPr>
              <w:autoSpaceDE w:val="0"/>
              <w:autoSpaceDN w:val="0"/>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综上</w:t>
            </w:r>
            <w:r>
              <w:rPr>
                <w:rFonts w:ascii="Times New Roman" w:hAnsi="Times New Roman" w:eastAsia="宋体"/>
                <w:bCs/>
                <w:color w:val="000000" w:themeColor="text1"/>
                <w:spacing w:val="0"/>
                <w:sz w:val="24"/>
                <w:highlight w:val="none"/>
                <w14:textFill>
                  <w14:solidFill>
                    <w14:schemeClr w14:val="tx1"/>
                  </w14:solidFill>
                </w14:textFill>
              </w:rPr>
              <w:t>，本项目符合环境质量底线要求。</w:t>
            </w:r>
          </w:p>
          <w:p w14:paraId="73087A77">
            <w:pPr>
              <w:autoSpaceDE w:val="0"/>
              <w:autoSpaceDN w:val="0"/>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（3）资源利用上线</w:t>
            </w:r>
          </w:p>
          <w:p w14:paraId="6F58693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eastAsia="宋体" w:cs="Times New Roman"/>
                <w:bCs/>
                <w:color w:val="000000" w:themeColor="text1"/>
                <w:spacing w:val="0"/>
                <w:sz w:val="24"/>
                <w14:textFill>
                  <w14:solidFill>
                    <w14:schemeClr w14:val="tx1"/>
                  </w14:solidFill>
                </w14:textFill>
              </w:rPr>
            </w:pPr>
            <w:r>
              <w:rPr>
                <w:rFonts w:hint="default" w:ascii="Times New Roman" w:hAnsi="Times New Roman" w:eastAsia="宋体" w:cs="Times New Roman"/>
                <w:bCs/>
                <w:color w:val="000000" w:themeColor="text1"/>
                <w:spacing w:val="0"/>
                <w:sz w:val="24"/>
                <w:highlight w:val="none"/>
                <w14:textFill>
                  <w14:solidFill>
                    <w14:schemeClr w14:val="tx1"/>
                  </w14:solidFill>
                </w14:textFill>
              </w:rPr>
              <w:t>土地资源：</w:t>
            </w:r>
            <w:r>
              <w:rPr>
                <w:rFonts w:hint="default" w:ascii="Times New Roman" w:hAnsi="Times New Roman" w:eastAsia="宋体" w:cs="Times New Roman"/>
                <w:color w:val="000000" w:themeColor="text1"/>
                <w:spacing w:val="0"/>
                <w:sz w:val="24"/>
                <w:highlight w:val="none"/>
                <w14:textFill>
                  <w14:solidFill>
                    <w14:schemeClr w14:val="tx1"/>
                  </w14:solidFill>
                </w14:textFill>
              </w:rPr>
              <w:t>本</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pacing w:val="0"/>
                <w:sz w:val="24"/>
                <w:highlight w:val="none"/>
                <w14:textFill>
                  <w14:solidFill>
                    <w14:schemeClr w14:val="tx1"/>
                  </w14:solidFill>
                </w14:textFill>
              </w:rPr>
              <w:t>占地面积为</w:t>
            </w:r>
            <w:r>
              <w:rPr>
                <w:rFonts w:hint="eastAsia" w:cs="Times New Roman"/>
                <w:color w:val="000000" w:themeColor="text1"/>
                <w:spacing w:val="0"/>
                <w:sz w:val="24"/>
                <w:highlight w:val="none"/>
                <w:lang w:val="en-US" w:eastAsia="zh-CN"/>
                <w14:textFill>
                  <w14:solidFill>
                    <w14:schemeClr w14:val="tx1"/>
                  </w14:solidFill>
                </w14:textFill>
              </w:rPr>
              <w:t>3.8828</w:t>
            </w:r>
            <w:r>
              <w:rPr>
                <w:rFonts w:hint="default" w:ascii="Times New Roman" w:hAnsi="Times New Roman" w:eastAsia="宋体" w:cs="Times New Roman"/>
                <w:color w:val="000000" w:themeColor="text1"/>
                <w:spacing w:val="0"/>
                <w:sz w:val="24"/>
                <w:highlight w:val="none"/>
                <w14:textFill>
                  <w14:solidFill>
                    <w14:schemeClr w14:val="tx1"/>
                  </w14:solidFill>
                </w14:textFill>
              </w:rPr>
              <w:t>hm</w:t>
            </w:r>
            <w:r>
              <w:rPr>
                <w:rFonts w:hint="default" w:ascii="Times New Roman" w:hAnsi="Times New Roman" w:eastAsia="宋体" w:cs="Times New Roman"/>
                <w:color w:val="000000" w:themeColor="text1"/>
                <w:spacing w:val="0"/>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4"/>
                <w:highlight w:val="none"/>
                <w14:textFill>
                  <w14:solidFill>
                    <w14:schemeClr w14:val="tx1"/>
                  </w14:solidFill>
                </w14:textFill>
              </w:rPr>
              <w:t>，其中永久占地</w:t>
            </w:r>
            <w:r>
              <w:rPr>
                <w:rFonts w:hint="eastAsia" w:cs="Times New Roman"/>
                <w:color w:val="000000" w:themeColor="text1"/>
                <w:spacing w:val="0"/>
                <w:w w:val="100"/>
                <w:position w:val="0"/>
                <w:sz w:val="24"/>
                <w:szCs w:val="24"/>
                <w:highlight w:val="none"/>
                <w:lang w:val="en-US" w:eastAsia="zh-CN"/>
                <w14:textFill>
                  <w14:solidFill>
                    <w14:schemeClr w14:val="tx1"/>
                  </w14:solidFill>
                </w14:textFill>
              </w:rPr>
              <w:t>0.7560</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hm</w:t>
            </w:r>
            <w:r>
              <w:rPr>
                <w:rFonts w:hint="default" w:ascii="Times New Roman" w:hAnsi="Times New Roman" w:eastAsia="宋体" w:cs="Times New Roman"/>
                <w:color w:val="000000" w:themeColor="text1"/>
                <w:spacing w:val="0"/>
                <w:w w:val="100"/>
                <w:position w:val="0"/>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4"/>
                <w:highlight w:val="none"/>
                <w14:textFill>
                  <w14:solidFill>
                    <w14:schemeClr w14:val="tx1"/>
                  </w14:solidFill>
                </w14:textFill>
              </w:rPr>
              <w:t>，临时占地</w:t>
            </w:r>
            <w:r>
              <w:rPr>
                <w:rFonts w:hint="eastAsia" w:cs="Times New Roman"/>
                <w:color w:val="000000" w:themeColor="text1"/>
                <w:spacing w:val="0"/>
                <w:sz w:val="24"/>
                <w:highlight w:val="none"/>
                <w:lang w:val="en-US" w:eastAsia="zh-CN"/>
                <w14:textFill>
                  <w14:solidFill>
                    <w14:schemeClr w14:val="tx1"/>
                  </w14:solidFill>
                </w14:textFill>
              </w:rPr>
              <w:t>3.1268</w:t>
            </w:r>
            <w:r>
              <w:rPr>
                <w:rFonts w:hint="default" w:ascii="Times New Roman" w:hAnsi="Times New Roman" w:eastAsia="宋体" w:cs="Times New Roman"/>
                <w:color w:val="000000" w:themeColor="text1"/>
                <w:spacing w:val="0"/>
                <w:sz w:val="24"/>
                <w:highlight w:val="none"/>
                <w14:textFill>
                  <w14:solidFill>
                    <w14:schemeClr w14:val="tx1"/>
                  </w14:solidFill>
                </w14:textFill>
              </w:rPr>
              <w:t>hm</w:t>
            </w:r>
            <w:r>
              <w:rPr>
                <w:rFonts w:hint="default" w:ascii="Times New Roman" w:hAnsi="Times New Roman" w:eastAsia="宋体" w:cs="Times New Roman"/>
                <w:color w:val="000000" w:themeColor="text1"/>
                <w:spacing w:val="0"/>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项目占地以临时占地为主，</w:t>
            </w:r>
            <w:r>
              <w:rPr>
                <w:rFonts w:hint="default" w:ascii="Times New Roman" w:hAnsi="Times New Roman" w:eastAsia="宋体" w:cs="Times New Roman"/>
                <w:bCs/>
                <w:color w:val="000000" w:themeColor="text1"/>
                <w:spacing w:val="0"/>
                <w:sz w:val="24"/>
                <w14:textFill>
                  <w14:solidFill>
                    <w14:schemeClr w14:val="tx1"/>
                  </w14:solidFill>
                </w14:textFill>
              </w:rPr>
              <w:t>施工结束后，临时占地将恢复其原有土地功能。因此，本项目的建设对区域土地资源总量影响甚微。</w:t>
            </w:r>
          </w:p>
          <w:p w14:paraId="0F3861D1">
            <w:pPr>
              <w:autoSpaceDE w:val="0"/>
              <w:autoSpaceDN w:val="0"/>
              <w:spacing w:line="360" w:lineRule="auto"/>
              <w:ind w:firstLine="480" w:firstLineChars="200"/>
              <w:outlineLvl w:val="9"/>
              <w:rPr>
                <w:rFonts w:hint="default" w:ascii="Times New Roman" w:hAnsi="Times New Roman" w:eastAsia="宋体" w:cs="Times New Roman"/>
                <w:bCs/>
                <w:color w:val="000000" w:themeColor="text1"/>
                <w:spacing w:val="0"/>
                <w:sz w:val="24"/>
                <w14:textFill>
                  <w14:solidFill>
                    <w14:schemeClr w14:val="tx1"/>
                  </w14:solidFill>
                </w14:textFill>
              </w:rPr>
            </w:pPr>
            <w:r>
              <w:rPr>
                <w:rFonts w:hint="default" w:ascii="Times New Roman" w:hAnsi="Times New Roman" w:eastAsia="宋体" w:cs="Times New Roman"/>
                <w:bCs/>
                <w:color w:val="000000" w:themeColor="text1"/>
                <w:spacing w:val="0"/>
                <w:sz w:val="24"/>
                <w14:textFill>
                  <w14:solidFill>
                    <w14:schemeClr w14:val="tx1"/>
                  </w14:solidFill>
                </w14:textFill>
              </w:rPr>
              <w:t>水资源：</w:t>
            </w:r>
            <w:r>
              <w:rPr>
                <w:rFonts w:hint="eastAsia" w:ascii="Times New Roman" w:hAnsi="Times New Roman" w:eastAsia="宋体" w:cs="Times New Roman"/>
                <w:bCs/>
                <w:color w:val="000000" w:themeColor="text1"/>
                <w:spacing w:val="0"/>
                <w:sz w:val="24"/>
                <w:lang w:val="en-US" w:eastAsia="zh-CN"/>
                <w14:textFill>
                  <w14:solidFill>
                    <w14:schemeClr w14:val="tx1"/>
                  </w14:solidFill>
                </w14:textFill>
              </w:rPr>
              <w:t>本</w:t>
            </w:r>
            <w:r>
              <w:rPr>
                <w:rFonts w:hint="default" w:ascii="Times New Roman" w:hAnsi="Times New Roman" w:eastAsia="宋体" w:cs="Times New Roman"/>
                <w:bCs/>
                <w:color w:val="000000" w:themeColor="text1"/>
                <w:spacing w:val="0"/>
                <w:sz w:val="24"/>
                <w14:textFill>
                  <w14:solidFill>
                    <w14:schemeClr w14:val="tx1"/>
                  </w14:solidFill>
                </w14:textFill>
              </w:rPr>
              <w:t>项目变电站有1名门卫，运行期会有少量水资源的消耗，但对区域水资源造成影响甚微。</w:t>
            </w:r>
          </w:p>
          <w:p w14:paraId="2C5CDF3D">
            <w:pPr>
              <w:autoSpaceDE w:val="0"/>
              <w:autoSpaceDN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因此，本项目符合资源利用上线要求。</w:t>
            </w:r>
          </w:p>
          <w:p w14:paraId="01ECE9ED">
            <w:pPr>
              <w:autoSpaceDE w:val="0"/>
              <w:autoSpaceDN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（4）生态环境准入清单</w:t>
            </w:r>
          </w:p>
          <w:p w14:paraId="184C4687">
            <w:pPr>
              <w:autoSpaceDE w:val="0"/>
              <w:autoSpaceDN w:val="0"/>
              <w:adjustRightInd w:val="0"/>
              <w:snapToGrid w:val="0"/>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根据固原市人民政府关于印发《固原市生态环境分区管控实施方案》的通知（固政发〔2024〕28号），</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本项目位于原州区优先保护单元4</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、原州区重点管控单元3、原州区一般管控单元5，</w:t>
            </w:r>
            <w:r>
              <w:rPr>
                <w:rFonts w:ascii="Times New Roman" w:hAnsi="Times New Roman" w:eastAsia="宋体"/>
                <w:color w:val="000000" w:themeColor="text1"/>
                <w:spacing w:val="0"/>
                <w:kern w:val="0"/>
                <w:sz w:val="24"/>
                <w:highlight w:val="none"/>
                <w14:textFill>
                  <w14:solidFill>
                    <w14:schemeClr w14:val="tx1"/>
                  </w14:solidFill>
                </w14:textFill>
              </w:rPr>
              <w:t>相应的管控要求及符合性分析见表1-</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1</w:t>
            </w:r>
            <w:r>
              <w:rPr>
                <w:rFonts w:ascii="Times New Roman" w:hAnsi="Times New Roman" w:eastAsia="宋体"/>
                <w:color w:val="000000" w:themeColor="text1"/>
                <w:spacing w:val="0"/>
                <w:kern w:val="0"/>
                <w:sz w:val="24"/>
                <w:highlight w:val="none"/>
                <w14:textFill>
                  <w14:solidFill>
                    <w14:schemeClr w14:val="tx1"/>
                  </w14:solidFill>
                </w14:textFill>
              </w:rPr>
              <w:t>。</w:t>
            </w:r>
          </w:p>
          <w:p w14:paraId="64EFEF8D">
            <w:pPr>
              <w:autoSpaceDE w:val="0"/>
              <w:autoSpaceDN w:val="0"/>
              <w:spacing w:line="360" w:lineRule="auto"/>
              <w:jc w:val="center"/>
              <w:outlineLvl w:val="9"/>
              <w:rPr>
                <w:rFonts w:hint="default" w:ascii="Times New Roman" w:hAnsi="Times New Roman" w:eastAsia="宋体"/>
                <w:b/>
                <w:bCs/>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表1-1  项目与固原市环境管控单元生态环境准入清单符合性分析</w:t>
            </w:r>
          </w:p>
          <w:tbl>
            <w:tblPr>
              <w:tblStyle w:val="26"/>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870"/>
              <w:gridCol w:w="645"/>
              <w:gridCol w:w="750"/>
              <w:gridCol w:w="2342"/>
              <w:gridCol w:w="1948"/>
              <w:gridCol w:w="696"/>
            </w:tblGrid>
            <w:tr w14:paraId="0FD64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noWrap w:val="0"/>
                  <w:vAlign w:val="center"/>
                </w:tcPr>
                <w:p w14:paraId="527FBC8E">
                  <w:pPr>
                    <w:keepNext w:val="0"/>
                    <w:keepLines w:val="0"/>
                    <w:pageBreakBefore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b/>
                      <w:bCs w:val="0"/>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b/>
                      <w:bCs w:val="0"/>
                      <w:color w:val="000000" w:themeColor="text1"/>
                      <w:spacing w:val="0"/>
                      <w:sz w:val="21"/>
                      <w:szCs w:val="21"/>
                      <w:highlight w:val="none"/>
                      <w:lang w:eastAsia="zh-CN"/>
                      <w14:textFill>
                        <w14:solidFill>
                          <w14:schemeClr w14:val="tx1"/>
                        </w14:solidFill>
                      </w14:textFill>
                    </w:rPr>
                    <w:t>环境管控单元名称</w:t>
                  </w:r>
                </w:p>
              </w:tc>
              <w:tc>
                <w:tcPr>
                  <w:tcW w:w="870" w:type="dxa"/>
                  <w:noWrap w:val="0"/>
                  <w:vAlign w:val="center"/>
                </w:tcPr>
                <w:p w14:paraId="1AFA49F7">
                  <w:pPr>
                    <w:keepNext w:val="0"/>
                    <w:keepLines w:val="0"/>
                    <w:pageBreakBefore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b/>
                      <w:bCs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1"/>
                      <w:szCs w:val="21"/>
                      <w:highlight w:val="none"/>
                      <w:lang w:val="en-US" w:eastAsia="zh-CN"/>
                      <w14:textFill>
                        <w14:solidFill>
                          <w14:schemeClr w14:val="tx1"/>
                        </w14:solidFill>
                      </w14:textFill>
                    </w:rPr>
                    <w:t>行政</w:t>
                  </w:r>
                </w:p>
                <w:p w14:paraId="5ABC9F21">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b/>
                      <w:bCs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1"/>
                      <w:szCs w:val="21"/>
                      <w:highlight w:val="none"/>
                      <w:lang w:val="en-US" w:eastAsia="zh-CN"/>
                      <w14:textFill>
                        <w14:solidFill>
                          <w14:schemeClr w14:val="tx1"/>
                        </w14:solidFill>
                      </w14:textFill>
                    </w:rPr>
                    <w:t>区划</w:t>
                  </w:r>
                </w:p>
              </w:tc>
              <w:tc>
                <w:tcPr>
                  <w:tcW w:w="645" w:type="dxa"/>
                  <w:noWrap w:val="0"/>
                  <w:vAlign w:val="center"/>
                </w:tcPr>
                <w:p w14:paraId="728AFE3B">
                  <w:pPr>
                    <w:keepNext w:val="0"/>
                    <w:keepLines w:val="0"/>
                    <w:pageBreakBefore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b/>
                      <w:bCs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1"/>
                      <w:szCs w:val="21"/>
                      <w:highlight w:val="none"/>
                      <w:lang w:val="en-US" w:eastAsia="zh-CN"/>
                      <w14:textFill>
                        <w14:solidFill>
                          <w14:schemeClr w14:val="tx1"/>
                        </w14:solidFill>
                      </w14:textFill>
                    </w:rPr>
                    <w:t>要素</w:t>
                  </w:r>
                </w:p>
                <w:p w14:paraId="40250712">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b/>
                      <w:bCs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1"/>
                      <w:szCs w:val="21"/>
                      <w:highlight w:val="none"/>
                      <w:lang w:val="en-US" w:eastAsia="zh-CN"/>
                      <w14:textFill>
                        <w14:solidFill>
                          <w14:schemeClr w14:val="tx1"/>
                        </w14:solidFill>
                      </w14:textFill>
                    </w:rPr>
                    <w:t>属性</w:t>
                  </w:r>
                </w:p>
              </w:tc>
              <w:tc>
                <w:tcPr>
                  <w:tcW w:w="750" w:type="dxa"/>
                  <w:noWrap w:val="0"/>
                  <w:vAlign w:val="center"/>
                </w:tcPr>
                <w:p w14:paraId="7C8F21A8">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b/>
                      <w:bCs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1"/>
                      <w:szCs w:val="21"/>
                      <w:highlight w:val="none"/>
                      <w:lang w:val="en-US" w:eastAsia="zh-CN"/>
                      <w14:textFill>
                        <w14:solidFill>
                          <w14:schemeClr w14:val="tx1"/>
                        </w14:solidFill>
                      </w14:textFill>
                    </w:rPr>
                    <w:t>管控单元</w:t>
                  </w:r>
                </w:p>
              </w:tc>
              <w:tc>
                <w:tcPr>
                  <w:tcW w:w="2342" w:type="dxa"/>
                  <w:noWrap w:val="0"/>
                  <w:vAlign w:val="center"/>
                </w:tcPr>
                <w:p w14:paraId="47EF85FE">
                  <w:pPr>
                    <w:keepNext w:val="0"/>
                    <w:keepLines w:val="0"/>
                    <w:pageBreakBefore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b/>
                      <w:bCs w:val="0"/>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b/>
                      <w:bCs w:val="0"/>
                      <w:color w:val="000000" w:themeColor="text1"/>
                      <w:spacing w:val="0"/>
                      <w:sz w:val="21"/>
                      <w:szCs w:val="21"/>
                      <w:highlight w:val="none"/>
                      <w:lang w:eastAsia="zh-CN"/>
                      <w14:textFill>
                        <w14:solidFill>
                          <w14:schemeClr w14:val="tx1"/>
                        </w14:solidFill>
                      </w14:textFill>
                    </w:rPr>
                    <w:t>空间布局约束</w:t>
                  </w:r>
                </w:p>
              </w:tc>
              <w:tc>
                <w:tcPr>
                  <w:tcW w:w="1948" w:type="dxa"/>
                  <w:noWrap w:val="0"/>
                  <w:vAlign w:val="center"/>
                </w:tcPr>
                <w:p w14:paraId="3026BC4F">
                  <w:pPr>
                    <w:keepNext w:val="0"/>
                    <w:keepLines w:val="0"/>
                    <w:pageBreakBefore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b/>
                      <w:bCs w:val="0"/>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b/>
                      <w:bCs w:val="0"/>
                      <w:color w:val="000000" w:themeColor="text1"/>
                      <w:spacing w:val="0"/>
                      <w:sz w:val="21"/>
                      <w:szCs w:val="21"/>
                      <w:highlight w:val="none"/>
                      <w:lang w:eastAsia="zh-CN"/>
                      <w14:textFill>
                        <w14:solidFill>
                          <w14:schemeClr w14:val="tx1"/>
                        </w14:solidFill>
                      </w14:textFill>
                    </w:rPr>
                    <w:t>本项目情况</w:t>
                  </w:r>
                </w:p>
              </w:tc>
              <w:tc>
                <w:tcPr>
                  <w:tcW w:w="696" w:type="dxa"/>
                  <w:noWrap w:val="0"/>
                  <w:vAlign w:val="center"/>
                </w:tcPr>
                <w:p w14:paraId="118A271C">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b/>
                      <w:bCs w:val="0"/>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1"/>
                      <w:szCs w:val="21"/>
                      <w:highlight w:val="none"/>
                      <w:lang w:eastAsia="zh-CN"/>
                      <w14:textFill>
                        <w14:solidFill>
                          <w14:schemeClr w14:val="tx1"/>
                        </w14:solidFill>
                      </w14:textFill>
                    </w:rPr>
                    <w:t>符合</w:t>
                  </w:r>
                  <w:r>
                    <w:rPr>
                      <w:rFonts w:hint="eastAsia" w:ascii="Times New Roman" w:hAnsi="Times New Roman" w:eastAsia="宋体"/>
                      <w:b/>
                      <w:bCs w:val="0"/>
                      <w:color w:val="000000" w:themeColor="text1"/>
                      <w:spacing w:val="0"/>
                      <w:sz w:val="21"/>
                      <w:szCs w:val="21"/>
                      <w:highlight w:val="none"/>
                      <w:lang w:val="en-US" w:eastAsia="zh-CN"/>
                      <w14:textFill>
                        <w14:solidFill>
                          <w14:schemeClr w14:val="tx1"/>
                        </w14:solidFill>
                      </w14:textFill>
                    </w:rPr>
                    <w:t>情况</w:t>
                  </w:r>
                </w:p>
              </w:tc>
            </w:tr>
            <w:tr w14:paraId="646FC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noWrap w:val="0"/>
                  <w:vAlign w:val="center"/>
                </w:tcPr>
                <w:p w14:paraId="01B25C25">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ZH64040210014原州区优先保护单元4</w:t>
                  </w:r>
                </w:p>
              </w:tc>
              <w:tc>
                <w:tcPr>
                  <w:tcW w:w="870" w:type="dxa"/>
                  <w:noWrap w:val="0"/>
                  <w:vAlign w:val="center"/>
                </w:tcPr>
                <w:p w14:paraId="612821B2">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固原市原州区</w:t>
                  </w:r>
                </w:p>
              </w:tc>
              <w:tc>
                <w:tcPr>
                  <w:tcW w:w="645" w:type="dxa"/>
                  <w:noWrap w:val="0"/>
                  <w:vAlign w:val="center"/>
                </w:tcPr>
                <w:p w14:paraId="08F19194">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cs="Times New Roman"/>
                      <w:b w:val="0"/>
                      <w:bCs w:val="0"/>
                      <w:snapToGrid w:val="0"/>
                      <w:color w:val="000000" w:themeColor="text1"/>
                      <w:spacing w:val="0"/>
                      <w:kern w:val="0"/>
                      <w:sz w:val="21"/>
                      <w:szCs w:val="21"/>
                      <w:lang w:val="en-US" w:eastAsia="zh-CN" w:bidi="ar-SA"/>
                      <w14:textFill>
                        <w14:solidFill>
                          <w14:schemeClr w14:val="tx1"/>
                        </w14:solidFill>
                      </w14:textFill>
                    </w:rPr>
                    <w:t>/</w:t>
                  </w:r>
                </w:p>
              </w:tc>
              <w:tc>
                <w:tcPr>
                  <w:tcW w:w="750" w:type="dxa"/>
                  <w:noWrap w:val="0"/>
                  <w:vAlign w:val="center"/>
                </w:tcPr>
                <w:p w14:paraId="569B0C0D">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优先保护单元</w:t>
                  </w:r>
                </w:p>
              </w:tc>
              <w:tc>
                <w:tcPr>
                  <w:tcW w:w="2342" w:type="dxa"/>
                  <w:noWrap w:val="0"/>
                  <w:vAlign w:val="center"/>
                </w:tcPr>
                <w:p w14:paraId="18258B2C">
                  <w:pPr>
                    <w:keepNext w:val="0"/>
                    <w:keepLines w:val="0"/>
                    <w:pageBreakBefore w:val="0"/>
                    <w:kinsoku/>
                    <w:wordWrap/>
                    <w:overflowPunct/>
                    <w:topLinePunct w:val="0"/>
                    <w:autoSpaceDE/>
                    <w:autoSpaceDN/>
                    <w:bidi w:val="0"/>
                    <w:adjustRightInd w:val="0"/>
                    <w:snapToGrid w:val="0"/>
                    <w:jc w:val="left"/>
                    <w:textAlignment w:val="auto"/>
                    <w:outlineLvl w:val="9"/>
                    <w:rPr>
                      <w:rFonts w:hint="eastAsia" w:ascii="Times New Roman" w:hAnsi="Times New Roman" w:eastAsia="宋体"/>
                      <w:bCs/>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eastAsia="zh-CN"/>
                      <w14:textFill>
                        <w14:solidFill>
                          <w14:schemeClr w14:val="tx1"/>
                        </w14:solidFill>
                      </w14:textFill>
                    </w:rPr>
                    <w:t>1.禁止在二十五度以上陡坡地开垦种植农作物。2.生态保护红线内，除国家重大战略项目以及对生态功能不造成破坏的十类有限人为活动之外，严格禁止各类开发性、生产性建设活动。一般生态空间内，在生态保护红线正面清单的基础上，仅允许开展生态修复等对生态环境扰动较小、不损害或有利于提升生态功能的开发项目。生态保护红线和一般生态空间以外的其他区域，除国家、自治区重大战略规划项目和不可避让生态红线的十类建设项目外，禁止新建排放污染物的各类工业和规模化养殖项目。</w:t>
                  </w:r>
                </w:p>
              </w:tc>
              <w:tc>
                <w:tcPr>
                  <w:tcW w:w="1948" w:type="dxa"/>
                  <w:vMerge w:val="restart"/>
                  <w:noWrap w:val="0"/>
                  <w:vAlign w:val="center"/>
                </w:tcPr>
                <w:p w14:paraId="22B93DD9">
                  <w:pPr>
                    <w:keepNext w:val="0"/>
                    <w:keepLines w:val="0"/>
                    <w:pageBreakBefore w:val="0"/>
                    <w:kinsoku/>
                    <w:wordWrap/>
                    <w:overflowPunct/>
                    <w:topLinePunct w:val="0"/>
                    <w:autoSpaceDE/>
                    <w:autoSpaceDN/>
                    <w:bidi w:val="0"/>
                    <w:adjustRightInd w:val="0"/>
                    <w:snapToGrid w:val="0"/>
                    <w:jc w:val="left"/>
                    <w:textAlignment w:val="auto"/>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1.项目位于</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，为区域基础设施中的电力资源保障供应项目。</w:t>
                  </w:r>
                  <w:r>
                    <w:rPr>
                      <w:rFonts w:hint="eastAsia"/>
                      <w:bCs/>
                      <w:color w:val="000000" w:themeColor="text1"/>
                      <w:spacing w:val="0"/>
                      <w:sz w:val="21"/>
                      <w:szCs w:val="21"/>
                      <w:highlight w:val="none"/>
                      <w:lang w:val="en-US" w:eastAsia="zh-CN"/>
                      <w14:textFill>
                        <w14:solidFill>
                          <w14:schemeClr w14:val="tx1"/>
                        </w14:solidFill>
                      </w14:textFill>
                    </w:rPr>
                    <w:t>不涉及生态保护红线，不涉及一般生态空间，不涉及种植农作物，不涉及占用河流湿地</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。2.项目占地以临时占地为主，</w:t>
                  </w:r>
                  <w:r>
                    <w:rPr>
                      <w:rFonts w:hint="eastAsia"/>
                      <w:bCs/>
                      <w:color w:val="000000" w:themeColor="text1"/>
                      <w:spacing w:val="0"/>
                      <w:sz w:val="21"/>
                      <w:szCs w:val="21"/>
                      <w:highlight w:val="none"/>
                      <w:lang w:val="en-US" w:eastAsia="zh-CN"/>
                      <w14:textFill>
                        <w14:solidFill>
                          <w14:schemeClr w14:val="tx1"/>
                        </w14:solidFill>
                      </w14:textFill>
                    </w:rPr>
                    <w:t>主要占地类型为耕地、园地、交通运输用地，</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施工结束后，临时占地将恢复其原有土地功能。3.项目符合产业政策，运行后不产生废气，会有少量生活废水、固体废物产生，在落实本项目环评报告表提出的相应的污染防治措施后，对周围环境影响很小。</w:t>
                  </w:r>
                </w:p>
              </w:tc>
              <w:tc>
                <w:tcPr>
                  <w:tcW w:w="696" w:type="dxa"/>
                  <w:vMerge w:val="restart"/>
                  <w:noWrap w:val="0"/>
                  <w:vAlign w:val="center"/>
                </w:tcPr>
                <w:p w14:paraId="3E656931">
                  <w:pPr>
                    <w:keepNext w:val="0"/>
                    <w:keepLines w:val="0"/>
                    <w:pageBreakBefore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 xml:space="preserve"> </w:t>
                  </w:r>
                </w:p>
                <w:p w14:paraId="52B7DA82">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符合</w:t>
                  </w:r>
                </w:p>
              </w:tc>
            </w:tr>
            <w:tr w14:paraId="20A46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noWrap w:val="0"/>
                  <w:vAlign w:val="center"/>
                </w:tcPr>
                <w:p w14:paraId="3ACD4A39">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eastAsia" w:ascii="Times New Roman" w:hAnsi="Times New Roman" w:eastAsia="宋体" w:cs="Times New Roman"/>
                      <w:b w:val="0"/>
                      <w:bCs w:val="0"/>
                      <w:snapToGrid w:val="0"/>
                      <w:color w:val="000000" w:themeColor="text1"/>
                      <w:spacing w:val="0"/>
                      <w:kern w:val="0"/>
                      <w:sz w:val="21"/>
                      <w:szCs w:val="21"/>
                      <w:lang w:val="zh-CN"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zh-CN" w:eastAsia="zh-CN" w:bidi="ar-SA"/>
                      <w14:textFill>
                        <w14:solidFill>
                          <w14:schemeClr w14:val="tx1"/>
                        </w14:solidFill>
                      </w14:textFill>
                    </w:rPr>
                    <w:t>ZH64040220004原州区重点管控单元3</w:t>
                  </w:r>
                </w:p>
              </w:tc>
              <w:tc>
                <w:tcPr>
                  <w:tcW w:w="870" w:type="dxa"/>
                  <w:noWrap w:val="0"/>
                  <w:vAlign w:val="center"/>
                </w:tcPr>
                <w:p w14:paraId="3D67E2F5">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固原市原州区头营镇黄铎堡镇三营镇</w:t>
                  </w:r>
                </w:p>
              </w:tc>
              <w:tc>
                <w:tcPr>
                  <w:tcW w:w="645" w:type="dxa"/>
                  <w:noWrap w:val="0"/>
                  <w:vAlign w:val="center"/>
                </w:tcPr>
                <w:p w14:paraId="59FA0326">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eastAsia" w:ascii="Times New Roman" w:hAnsi="Times New Roman" w:eastAsia="宋体" w:cs="Times New Roman"/>
                      <w:b w:val="0"/>
                      <w:bCs w:val="0"/>
                      <w:snapToGrid w:val="0"/>
                      <w:color w:val="000000" w:themeColor="text1"/>
                      <w:spacing w:val="0"/>
                      <w:kern w:val="0"/>
                      <w:sz w:val="21"/>
                      <w:szCs w:val="21"/>
                      <w:lang w:val="zh-CN"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zh-CN" w:eastAsia="zh-CN" w:bidi="ar-SA"/>
                      <w14:textFill>
                        <w14:solidFill>
                          <w14:schemeClr w14:val="tx1"/>
                        </w14:solidFill>
                      </w14:textFill>
                    </w:rPr>
                    <w:t>大气环境布局敏感区</w:t>
                  </w:r>
                </w:p>
              </w:tc>
              <w:tc>
                <w:tcPr>
                  <w:tcW w:w="750" w:type="dxa"/>
                  <w:noWrap w:val="0"/>
                  <w:vAlign w:val="center"/>
                </w:tcPr>
                <w:p w14:paraId="5D07A9CA">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重点管控单元</w:t>
                  </w:r>
                </w:p>
              </w:tc>
              <w:tc>
                <w:tcPr>
                  <w:tcW w:w="2342" w:type="dxa"/>
                  <w:noWrap w:val="0"/>
                  <w:vAlign w:val="center"/>
                </w:tcPr>
                <w:p w14:paraId="0DA6594C">
                  <w:pPr>
                    <w:keepNext w:val="0"/>
                    <w:keepLines w:val="0"/>
                    <w:pageBreakBefore w:val="0"/>
                    <w:kinsoku/>
                    <w:wordWrap/>
                    <w:overflowPunct/>
                    <w:topLinePunct w:val="0"/>
                    <w:autoSpaceDE/>
                    <w:autoSpaceDN/>
                    <w:bidi w:val="0"/>
                    <w:adjustRightInd w:val="0"/>
                    <w:snapToGrid w:val="0"/>
                    <w:jc w:val="left"/>
                    <w:textAlignment w:val="auto"/>
                    <w:outlineLvl w:val="9"/>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eastAsia="zh-CN"/>
                      <w14:textFill>
                        <w14:solidFill>
                          <w14:schemeClr w14:val="tx1"/>
                        </w14:solidFill>
                      </w14:textFill>
                    </w:rPr>
                    <w:t>1.禁止新建涉及大规模排放大气污染物和VOCs排放的工业项目。2.在满足产业准入、总量控制、排放标准等国家和地方相关管理制度要求的前提下，集约发展。</w:t>
                  </w:r>
                </w:p>
              </w:tc>
              <w:tc>
                <w:tcPr>
                  <w:tcW w:w="1948" w:type="dxa"/>
                  <w:vMerge w:val="continue"/>
                  <w:noWrap w:val="0"/>
                  <w:vAlign w:val="center"/>
                </w:tcPr>
                <w:p w14:paraId="3444FEC2">
                  <w:pPr>
                    <w:keepNext w:val="0"/>
                    <w:keepLines w:val="0"/>
                    <w:pageBreakBefore w:val="0"/>
                    <w:kinsoku/>
                    <w:wordWrap/>
                    <w:overflowPunct/>
                    <w:topLinePunct w:val="0"/>
                    <w:autoSpaceDE/>
                    <w:autoSpaceDN/>
                    <w:bidi w:val="0"/>
                    <w:adjustRightInd w:val="0"/>
                    <w:snapToGrid w:val="0"/>
                    <w:jc w:val="left"/>
                    <w:textAlignment w:val="auto"/>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p>
              </w:tc>
              <w:tc>
                <w:tcPr>
                  <w:tcW w:w="696" w:type="dxa"/>
                  <w:vMerge w:val="continue"/>
                  <w:noWrap w:val="0"/>
                  <w:vAlign w:val="center"/>
                </w:tcPr>
                <w:p w14:paraId="22B31E62">
                  <w:pPr>
                    <w:keepNext w:val="0"/>
                    <w:keepLines w:val="0"/>
                    <w:pageBreakBefore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pPr>
                </w:p>
              </w:tc>
            </w:tr>
            <w:tr w14:paraId="22520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noWrap w:val="0"/>
                  <w:vAlign w:val="center"/>
                </w:tcPr>
                <w:p w14:paraId="25AD80D4">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ZH64040230005原州区一般管控单元5</w:t>
                  </w:r>
                </w:p>
              </w:tc>
              <w:tc>
                <w:tcPr>
                  <w:tcW w:w="870" w:type="dxa"/>
                  <w:noWrap w:val="0"/>
                  <w:vAlign w:val="center"/>
                </w:tcPr>
                <w:p w14:paraId="0913B4B1">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彭堡镇官厅镇中河乡</w:t>
                  </w:r>
                </w:p>
              </w:tc>
              <w:tc>
                <w:tcPr>
                  <w:tcW w:w="645" w:type="dxa"/>
                  <w:noWrap w:val="0"/>
                  <w:vAlign w:val="center"/>
                </w:tcPr>
                <w:p w14:paraId="00AB8774">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eastAsia" w:ascii="Times New Roman" w:hAnsi="Times New Roman" w:eastAsia="宋体" w:cs="Times New Roman"/>
                      <w:b w:val="0"/>
                      <w:bCs w:val="0"/>
                      <w:snapToGrid w:val="0"/>
                      <w:color w:val="000000" w:themeColor="text1"/>
                      <w:spacing w:val="0"/>
                      <w:kern w:val="0"/>
                      <w:sz w:val="21"/>
                      <w:szCs w:val="21"/>
                      <w:lang w:val="zh-CN"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zh-CN" w:eastAsia="zh-CN" w:bidi="ar-SA"/>
                      <w14:textFill>
                        <w14:solidFill>
                          <w14:schemeClr w14:val="tx1"/>
                        </w14:solidFill>
                      </w14:textFill>
                    </w:rPr>
                    <w:t>一般管控区</w:t>
                  </w:r>
                </w:p>
              </w:tc>
              <w:tc>
                <w:tcPr>
                  <w:tcW w:w="750" w:type="dxa"/>
                  <w:noWrap w:val="0"/>
                  <w:vAlign w:val="center"/>
                </w:tcPr>
                <w:p w14:paraId="7836F39A">
                  <w:pPr>
                    <w:pStyle w:val="23"/>
                    <w:keepNext w:val="0"/>
                    <w:keepLines w:val="0"/>
                    <w:pageBreakBefore w:val="0"/>
                    <w:kinsoku/>
                    <w:wordWrap/>
                    <w:overflowPunct/>
                    <w:topLinePunct w:val="0"/>
                    <w:autoSpaceDE/>
                    <w:autoSpaceDN/>
                    <w:bidi w:val="0"/>
                    <w:adjustRightInd w:val="0"/>
                    <w:snapToGrid w:val="0"/>
                    <w:spacing w:before="0" w:beforeAutospacing="0" w:after="0" w:afterAutospacing="0"/>
                    <w:jc w:val="center"/>
                    <w:textAlignment w:val="auto"/>
                    <w:outlineLvl w:val="9"/>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一般管控区</w:t>
                  </w:r>
                </w:p>
              </w:tc>
              <w:tc>
                <w:tcPr>
                  <w:tcW w:w="2342" w:type="dxa"/>
                  <w:noWrap w:val="0"/>
                  <w:vAlign w:val="center"/>
                </w:tcPr>
                <w:p w14:paraId="1D277D31">
                  <w:pPr>
                    <w:keepNext w:val="0"/>
                    <w:keepLines w:val="0"/>
                    <w:pageBreakBefore w:val="0"/>
                    <w:kinsoku/>
                    <w:wordWrap/>
                    <w:overflowPunct/>
                    <w:topLinePunct w:val="0"/>
                    <w:autoSpaceDE/>
                    <w:autoSpaceDN/>
                    <w:bidi w:val="0"/>
                    <w:adjustRightInd w:val="0"/>
                    <w:snapToGrid w:val="0"/>
                    <w:jc w:val="left"/>
                    <w:textAlignment w:val="auto"/>
                    <w:outlineLvl w:val="9"/>
                    <w:rPr>
                      <w:rFonts w:hint="eastAsia" w:ascii="Times New Roman" w:hAnsi="Times New Roman" w:eastAsia="宋体"/>
                      <w:bCs/>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eastAsia="zh-CN"/>
                      <w14:textFill>
                        <w14:solidFill>
                          <w14:schemeClr w14:val="tx1"/>
                        </w14:solidFill>
                      </w14:textFill>
                    </w:rPr>
                    <w:t>1.禁止在二十五度以上陡坡地开垦种植农作物。2.严格限制占用林地、草地及清水河等河流沿线湿地进行开发建设活动。3.在满足产业准入、总量控制、排放标准等国家和地方相关管理制度要求的前提下，集约发展。</w:t>
                  </w:r>
                </w:p>
              </w:tc>
              <w:tc>
                <w:tcPr>
                  <w:tcW w:w="1948" w:type="dxa"/>
                  <w:vMerge w:val="continue"/>
                  <w:noWrap w:val="0"/>
                  <w:vAlign w:val="center"/>
                </w:tcPr>
                <w:p w14:paraId="17570063">
                  <w:pPr>
                    <w:keepNext w:val="0"/>
                    <w:keepLines w:val="0"/>
                    <w:pageBreakBefore w:val="0"/>
                    <w:kinsoku/>
                    <w:wordWrap/>
                    <w:overflowPunct/>
                    <w:topLinePunct w:val="0"/>
                    <w:autoSpaceDE/>
                    <w:autoSpaceDN/>
                    <w:bidi w:val="0"/>
                    <w:adjustRightInd w:val="0"/>
                    <w:snapToGrid w:val="0"/>
                    <w:jc w:val="left"/>
                    <w:textAlignment w:val="auto"/>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p>
              </w:tc>
              <w:tc>
                <w:tcPr>
                  <w:tcW w:w="696" w:type="dxa"/>
                  <w:vMerge w:val="continue"/>
                  <w:noWrap w:val="0"/>
                  <w:vAlign w:val="center"/>
                </w:tcPr>
                <w:p w14:paraId="23C9E44C">
                  <w:pPr>
                    <w:keepNext w:val="0"/>
                    <w:keepLines w:val="0"/>
                    <w:pageBreakBefore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p>
              </w:tc>
            </w:tr>
          </w:tbl>
          <w:p w14:paraId="6E502B5D">
            <w:pPr>
              <w:autoSpaceDE w:val="0"/>
              <w:autoSpaceDN w:val="0"/>
              <w:spacing w:line="360" w:lineRule="auto"/>
              <w:outlineLvl w:val="9"/>
              <w:rPr>
                <w:rFonts w:ascii="Times New Roman" w:hAnsi="Times New Roman" w:eastAsia="宋体"/>
                <w:b/>
                <w:color w:val="000000" w:themeColor="text1"/>
                <w:spacing w:val="0"/>
                <w:sz w:val="24"/>
                <w:highlight w:val="none"/>
                <w14:textFill>
                  <w14:solidFill>
                    <w14:schemeClr w14:val="tx1"/>
                  </w14:solidFill>
                </w14:textFill>
              </w:rPr>
            </w:pP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3</w:t>
            </w:r>
            <w:r>
              <w:rPr>
                <w:rFonts w:ascii="Times New Roman" w:hAnsi="Times New Roman" w:eastAsia="宋体"/>
                <w:b/>
                <w:color w:val="000000" w:themeColor="text1"/>
                <w:spacing w:val="0"/>
                <w:sz w:val="24"/>
                <w:highlight w:val="none"/>
                <w14:textFill>
                  <w14:solidFill>
                    <w14:schemeClr w14:val="tx1"/>
                  </w14:solidFill>
                </w14:textFill>
              </w:rPr>
              <w:t>、与</w:t>
            </w: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固原</w:t>
            </w:r>
            <w:r>
              <w:rPr>
                <w:rFonts w:ascii="Times New Roman" w:hAnsi="Times New Roman" w:eastAsia="宋体"/>
                <w:b/>
                <w:color w:val="000000" w:themeColor="text1"/>
                <w:spacing w:val="0"/>
                <w:sz w:val="24"/>
                <w:highlight w:val="none"/>
                <w14:textFill>
                  <w14:solidFill>
                    <w14:schemeClr w14:val="tx1"/>
                  </w14:solidFill>
                </w14:textFill>
              </w:rPr>
              <w:t>市</w:t>
            </w:r>
            <w:r>
              <w:rPr>
                <w:rFonts w:ascii="Times New Roman" w:hAnsi="Times New Roman" w:eastAsia="宋体"/>
                <w:b/>
                <w:bCs/>
                <w:color w:val="000000" w:themeColor="text1"/>
                <w:spacing w:val="0"/>
                <w:sz w:val="24"/>
                <w:highlight w:val="none"/>
                <w14:textFill>
                  <w14:solidFill>
                    <w14:schemeClr w14:val="tx1"/>
                  </w14:solidFill>
                </w14:textFill>
              </w:rPr>
              <w:t>生态环境分区管控符合性分析</w:t>
            </w:r>
          </w:p>
          <w:p w14:paraId="4EFEEA1B">
            <w:pPr>
              <w:autoSpaceDE w:val="0"/>
              <w:autoSpaceDN w:val="0"/>
              <w:spacing w:line="360" w:lineRule="auto"/>
              <w:ind w:firstLine="480" w:firstLineChars="200"/>
              <w:outlineLvl w:val="9"/>
              <w:rPr>
                <w:rFonts w:hint="eastAsia" w:ascii="Times New Roman" w:hAnsi="Times New Roman" w:eastAsia="宋体"/>
                <w:bCs/>
                <w:color w:val="000000" w:themeColor="text1"/>
                <w:spacing w:val="0"/>
                <w:sz w:val="24"/>
                <w:highlight w:val="none"/>
                <w:lang w:eastAsia="zh-CN"/>
                <w14:textFill>
                  <w14:solidFill>
                    <w14:schemeClr w14:val="tx1"/>
                  </w14:solidFill>
                </w14:textFill>
              </w:rPr>
            </w:pPr>
            <w:r>
              <w:rPr>
                <w:rFonts w:hint="eastAsia" w:ascii="Times New Roman" w:hAnsi="Times New Roman" w:eastAsia="宋体"/>
                <w:bCs/>
                <w:color w:val="000000" w:themeColor="text1"/>
                <w:spacing w:val="0"/>
                <w:sz w:val="24"/>
                <w:highlight w:val="none"/>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三线一单</w:t>
            </w:r>
            <w:r>
              <w:rPr>
                <w:rFonts w:hint="eastAsia" w:ascii="Times New Roman" w:hAnsi="Times New Roman" w:eastAsia="宋体"/>
                <w:bCs/>
                <w:color w:val="000000" w:themeColor="text1"/>
                <w:spacing w:val="0"/>
                <w:sz w:val="24"/>
                <w:highlight w:val="none"/>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是以改善环境质量为核心，将生态保护红线、环境质量底线、资源利用上线落实到不同的环境管控单元，并建立环境准入负面清单的环境分区管控体系。</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2024年9月12日</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固原市人民政府关于印发《固原市生态环境分区管控实施方案》的通知（固政发〔2024〕28号）</w:t>
            </w:r>
            <w:r>
              <w:rPr>
                <w:rFonts w:ascii="Times New Roman" w:hAnsi="Times New Roman" w:eastAsia="宋体"/>
                <w:bCs/>
                <w:color w:val="000000" w:themeColor="text1"/>
                <w:spacing w:val="0"/>
                <w:sz w:val="24"/>
                <w:highlight w:val="none"/>
                <w14:textFill>
                  <w14:solidFill>
                    <w14:schemeClr w14:val="tx1"/>
                  </w14:solidFill>
                </w14:textFill>
              </w:rPr>
              <w:t>，根据</w:t>
            </w:r>
            <w:r>
              <w:rPr>
                <w:rFonts w:ascii="Times New Roman" w:hAnsi="Times New Roman" w:eastAsia="宋体"/>
                <w:bCs/>
                <w:color w:val="000000" w:themeColor="text1"/>
                <w:spacing w:val="0"/>
                <w:sz w:val="24"/>
                <w:highlight w:val="none"/>
                <w:lang w:val="en-US" w:eastAsia="zh-CN"/>
                <w14:textFill>
                  <w14:solidFill>
                    <w14:schemeClr w14:val="tx1"/>
                  </w14:solidFill>
                </w14:textFill>
              </w:rPr>
              <w:t>固原市生态环境分区管控方案文本</w:t>
            </w:r>
            <w:r>
              <w:rPr>
                <w:rFonts w:hint="eastAsia" w:ascii="Times New Roman" w:hAnsi="Times New Roman" w:eastAsia="宋体"/>
                <w:bCs/>
                <w:color w:val="000000" w:themeColor="text1"/>
                <w:spacing w:val="0"/>
                <w:sz w:val="24"/>
                <w:highlight w:val="none"/>
                <w:lang w:eastAsia="zh-CN"/>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本项目与</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固原市</w:t>
            </w:r>
            <w:r>
              <w:rPr>
                <w:rFonts w:ascii="Times New Roman" w:hAnsi="Times New Roman" w:eastAsia="宋体"/>
                <w:bCs/>
                <w:color w:val="000000" w:themeColor="text1"/>
                <w:spacing w:val="0"/>
                <w:sz w:val="24"/>
                <w:highlight w:val="none"/>
                <w:lang w:val="en-US" w:eastAsia="zh-CN"/>
                <w14:textFill>
                  <w14:solidFill>
                    <w14:schemeClr w14:val="tx1"/>
                  </w14:solidFill>
                </w14:textFill>
              </w:rPr>
              <w:t>生态环境分区管控</w:t>
            </w:r>
            <w:r>
              <w:rPr>
                <w:rFonts w:ascii="Times New Roman" w:hAnsi="Times New Roman" w:eastAsia="宋体"/>
                <w:bCs/>
                <w:color w:val="000000" w:themeColor="text1"/>
                <w:spacing w:val="0"/>
                <w:sz w:val="24"/>
                <w:highlight w:val="none"/>
                <w14:textFill>
                  <w14:solidFill>
                    <w14:schemeClr w14:val="tx1"/>
                  </w14:solidFill>
                </w14:textFill>
              </w:rPr>
              <w:t>符合性分析见表1-2</w:t>
            </w:r>
            <w:r>
              <w:rPr>
                <w:rFonts w:hint="eastAsia" w:ascii="Times New Roman" w:hAnsi="Times New Roman" w:eastAsia="宋体"/>
                <w:bCs/>
                <w:color w:val="000000" w:themeColor="text1"/>
                <w:spacing w:val="0"/>
                <w:sz w:val="24"/>
                <w:highlight w:val="none"/>
                <w:lang w:eastAsia="zh-CN"/>
                <w14:textFill>
                  <w14:solidFill>
                    <w14:schemeClr w14:val="tx1"/>
                  </w14:solidFill>
                </w14:textFill>
              </w:rPr>
              <w:t>。</w:t>
            </w:r>
          </w:p>
          <w:p w14:paraId="2E89AE9A">
            <w:pPr>
              <w:autoSpaceDE w:val="0"/>
              <w:autoSpaceDN w:val="0"/>
              <w:spacing w:line="360" w:lineRule="auto"/>
              <w:jc w:val="center"/>
              <w:outlineLvl w:val="9"/>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表1-2  项目与固原市生态环境分区管控符合性分析</w:t>
            </w:r>
          </w:p>
          <w:tbl>
            <w:tblPr>
              <w:tblStyle w:val="26"/>
              <w:tblW w:w="481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663"/>
              <w:gridCol w:w="6097"/>
              <w:gridCol w:w="734"/>
            </w:tblGrid>
            <w:tr w14:paraId="3D28B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18" w:type="pct"/>
                  <w:gridSpan w:val="2"/>
                  <w:vAlign w:val="center"/>
                </w:tcPr>
                <w:p w14:paraId="141BE202">
                  <w:pPr>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hint="eastAsia" w:ascii="Times New Roman" w:hAnsi="Times New Roman" w:eastAsia="宋体"/>
                      <w:b/>
                      <w:color w:val="000000" w:themeColor="text1"/>
                      <w:spacing w:val="0"/>
                      <w:szCs w:val="21"/>
                      <w:highlight w:val="none"/>
                      <w:lang w:val="en-US" w:eastAsia="zh-CN"/>
                      <w14:textFill>
                        <w14:solidFill>
                          <w14:schemeClr w14:val="tx1"/>
                        </w14:solidFill>
                      </w14:textFill>
                    </w:rPr>
                    <w:t>固原市</w:t>
                  </w:r>
                  <w:r>
                    <w:rPr>
                      <w:rFonts w:ascii="Times New Roman" w:hAnsi="Times New Roman" w:eastAsia="宋体"/>
                      <w:b/>
                      <w:color w:val="000000" w:themeColor="text1"/>
                      <w:spacing w:val="0"/>
                      <w:szCs w:val="21"/>
                      <w:highlight w:val="none"/>
                      <w14:textFill>
                        <w14:solidFill>
                          <w14:schemeClr w14:val="tx1"/>
                        </w14:solidFill>
                      </w14:textFill>
                    </w:rPr>
                    <w:t>生态环境分区管控要求</w:t>
                  </w:r>
                </w:p>
              </w:tc>
              <w:tc>
                <w:tcPr>
                  <w:tcW w:w="3643" w:type="pct"/>
                  <w:vAlign w:val="center"/>
                </w:tcPr>
                <w:p w14:paraId="3A13503B">
                  <w:pPr>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本项目情况</w:t>
                  </w:r>
                </w:p>
              </w:tc>
              <w:tc>
                <w:tcPr>
                  <w:tcW w:w="438" w:type="pct"/>
                  <w:vAlign w:val="center"/>
                </w:tcPr>
                <w:p w14:paraId="71FC1186">
                  <w:pPr>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符合情况</w:t>
                  </w:r>
                </w:p>
              </w:tc>
            </w:tr>
            <w:tr w14:paraId="3E71F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pct"/>
                  <w:gridSpan w:val="2"/>
                  <w:vAlign w:val="center"/>
                </w:tcPr>
                <w:p w14:paraId="26DA7419">
                  <w:pPr>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生态保护红线</w:t>
                  </w:r>
                </w:p>
              </w:tc>
              <w:tc>
                <w:tcPr>
                  <w:tcW w:w="3643" w:type="pct"/>
                  <w:vAlign w:val="center"/>
                </w:tcPr>
                <w:p w14:paraId="37183D7D">
                  <w:pPr>
                    <w:jc w:val="left"/>
                    <w:outlineLvl w:val="9"/>
                    <w:rPr>
                      <w:rFonts w:ascii="Times New Roman" w:hAnsi="Times New Roman" w:eastAsia="宋体"/>
                      <w:b/>
                      <w:color w:val="000000" w:themeColor="text1"/>
                      <w:spacing w:val="0"/>
                      <w:szCs w:val="21"/>
                      <w:highlight w:val="none"/>
                      <w14:textFill>
                        <w14:solidFill>
                          <w14:schemeClr w14:val="tx1"/>
                        </w14:solidFill>
                      </w14:textFill>
                    </w:rPr>
                  </w:pPr>
                  <w:r>
                    <w:rPr>
                      <w:rFonts w:hint="eastAsia" w:ascii="Times New Roman" w:hAnsi="Times New Roman" w:eastAsia="宋体"/>
                      <w:b w:val="0"/>
                      <w:bCs/>
                      <w:color w:val="000000" w:themeColor="text1"/>
                      <w:spacing w:val="0"/>
                      <w:szCs w:val="21"/>
                      <w:highlight w:val="none"/>
                      <w14:textFill>
                        <w14:solidFill>
                          <w14:schemeClr w14:val="tx1"/>
                        </w14:solidFill>
                      </w14:textFill>
                    </w:rPr>
                    <w:t>本项目位于</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宁夏回族自治区固原市原州区</w:t>
                  </w:r>
                  <w:r>
                    <w:rPr>
                      <w:rFonts w:hint="eastAsia" w:ascii="Times New Roman" w:hAnsi="Times New Roman" w:eastAsia="宋体"/>
                      <w:b w:val="0"/>
                      <w:bCs/>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b w:val="0"/>
                      <w:bCs/>
                      <w:color w:val="000000" w:themeColor="text1"/>
                      <w:spacing w:val="0"/>
                      <w:szCs w:val="21"/>
                      <w:highlight w:val="none"/>
                      <w14:textFill>
                        <w14:solidFill>
                          <w14:schemeClr w14:val="tx1"/>
                        </w14:solidFill>
                      </w14:textFill>
                    </w:rPr>
                    <w:t>根据《</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固原市</w:t>
                  </w:r>
                  <w:r>
                    <w:rPr>
                      <w:rFonts w:hint="eastAsia" w:ascii="Times New Roman" w:hAnsi="Times New Roman" w:eastAsia="宋体"/>
                      <w:b w:val="0"/>
                      <w:bCs/>
                      <w:color w:val="000000" w:themeColor="text1"/>
                      <w:spacing w:val="0"/>
                      <w:szCs w:val="21"/>
                      <w:highlight w:val="none"/>
                      <w:lang w:eastAsia="zh-CN"/>
                      <w14:textFill>
                        <w14:solidFill>
                          <w14:schemeClr w14:val="tx1"/>
                        </w14:solidFill>
                      </w14:textFill>
                    </w:rPr>
                    <w:t>生态保护红线</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图</w:t>
                  </w:r>
                  <w:r>
                    <w:rPr>
                      <w:rFonts w:hint="eastAsia" w:ascii="Times New Roman" w:hAnsi="Times New Roman" w:eastAsia="宋体"/>
                      <w:b w:val="0"/>
                      <w:bCs/>
                      <w:color w:val="000000" w:themeColor="text1"/>
                      <w:spacing w:val="0"/>
                      <w:szCs w:val="21"/>
                      <w:highlight w:val="none"/>
                      <w14:textFill>
                        <w14:solidFill>
                          <w14:schemeClr w14:val="tx1"/>
                        </w14:solidFill>
                      </w14:textFill>
                    </w:rPr>
                    <w:t>》</w:t>
                  </w:r>
                  <w:r>
                    <w:rPr>
                      <w:rFonts w:hint="eastAsia" w:ascii="Times New Roman" w:hAnsi="Times New Roman" w:eastAsia="宋体"/>
                      <w:b w:val="0"/>
                      <w:bCs/>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b w:val="0"/>
                      <w:bCs/>
                      <w:color w:val="000000" w:themeColor="text1"/>
                      <w:spacing w:val="0"/>
                      <w:szCs w:val="21"/>
                      <w:highlight w:val="none"/>
                      <w14:textFill>
                        <w14:solidFill>
                          <w14:schemeClr w14:val="tx1"/>
                        </w14:solidFill>
                      </w14:textFill>
                    </w:rPr>
                    <w:t>项目不在生态保护红线范围之内</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w:t>
                  </w:r>
                  <w:r>
                    <w:rPr>
                      <w:rFonts w:hint="eastAsia" w:ascii="Times New Roman" w:hAnsi="Times New Roman" w:eastAsia="宋体"/>
                      <w:b w:val="0"/>
                      <w:bCs/>
                      <w:color w:val="000000" w:themeColor="text1"/>
                      <w:spacing w:val="0"/>
                      <w:szCs w:val="21"/>
                      <w:highlight w:val="none"/>
                      <w14:textFill>
                        <w14:solidFill>
                          <w14:schemeClr w14:val="tx1"/>
                        </w14:solidFill>
                      </w14:textFill>
                    </w:rPr>
                    <w:t>项目与</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固原市生态保护红线位置关系见</w:t>
                  </w:r>
                  <w:r>
                    <w:rPr>
                      <w:rFonts w:hint="eastAsia" w:ascii="Times New Roman" w:hAnsi="Times New Roman" w:eastAsia="宋体"/>
                      <w:b/>
                      <w:bCs w:val="0"/>
                      <w:color w:val="000000" w:themeColor="text1"/>
                      <w:spacing w:val="0"/>
                      <w:szCs w:val="21"/>
                      <w:highlight w:val="none"/>
                      <w:lang w:val="en-US" w:eastAsia="zh-CN"/>
                      <w14:textFill>
                        <w14:solidFill>
                          <w14:schemeClr w14:val="tx1"/>
                        </w14:solidFill>
                      </w14:textFill>
                    </w:rPr>
                    <w:t>附图3</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w:t>
                  </w:r>
                </w:p>
              </w:tc>
              <w:tc>
                <w:tcPr>
                  <w:tcW w:w="438" w:type="pct"/>
                  <w:vAlign w:val="center"/>
                </w:tcPr>
                <w:p w14:paraId="5D0A12EF">
                  <w:pPr>
                    <w:jc w:val="center"/>
                    <w:outlineLvl w:val="9"/>
                    <w:rPr>
                      <w:rFonts w:hint="eastAsia" w:ascii="Times New Roman" w:hAnsi="Times New Roman" w:eastAsia="宋体"/>
                      <w:b/>
                      <w:color w:val="000000" w:themeColor="text1"/>
                      <w:spacing w:val="0"/>
                      <w:szCs w:val="21"/>
                      <w:highlight w:val="none"/>
                      <w:lang w:eastAsia="zh-CN"/>
                      <w14:textFill>
                        <w14:solidFill>
                          <w14:schemeClr w14:val="tx1"/>
                        </w14:solidFill>
                      </w14:textFill>
                    </w:rPr>
                  </w:pPr>
                  <w:r>
                    <w:rPr>
                      <w:rFonts w:hint="eastAsia"/>
                      <w:bCs/>
                      <w:color w:val="000000" w:themeColor="text1"/>
                      <w:spacing w:val="0"/>
                      <w:szCs w:val="21"/>
                      <w:highlight w:val="none"/>
                      <w:lang w:val="en-US" w:eastAsia="zh-CN"/>
                      <w14:textFill>
                        <w14:solidFill>
                          <w14:schemeClr w14:val="tx1"/>
                        </w14:solidFill>
                      </w14:textFill>
                    </w:rPr>
                    <w:t>不涉及</w:t>
                  </w:r>
                </w:p>
              </w:tc>
            </w:tr>
            <w:tr w14:paraId="4A965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pct"/>
                  <w:vMerge w:val="restart"/>
                  <w:vAlign w:val="center"/>
                </w:tcPr>
                <w:p w14:paraId="41D62E17">
                  <w:pPr>
                    <w:widowControl/>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环境质量底线及分区管控</w:t>
                  </w:r>
                </w:p>
              </w:tc>
              <w:tc>
                <w:tcPr>
                  <w:tcW w:w="396" w:type="pct"/>
                  <w:vAlign w:val="center"/>
                </w:tcPr>
                <w:p w14:paraId="69C1D45C">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大气环境</w:t>
                  </w:r>
                </w:p>
              </w:tc>
              <w:tc>
                <w:tcPr>
                  <w:tcW w:w="3643" w:type="pct"/>
                  <w:vAlign w:val="center"/>
                </w:tcPr>
                <w:p w14:paraId="51BA8E22">
                  <w:pPr>
                    <w:jc w:val="left"/>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本项目位于</w:t>
                  </w:r>
                  <w:r>
                    <w:rPr>
                      <w:rFonts w:hint="eastAsia" w:ascii="Times New Roman" w:hAnsi="Times New Roman" w:eastAsia="宋体"/>
                      <w:bCs/>
                      <w:color w:val="000000" w:themeColor="text1"/>
                      <w:spacing w:val="0"/>
                      <w:szCs w:val="21"/>
                      <w:highlight w:val="none"/>
                      <w:lang w:val="en-US" w:eastAsia="zh-CN"/>
                      <w14:textFill>
                        <w14:solidFill>
                          <w14:schemeClr w14:val="tx1"/>
                        </w14:solidFill>
                      </w14:textFill>
                    </w:rPr>
                    <w:t>大气环境布局敏感重点管控区和一般</w:t>
                  </w:r>
                  <w:r>
                    <w:rPr>
                      <w:rFonts w:hint="eastAsia" w:ascii="Times New Roman" w:hAnsi="Times New Roman" w:eastAsia="宋体"/>
                      <w:bCs/>
                      <w:color w:val="000000" w:themeColor="text1"/>
                      <w:spacing w:val="0"/>
                      <w:szCs w:val="21"/>
                      <w:highlight w:val="none"/>
                      <w14:textFill>
                        <w14:solidFill>
                          <w14:schemeClr w14:val="tx1"/>
                        </w14:solidFill>
                      </w14:textFill>
                    </w:rPr>
                    <w:t>管控区</w:t>
                  </w:r>
                  <w:r>
                    <w:rPr>
                      <w:rFonts w:ascii="Times New Roman" w:hAnsi="Times New Roman" w:eastAsia="宋体"/>
                      <w:bCs/>
                      <w:color w:val="000000" w:themeColor="text1"/>
                      <w:spacing w:val="0"/>
                      <w:szCs w:val="21"/>
                      <w:highlight w:val="none"/>
                      <w14:textFill>
                        <w14:solidFill>
                          <w14:schemeClr w14:val="tx1"/>
                        </w14:solidFill>
                      </w14:textFill>
                    </w:rPr>
                    <w:t>。</w:t>
                  </w:r>
                </w:p>
                <w:p w14:paraId="61E44A3F">
                  <w:pPr>
                    <w:jc w:val="left"/>
                    <w:outlineLvl w:val="9"/>
                    <w:rPr>
                      <w:rFonts w:hint="default" w:ascii="Times New Roman" w:hAnsi="Times New Roman" w:eastAsia="宋体"/>
                      <w:bCs/>
                      <w:color w:val="000000" w:themeColor="text1"/>
                      <w:spacing w:val="0"/>
                      <w:szCs w:val="21"/>
                      <w:highlight w:val="none"/>
                      <w:lang w:val="en-US"/>
                      <w14:textFill>
                        <w14:solidFill>
                          <w14:schemeClr w14:val="tx1"/>
                        </w14:solidFill>
                      </w14:textFill>
                    </w:rPr>
                  </w:pPr>
                  <w:r>
                    <w:rPr>
                      <w:rFonts w:hint="eastAsia" w:ascii="Times New Roman" w:hAnsi="Times New Roman" w:eastAsia="宋体"/>
                      <w:b/>
                      <w:bCs w:val="0"/>
                      <w:color w:val="000000" w:themeColor="text1"/>
                      <w:spacing w:val="0"/>
                      <w:szCs w:val="21"/>
                      <w:highlight w:val="none"/>
                      <w:lang w:val="en-US" w:eastAsia="zh-CN"/>
                      <w14:textFill>
                        <w14:solidFill>
                          <w14:schemeClr w14:val="tx1"/>
                        </w14:solidFill>
                      </w14:textFill>
                    </w:rPr>
                    <w:t>布局敏感重点管控区要求：</w:t>
                  </w:r>
                  <w:r>
                    <w:rPr>
                      <w:rFonts w:hint="eastAsia" w:ascii="Times New Roman" w:hAnsi="Times New Roman" w:eastAsia="宋体"/>
                      <w:bCs/>
                      <w:color w:val="000000" w:themeColor="text1"/>
                      <w:spacing w:val="0"/>
                      <w:szCs w:val="21"/>
                      <w:highlight w:val="none"/>
                      <w:lang w:val="en-US" w:eastAsia="zh-CN"/>
                      <w14:textFill>
                        <w14:solidFill>
                          <w14:schemeClr w14:val="tx1"/>
                        </w14:solidFill>
                      </w14:textFill>
                    </w:rPr>
                    <w:t>严格限制新增重点污染物排放项目，煤电、化工、钢铁、有色金属冶炼、建材等高排放行业新、改、扩建项目，实行重点污染物减量置换。</w:t>
                  </w:r>
                </w:p>
                <w:p w14:paraId="082BABE1">
                  <w:pPr>
                    <w:widowControl/>
                    <w:jc w:val="left"/>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b/>
                      <w:color w:val="000000" w:themeColor="text1"/>
                      <w:spacing w:val="0"/>
                      <w:szCs w:val="21"/>
                      <w:highlight w:val="none"/>
                      <w:lang w:val="en-US" w:eastAsia="zh-CN"/>
                      <w14:textFill>
                        <w14:solidFill>
                          <w14:schemeClr w14:val="tx1"/>
                        </w14:solidFill>
                      </w14:textFill>
                    </w:rPr>
                    <w:t>一般</w:t>
                  </w:r>
                  <w:r>
                    <w:rPr>
                      <w:rFonts w:hint="eastAsia" w:ascii="Times New Roman" w:hAnsi="Times New Roman" w:eastAsia="宋体"/>
                      <w:b/>
                      <w:color w:val="000000" w:themeColor="text1"/>
                      <w:spacing w:val="0"/>
                      <w:szCs w:val="21"/>
                      <w:highlight w:val="none"/>
                      <w14:textFill>
                        <w14:solidFill>
                          <w14:schemeClr w14:val="tx1"/>
                        </w14:solidFill>
                      </w14:textFill>
                    </w:rPr>
                    <w:t>管控区</w:t>
                  </w:r>
                  <w:r>
                    <w:rPr>
                      <w:rFonts w:ascii="Times New Roman" w:hAnsi="Times New Roman" w:eastAsia="宋体"/>
                      <w:b/>
                      <w:color w:val="000000" w:themeColor="text1"/>
                      <w:spacing w:val="0"/>
                      <w:szCs w:val="21"/>
                      <w:highlight w:val="none"/>
                      <w14:textFill>
                        <w14:solidFill>
                          <w14:schemeClr w14:val="tx1"/>
                        </w14:solidFill>
                      </w14:textFill>
                    </w:rPr>
                    <w:t>要求：</w:t>
                  </w:r>
                  <w:r>
                    <w:rPr>
                      <w:rFonts w:hint="eastAsia" w:ascii="Times New Roman" w:hAnsi="Times New Roman" w:eastAsia="宋体" w:cs="宋体"/>
                      <w:color w:val="000000" w:themeColor="text1"/>
                      <w:spacing w:val="0"/>
                      <w:kern w:val="0"/>
                      <w:szCs w:val="21"/>
                      <w:highlight w:val="none"/>
                      <w:lang w:val="en-US" w:eastAsia="zh-CN" w:bidi="ar"/>
                      <w14:textFill>
                        <w14:solidFill>
                          <w14:schemeClr w14:val="tx1"/>
                        </w14:solidFill>
                      </w14:textFill>
                    </w:rPr>
                    <w:t>落实《中华人民共和国大气污染防治</w:t>
                  </w:r>
                  <w:r>
                    <w:rPr>
                      <w:rFonts w:hint="eastAsia" w:ascii="Times New Roman" w:hAnsi="Times New Roman" w:eastAsia="宋体" w:cs="宋体"/>
                      <w:color w:val="000000" w:themeColor="text1"/>
                      <w:spacing w:val="0"/>
                      <w:kern w:val="0"/>
                      <w:szCs w:val="21"/>
                      <w:highlight w:val="none"/>
                      <w:lang w:bidi="ar"/>
                      <w14:textFill>
                        <w14:solidFill>
                          <w14:schemeClr w14:val="tx1"/>
                        </w14:solidFill>
                      </w14:textFill>
                    </w:rPr>
                    <w:t>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14:paraId="041E1311">
                  <w:pPr>
                    <w:jc w:val="left"/>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b/>
                      <w:bCs w:val="0"/>
                      <w:color w:val="000000" w:themeColor="text1"/>
                      <w:spacing w:val="0"/>
                      <w:szCs w:val="21"/>
                      <w:highlight w:val="none"/>
                      <w:lang w:val="en-US" w:eastAsia="zh-CN"/>
                      <w14:textFill>
                        <w14:solidFill>
                          <w14:schemeClr w14:val="tx1"/>
                        </w14:solidFill>
                      </w14:textFill>
                    </w:rPr>
                    <w:t>符合性分析：</w:t>
                  </w:r>
                  <w:r>
                    <w:rPr>
                      <w:rFonts w:ascii="Times New Roman" w:hAnsi="Times New Roman" w:eastAsia="宋体"/>
                      <w:b w:val="0"/>
                      <w:bCs/>
                      <w:color w:val="000000" w:themeColor="text1"/>
                      <w:spacing w:val="0"/>
                      <w:szCs w:val="21"/>
                      <w:highlight w:val="none"/>
                      <w14:textFill>
                        <w14:solidFill>
                          <w14:schemeClr w14:val="tx1"/>
                        </w14:solidFill>
                      </w14:textFill>
                    </w:rPr>
                    <w:t>本项目</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为输变电工程，</w:t>
                  </w:r>
                  <w:r>
                    <w:rPr>
                      <w:rFonts w:ascii="Times New Roman" w:hAnsi="Times New Roman" w:eastAsia="宋体"/>
                      <w:b w:val="0"/>
                      <w:bCs/>
                      <w:color w:val="000000" w:themeColor="text1"/>
                      <w:spacing w:val="0"/>
                      <w:szCs w:val="21"/>
                      <w:highlight w:val="none"/>
                      <w14:textFill>
                        <w14:solidFill>
                          <w14:schemeClr w14:val="tx1"/>
                        </w14:solidFill>
                      </w14:textFill>
                    </w:rPr>
                    <w:t>运行期不产生废气，对区域环境空气质量无影响。因此，本项目的建设符合</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管控</w:t>
                  </w:r>
                  <w:r>
                    <w:rPr>
                      <w:rFonts w:ascii="Times New Roman" w:hAnsi="Times New Roman" w:eastAsia="宋体"/>
                      <w:b w:val="0"/>
                      <w:bCs/>
                      <w:color w:val="000000" w:themeColor="text1"/>
                      <w:spacing w:val="0"/>
                      <w:szCs w:val="21"/>
                      <w:highlight w:val="none"/>
                      <w14:textFill>
                        <w14:solidFill>
                          <w14:schemeClr w14:val="tx1"/>
                        </w14:solidFill>
                      </w14:textFill>
                    </w:rPr>
                    <w:t>要求。本项目与</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固原市</w:t>
                  </w:r>
                  <w:r>
                    <w:rPr>
                      <w:rFonts w:ascii="Times New Roman" w:hAnsi="Times New Roman" w:eastAsia="宋体"/>
                      <w:b w:val="0"/>
                      <w:bCs/>
                      <w:color w:val="000000" w:themeColor="text1"/>
                      <w:spacing w:val="0"/>
                      <w:szCs w:val="21"/>
                      <w:highlight w:val="none"/>
                      <w14:textFill>
                        <w14:solidFill>
                          <w14:schemeClr w14:val="tx1"/>
                        </w14:solidFill>
                      </w14:textFill>
                    </w:rPr>
                    <w:t>大气环境分区管控位置</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关系</w:t>
                  </w:r>
                  <w:r>
                    <w:rPr>
                      <w:rFonts w:ascii="Times New Roman" w:hAnsi="Times New Roman" w:eastAsia="宋体"/>
                      <w:b w:val="0"/>
                      <w:bCs/>
                      <w:color w:val="000000" w:themeColor="text1"/>
                      <w:spacing w:val="0"/>
                      <w:szCs w:val="21"/>
                      <w:highlight w:val="none"/>
                      <w14:textFill>
                        <w14:solidFill>
                          <w14:schemeClr w14:val="tx1"/>
                        </w14:solidFill>
                      </w14:textFill>
                    </w:rPr>
                    <w:t>见</w:t>
                  </w:r>
                  <w:r>
                    <w:rPr>
                      <w:rFonts w:ascii="Times New Roman" w:hAnsi="Times New Roman" w:eastAsia="宋体"/>
                      <w:b/>
                      <w:color w:val="000000" w:themeColor="text1"/>
                      <w:spacing w:val="0"/>
                      <w:szCs w:val="21"/>
                      <w:highlight w:val="none"/>
                      <w14:textFill>
                        <w14:solidFill>
                          <w14:schemeClr w14:val="tx1"/>
                        </w14:solidFill>
                      </w14:textFill>
                    </w:rPr>
                    <w:t>附图</w:t>
                  </w:r>
                  <w:r>
                    <w:rPr>
                      <w:rFonts w:hint="eastAsia" w:ascii="Times New Roman" w:hAnsi="Times New Roman" w:eastAsia="宋体"/>
                      <w:b/>
                      <w:color w:val="000000" w:themeColor="text1"/>
                      <w:spacing w:val="0"/>
                      <w:szCs w:val="21"/>
                      <w:highlight w:val="none"/>
                      <w:lang w:val="en-US" w:eastAsia="zh-CN"/>
                      <w14:textFill>
                        <w14:solidFill>
                          <w14:schemeClr w14:val="tx1"/>
                        </w14:solidFill>
                      </w14:textFill>
                    </w:rPr>
                    <w:t>3</w:t>
                  </w:r>
                  <w:r>
                    <w:rPr>
                      <w:rFonts w:ascii="Times New Roman" w:hAnsi="Times New Roman" w:eastAsia="宋体"/>
                      <w:bCs/>
                      <w:color w:val="000000" w:themeColor="text1"/>
                      <w:spacing w:val="0"/>
                      <w:szCs w:val="21"/>
                      <w:highlight w:val="none"/>
                      <w14:textFill>
                        <w14:solidFill>
                          <w14:schemeClr w14:val="tx1"/>
                        </w14:solidFill>
                      </w14:textFill>
                    </w:rPr>
                    <w:t>。</w:t>
                  </w:r>
                </w:p>
              </w:tc>
              <w:tc>
                <w:tcPr>
                  <w:tcW w:w="438" w:type="pct"/>
                  <w:vMerge w:val="restart"/>
                  <w:vAlign w:val="center"/>
                </w:tcPr>
                <w:p w14:paraId="661C7AB8">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符合</w:t>
                  </w:r>
                </w:p>
              </w:tc>
            </w:tr>
            <w:tr w14:paraId="4A103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pct"/>
                  <w:vMerge w:val="continue"/>
                  <w:vAlign w:val="center"/>
                </w:tcPr>
                <w:p w14:paraId="4E02299D">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c>
                <w:tcPr>
                  <w:tcW w:w="396" w:type="pct"/>
                  <w:vAlign w:val="center"/>
                </w:tcPr>
                <w:p w14:paraId="3B750051">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水环境</w:t>
                  </w:r>
                </w:p>
              </w:tc>
              <w:tc>
                <w:tcPr>
                  <w:tcW w:w="3643" w:type="pct"/>
                  <w:vAlign w:val="center"/>
                </w:tcPr>
                <w:p w14:paraId="09FDABE9">
                  <w:pPr>
                    <w:jc w:val="left"/>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本项目位于水环境一般管控区。</w:t>
                  </w:r>
                </w:p>
                <w:p w14:paraId="0232191D">
                  <w:pPr>
                    <w:jc w:val="left"/>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一般管控区要求：</w:t>
                  </w:r>
                  <w:r>
                    <w:rPr>
                      <w:rFonts w:ascii="Times New Roman" w:hAnsi="Times New Roman" w:eastAsia="宋体"/>
                      <w:b w:val="0"/>
                      <w:bCs/>
                      <w:color w:val="000000" w:themeColor="text1"/>
                      <w:spacing w:val="0"/>
                      <w:szCs w:val="21"/>
                      <w:highlight w:val="none"/>
                      <w14:textFill>
                        <w14:solidFill>
                          <w14:schemeClr w14:val="tx1"/>
                        </w14:solidFill>
                      </w14:textFill>
                    </w:rPr>
                    <w:t>对于水环境优先保护区、重点管控区以外，现状水质达标的控</w:t>
                  </w:r>
                  <w:r>
                    <w:rPr>
                      <w:rFonts w:ascii="Times New Roman" w:hAnsi="Times New Roman" w:eastAsia="宋体"/>
                      <w:b w:val="0"/>
                      <w:bCs/>
                      <w:color w:val="000000" w:themeColor="text1"/>
                      <w:spacing w:val="0"/>
                      <w:szCs w:val="21"/>
                      <w:highlight w:val="none"/>
                      <w:lang w:val="en-US" w:eastAsia="zh-CN"/>
                      <w14:textFill>
                        <w14:solidFill>
                          <w14:schemeClr w14:val="tx1"/>
                        </w14:solidFill>
                      </w14:textFill>
                    </w:rPr>
                    <w:t>制断面所对应的一般管控区，应落实《中华人民共和国水污染防治法》</w:t>
                  </w:r>
                  <w:r>
                    <w:rPr>
                      <w:rFonts w:ascii="Times New Roman" w:hAnsi="Times New Roman" w:eastAsia="宋体"/>
                      <w:b w:val="0"/>
                      <w:bCs/>
                      <w:color w:val="000000" w:themeColor="text1"/>
                      <w:spacing w:val="0"/>
                      <w:szCs w:val="21"/>
                      <w:highlight w:val="none"/>
                      <w14:textFill>
                        <w14:solidFill>
                          <w14:schemeClr w14:val="tx1"/>
                        </w14:solidFill>
                      </w14:textFill>
                    </w:rPr>
                    <w:t>等相关法律法规的总体要求，加强水资源节约和保护，积极推动水生态修复治理，持续深入推进水污染防治，改善水环境质量。</w:t>
                  </w:r>
                </w:p>
                <w:p w14:paraId="05A8D963">
                  <w:pPr>
                    <w:jc w:val="left"/>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b/>
                      <w:bCs w:val="0"/>
                      <w:color w:val="000000" w:themeColor="text1"/>
                      <w:spacing w:val="0"/>
                      <w:szCs w:val="21"/>
                      <w:highlight w:val="none"/>
                      <w:lang w:val="en-US" w:eastAsia="zh-CN"/>
                      <w14:textFill>
                        <w14:solidFill>
                          <w14:schemeClr w14:val="tx1"/>
                        </w14:solidFill>
                      </w14:textFill>
                    </w:rPr>
                    <w:t>符合性分析：</w:t>
                  </w:r>
                  <w:r>
                    <w:rPr>
                      <w:rFonts w:ascii="Times New Roman" w:hAnsi="Times New Roman" w:eastAsia="宋体"/>
                      <w:b w:val="0"/>
                      <w:bCs/>
                      <w:color w:val="000000" w:themeColor="text1"/>
                      <w:spacing w:val="0"/>
                      <w:szCs w:val="21"/>
                      <w:highlight w:val="none"/>
                      <w14:textFill>
                        <w14:solidFill>
                          <w14:schemeClr w14:val="tx1"/>
                        </w14:solidFill>
                      </w14:textFill>
                    </w:rPr>
                    <w:t>本项目运行期</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少量</w:t>
                  </w:r>
                  <w:r>
                    <w:rPr>
                      <w:rFonts w:hint="eastAsia" w:ascii="Times New Roman" w:hAnsi="Times New Roman" w:eastAsia="宋体"/>
                      <w:b w:val="0"/>
                      <w:bCs/>
                      <w:color w:val="000000" w:themeColor="text1"/>
                      <w:spacing w:val="0"/>
                      <w:szCs w:val="21"/>
                      <w:highlight w:val="none"/>
                      <w14:textFill>
                        <w14:solidFill>
                          <w14:schemeClr w14:val="tx1"/>
                        </w14:solidFill>
                      </w14:textFill>
                    </w:rPr>
                    <w:t>生活污水经化粪池处理后</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定期清掏，不外排，</w:t>
                  </w:r>
                  <w:r>
                    <w:rPr>
                      <w:rFonts w:hint="eastAsia" w:ascii="Times New Roman" w:hAnsi="Times New Roman" w:eastAsia="宋体"/>
                      <w:b w:val="0"/>
                      <w:bCs/>
                      <w:color w:val="000000" w:themeColor="text1"/>
                      <w:spacing w:val="0"/>
                      <w:szCs w:val="21"/>
                      <w:highlight w:val="none"/>
                      <w14:textFill>
                        <w14:solidFill>
                          <w14:schemeClr w14:val="tx1"/>
                        </w14:solidFill>
                      </w14:textFill>
                    </w:rPr>
                    <w:t>对区域水环境</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质量</w:t>
                  </w:r>
                  <w:r>
                    <w:rPr>
                      <w:rFonts w:hint="eastAsia" w:ascii="Times New Roman" w:hAnsi="Times New Roman" w:eastAsia="宋体"/>
                      <w:b w:val="0"/>
                      <w:bCs/>
                      <w:color w:val="000000" w:themeColor="text1"/>
                      <w:spacing w:val="0"/>
                      <w:szCs w:val="21"/>
                      <w:highlight w:val="none"/>
                      <w14:textFill>
                        <w14:solidFill>
                          <w14:schemeClr w14:val="tx1"/>
                        </w14:solidFill>
                      </w14:textFill>
                    </w:rPr>
                    <w:t>无影响</w:t>
                  </w:r>
                  <w:r>
                    <w:rPr>
                      <w:rFonts w:ascii="Times New Roman" w:hAnsi="Times New Roman" w:eastAsia="宋体"/>
                      <w:b w:val="0"/>
                      <w:bCs/>
                      <w:color w:val="000000" w:themeColor="text1"/>
                      <w:spacing w:val="0"/>
                      <w:kern w:val="0"/>
                      <w:szCs w:val="21"/>
                      <w:highlight w:val="none"/>
                      <w:lang w:bidi="ar"/>
                      <w14:textFill>
                        <w14:solidFill>
                          <w14:schemeClr w14:val="tx1"/>
                        </w14:solidFill>
                      </w14:textFill>
                    </w:rPr>
                    <w:t>。</w:t>
                  </w:r>
                  <w:r>
                    <w:rPr>
                      <w:rFonts w:ascii="Times New Roman" w:hAnsi="Times New Roman" w:eastAsia="宋体"/>
                      <w:b w:val="0"/>
                      <w:bCs/>
                      <w:color w:val="000000" w:themeColor="text1"/>
                      <w:spacing w:val="0"/>
                      <w:szCs w:val="21"/>
                      <w:highlight w:val="none"/>
                      <w14:textFill>
                        <w14:solidFill>
                          <w14:schemeClr w14:val="tx1"/>
                        </w14:solidFill>
                      </w14:textFill>
                    </w:rPr>
                    <w:t>因此，本项目的建设符合</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水环境</w:t>
                  </w:r>
                  <w:r>
                    <w:rPr>
                      <w:rFonts w:ascii="Times New Roman" w:hAnsi="Times New Roman" w:eastAsia="宋体"/>
                      <w:b w:val="0"/>
                      <w:bCs/>
                      <w:color w:val="000000" w:themeColor="text1"/>
                      <w:spacing w:val="0"/>
                      <w:szCs w:val="21"/>
                      <w:highlight w:val="none"/>
                      <w14:textFill>
                        <w14:solidFill>
                          <w14:schemeClr w14:val="tx1"/>
                        </w14:solidFill>
                      </w14:textFill>
                    </w:rPr>
                    <w:t>一般管控区要求。本项目与</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固原</w:t>
                  </w:r>
                  <w:r>
                    <w:rPr>
                      <w:rFonts w:ascii="Times New Roman" w:hAnsi="Times New Roman" w:eastAsia="宋体"/>
                      <w:b w:val="0"/>
                      <w:bCs/>
                      <w:color w:val="000000" w:themeColor="text1"/>
                      <w:spacing w:val="0"/>
                      <w:szCs w:val="21"/>
                      <w:highlight w:val="none"/>
                      <w14:textFill>
                        <w14:solidFill>
                          <w14:schemeClr w14:val="tx1"/>
                        </w14:solidFill>
                      </w14:textFill>
                    </w:rPr>
                    <w:t>市水环境分区管控位置</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关系</w:t>
                  </w:r>
                  <w:r>
                    <w:rPr>
                      <w:rFonts w:ascii="Times New Roman" w:hAnsi="Times New Roman" w:eastAsia="宋体"/>
                      <w:b w:val="0"/>
                      <w:bCs/>
                      <w:color w:val="000000" w:themeColor="text1"/>
                      <w:spacing w:val="0"/>
                      <w:szCs w:val="21"/>
                      <w:highlight w:val="none"/>
                      <w14:textFill>
                        <w14:solidFill>
                          <w14:schemeClr w14:val="tx1"/>
                        </w14:solidFill>
                      </w14:textFill>
                    </w:rPr>
                    <w:t>见</w:t>
                  </w:r>
                  <w:r>
                    <w:rPr>
                      <w:rFonts w:ascii="Times New Roman" w:hAnsi="Times New Roman" w:eastAsia="宋体"/>
                      <w:b/>
                      <w:color w:val="000000" w:themeColor="text1"/>
                      <w:spacing w:val="0"/>
                      <w:szCs w:val="21"/>
                      <w:highlight w:val="none"/>
                      <w14:textFill>
                        <w14:solidFill>
                          <w14:schemeClr w14:val="tx1"/>
                        </w14:solidFill>
                      </w14:textFill>
                    </w:rPr>
                    <w:t>附图</w:t>
                  </w:r>
                  <w:r>
                    <w:rPr>
                      <w:rFonts w:hint="eastAsia" w:ascii="Times New Roman" w:hAnsi="Times New Roman" w:eastAsia="宋体"/>
                      <w:b/>
                      <w:color w:val="000000" w:themeColor="text1"/>
                      <w:spacing w:val="0"/>
                      <w:szCs w:val="21"/>
                      <w:highlight w:val="none"/>
                      <w:lang w:val="en-US" w:eastAsia="zh-CN"/>
                      <w14:textFill>
                        <w14:solidFill>
                          <w14:schemeClr w14:val="tx1"/>
                        </w14:solidFill>
                      </w14:textFill>
                    </w:rPr>
                    <w:t>3</w:t>
                  </w:r>
                  <w:r>
                    <w:rPr>
                      <w:rFonts w:ascii="Times New Roman" w:hAnsi="Times New Roman" w:eastAsia="宋体"/>
                      <w:b/>
                      <w:color w:val="000000" w:themeColor="text1"/>
                      <w:spacing w:val="0"/>
                      <w:szCs w:val="21"/>
                      <w:highlight w:val="none"/>
                      <w14:textFill>
                        <w14:solidFill>
                          <w14:schemeClr w14:val="tx1"/>
                        </w14:solidFill>
                      </w14:textFill>
                    </w:rPr>
                    <w:t>。</w:t>
                  </w:r>
                </w:p>
              </w:tc>
              <w:tc>
                <w:tcPr>
                  <w:tcW w:w="438" w:type="pct"/>
                  <w:vMerge w:val="continue"/>
                  <w:vAlign w:val="center"/>
                </w:tcPr>
                <w:p w14:paraId="4F4E37B9">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r>
            <w:tr w14:paraId="3F061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pct"/>
                  <w:vMerge w:val="continue"/>
                  <w:vAlign w:val="center"/>
                </w:tcPr>
                <w:p w14:paraId="24487E4C">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c>
                <w:tcPr>
                  <w:tcW w:w="396" w:type="pct"/>
                  <w:vAlign w:val="center"/>
                </w:tcPr>
                <w:p w14:paraId="72CEBDE4">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土壤环境</w:t>
                  </w:r>
                </w:p>
              </w:tc>
              <w:tc>
                <w:tcPr>
                  <w:tcW w:w="3643" w:type="pct"/>
                  <w:vAlign w:val="center"/>
                </w:tcPr>
                <w:p w14:paraId="36B796CE">
                  <w:pPr>
                    <w:widowControl/>
                    <w:jc w:val="left"/>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本项目位于土壤污染风险分区管控中的</w:t>
                  </w:r>
                  <w:r>
                    <w:rPr>
                      <w:rFonts w:hint="eastAsia" w:ascii="Times New Roman" w:hAnsi="Times New Roman" w:eastAsia="宋体"/>
                      <w:bCs/>
                      <w:color w:val="000000" w:themeColor="text1"/>
                      <w:spacing w:val="0"/>
                      <w:szCs w:val="21"/>
                      <w:highlight w:val="none"/>
                      <w:lang w:val="en-US" w:eastAsia="zh-CN"/>
                      <w14:textFill>
                        <w14:solidFill>
                          <w14:schemeClr w14:val="tx1"/>
                        </w14:solidFill>
                      </w14:textFill>
                    </w:rPr>
                    <w:t>农用地优先保护区和</w:t>
                  </w:r>
                  <w:r>
                    <w:rPr>
                      <w:rFonts w:ascii="Times New Roman" w:hAnsi="Times New Roman" w:eastAsia="宋体"/>
                      <w:bCs/>
                      <w:color w:val="000000" w:themeColor="text1"/>
                      <w:spacing w:val="0"/>
                      <w:kern w:val="0"/>
                      <w:szCs w:val="21"/>
                      <w:highlight w:val="none"/>
                      <w:lang w:bidi="ar"/>
                      <w14:textFill>
                        <w14:solidFill>
                          <w14:schemeClr w14:val="tx1"/>
                        </w14:solidFill>
                      </w14:textFill>
                    </w:rPr>
                    <w:t>一般管控区。</w:t>
                  </w:r>
                </w:p>
                <w:p w14:paraId="39A282D2">
                  <w:pPr>
                    <w:widowControl/>
                    <w:jc w:val="left"/>
                    <w:outlineLvl w:val="9"/>
                    <w:rPr>
                      <w:rFonts w:ascii="Times New Roman" w:hAnsi="Times New Roman" w:eastAsia="宋体"/>
                      <w:b/>
                      <w:bCs/>
                      <w:color w:val="000000" w:themeColor="text1"/>
                      <w:spacing w:val="0"/>
                      <w:kern w:val="0"/>
                      <w:szCs w:val="21"/>
                      <w:highlight w:val="none"/>
                      <w:lang w:bidi="ar"/>
                      <w14:textFill>
                        <w14:solidFill>
                          <w14:schemeClr w14:val="tx1"/>
                        </w14:solidFill>
                      </w14:textFill>
                    </w:rPr>
                  </w:pPr>
                  <w:r>
                    <w:rPr>
                      <w:rFonts w:ascii="Times New Roman" w:hAnsi="Times New Roman" w:eastAsia="宋体"/>
                      <w:b/>
                      <w:bCs/>
                      <w:color w:val="000000" w:themeColor="text1"/>
                      <w:spacing w:val="0"/>
                      <w:kern w:val="0"/>
                      <w:szCs w:val="21"/>
                      <w:highlight w:val="none"/>
                      <w:lang w:bidi="ar"/>
                      <w14:textFill>
                        <w14:solidFill>
                          <w14:schemeClr w14:val="tx1"/>
                        </w14:solidFill>
                      </w14:textFill>
                    </w:rPr>
                    <w:t>农用地优先保护区</w:t>
                  </w:r>
                  <w:r>
                    <w:rPr>
                      <w:rFonts w:hint="eastAsia"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t>要求</w:t>
                  </w:r>
                  <w:r>
                    <w:rPr>
                      <w:rFonts w:ascii="Times New Roman" w:hAnsi="Times New Roman" w:eastAsia="宋体"/>
                      <w:b/>
                      <w:bCs/>
                      <w:color w:val="000000" w:themeColor="text1"/>
                      <w:spacing w:val="0"/>
                      <w:kern w:val="0"/>
                      <w:szCs w:val="21"/>
                      <w:highlight w:val="none"/>
                      <w:lang w:bidi="ar"/>
                      <w14:textFill>
                        <w14:solidFill>
                          <w14:schemeClr w14:val="tx1"/>
                        </w14:solidFill>
                      </w14:textFill>
                    </w:rPr>
                    <w:t>：</w:t>
                  </w:r>
                  <w:r>
                    <w:rPr>
                      <w:rFonts w:ascii="Times New Roman" w:hAnsi="Times New Roman" w:eastAsia="宋体"/>
                      <w:b w:val="0"/>
                      <w:bCs w:val="0"/>
                      <w:color w:val="000000" w:themeColor="text1"/>
                      <w:spacing w:val="0"/>
                      <w:kern w:val="0"/>
                      <w:szCs w:val="21"/>
                      <w:highlight w:val="none"/>
                      <w:lang w:bidi="ar"/>
                      <w14:textFill>
                        <w14:solidFill>
                          <w14:schemeClr w14:val="tx1"/>
                        </w14:solidFill>
                      </w14:textFill>
                    </w:rPr>
                    <w:t>实行严格保护，确保其面积不减少、土壤环境质量不下降，除法律规定的重点建设项目选址确实无法避让外，其他任何建设不得占用。严格控制在优先保护类耕地集中区域新建有色金属冶炼、石油加工、化工、焦化、电镀、制革等</w:t>
                  </w:r>
                  <w:r>
                    <w:rPr>
                      <w:rFonts w:ascii="Times New Roman" w:hAnsi="Times New Roman" w:eastAsia="宋体"/>
                      <w:b w:val="0"/>
                      <w:bCs w:val="0"/>
                      <w:color w:val="000000" w:themeColor="text1"/>
                      <w:spacing w:val="0"/>
                      <w:kern w:val="0"/>
                      <w:szCs w:val="21"/>
                      <w:highlight w:val="none"/>
                      <w:lang w:val="en-US" w:eastAsia="zh-CN" w:bidi="ar"/>
                      <w14:textFill>
                        <w14:solidFill>
                          <w14:schemeClr w14:val="tx1"/>
                        </w14:solidFill>
                      </w14:textFill>
                    </w:rPr>
                    <w:t>行业企业，现有相关行业企业应当按照有关规定采取措施，防止</w:t>
                  </w:r>
                  <w:r>
                    <w:rPr>
                      <w:rFonts w:ascii="Times New Roman" w:hAnsi="Times New Roman" w:eastAsia="宋体"/>
                      <w:b w:val="0"/>
                      <w:bCs w:val="0"/>
                      <w:color w:val="000000" w:themeColor="text1"/>
                      <w:spacing w:val="0"/>
                      <w:kern w:val="0"/>
                      <w:szCs w:val="21"/>
                      <w:highlight w:val="none"/>
                      <w:lang w:bidi="ar"/>
                      <w14:textFill>
                        <w14:solidFill>
                          <w14:schemeClr w14:val="tx1"/>
                        </w14:solidFill>
                      </w14:textFill>
                    </w:rPr>
                    <w:t>对耕地造成污染。禁止任何单位和个人在基本农田保护区内建窑、建房、建坟、挖砂、采石、采矿、取土、堆放固体废弃物或者进行其他破坏基本农田的活动。</w:t>
                  </w:r>
                </w:p>
                <w:p w14:paraId="26C6C650">
                  <w:pPr>
                    <w:widowControl/>
                    <w:jc w:val="left"/>
                    <w:outlineLvl w:val="9"/>
                    <w:rPr>
                      <w:rFonts w:ascii="Times New Roman" w:hAnsi="Times New Roman" w:eastAsia="宋体"/>
                      <w:b w:val="0"/>
                      <w:bCs w:val="0"/>
                      <w:color w:val="000000" w:themeColor="text1"/>
                      <w:spacing w:val="0"/>
                      <w:kern w:val="0"/>
                      <w:szCs w:val="21"/>
                      <w:highlight w:val="none"/>
                      <w:lang w:bidi="ar"/>
                      <w14:textFill>
                        <w14:solidFill>
                          <w14:schemeClr w14:val="tx1"/>
                        </w14:solidFill>
                      </w14:textFill>
                    </w:rPr>
                  </w:pPr>
                  <w:r>
                    <w:rPr>
                      <w:rFonts w:ascii="Times New Roman" w:hAnsi="Times New Roman" w:eastAsia="宋体"/>
                      <w:b/>
                      <w:bCs/>
                      <w:color w:val="000000" w:themeColor="text1"/>
                      <w:spacing w:val="0"/>
                      <w:kern w:val="0"/>
                      <w:szCs w:val="21"/>
                      <w:highlight w:val="none"/>
                      <w:lang w:bidi="ar"/>
                      <w14:textFill>
                        <w14:solidFill>
                          <w14:schemeClr w14:val="tx1"/>
                        </w14:solidFill>
                      </w14:textFill>
                    </w:rPr>
                    <w:t>一般管控区</w:t>
                  </w:r>
                  <w:r>
                    <w:rPr>
                      <w:rFonts w:hint="eastAsia"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t>要求</w:t>
                  </w:r>
                  <w:r>
                    <w:rPr>
                      <w:rFonts w:ascii="Times New Roman" w:hAnsi="Times New Roman" w:eastAsia="宋体"/>
                      <w:b/>
                      <w:bCs/>
                      <w:color w:val="000000" w:themeColor="text1"/>
                      <w:spacing w:val="0"/>
                      <w:kern w:val="0"/>
                      <w:szCs w:val="21"/>
                      <w:highlight w:val="none"/>
                      <w:lang w:bidi="ar"/>
                      <w14:textFill>
                        <w14:solidFill>
                          <w14:schemeClr w14:val="tx1"/>
                        </w14:solidFill>
                      </w14:textFill>
                    </w:rPr>
                    <w:t>：</w:t>
                  </w:r>
                  <w:r>
                    <w:rPr>
                      <w:rFonts w:ascii="Times New Roman" w:hAnsi="Times New Roman" w:eastAsia="宋体"/>
                      <w:b w:val="0"/>
                      <w:bCs w:val="0"/>
                      <w:color w:val="000000" w:themeColor="text1"/>
                      <w:spacing w:val="0"/>
                      <w:kern w:val="0"/>
                      <w:szCs w:val="21"/>
                      <w:highlight w:val="none"/>
                      <w:lang w:bidi="ar"/>
                      <w14:textFill>
                        <w14:solidFill>
                          <w14:schemeClr w14:val="tx1"/>
                        </w14:solidFill>
                      </w14:textFill>
                    </w:rPr>
                    <w:t>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14:paraId="57F2ADC1">
                  <w:pP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b/>
                      <w:bCs w:val="0"/>
                      <w:color w:val="000000" w:themeColor="text1"/>
                      <w:spacing w:val="0"/>
                      <w:szCs w:val="21"/>
                      <w:highlight w:val="none"/>
                      <w:lang w:val="en-US" w:eastAsia="zh-CN"/>
                      <w14:textFill>
                        <w14:solidFill>
                          <w14:schemeClr w14:val="tx1"/>
                        </w14:solidFill>
                      </w14:textFill>
                    </w:rPr>
                    <w:t>符合性分析：</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本项目为输变电项目，不涉及有色金属冶炼、石油加工、化工、焦化等项目建设。项目仅有部分线路位于农用地优先保护区。根据《宁夏回族自治区电力设施保护条例》第十四条“输电线路工程杆、塔基用地可以不办理用地预审和土地征收（用）手续，应当给予合理补偿”，项目塔基占地无需办理征地手续。项目为点状占地，占地面积较小，建设完成后不影响线路走廊下农作物的种植，</w:t>
                  </w:r>
                  <w:r>
                    <w:rPr>
                      <w:rFonts w:hint="default" w:ascii="Times New Roman" w:hAnsi="Times New Roman" w:eastAsia="宋体"/>
                      <w:b w:val="0"/>
                      <w:bCs/>
                      <w:color w:val="000000" w:themeColor="text1"/>
                      <w:spacing w:val="0"/>
                      <w:szCs w:val="21"/>
                      <w:highlight w:val="none"/>
                      <w14:textFill>
                        <w14:solidFill>
                          <w14:schemeClr w14:val="tx1"/>
                        </w14:solidFill>
                      </w14:textFill>
                    </w:rPr>
                    <w:t>仅有变电站会产生少量生活污水、生活垃圾以及</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废变压器油、</w:t>
                  </w:r>
                  <w:r>
                    <w:rPr>
                      <w:rFonts w:hint="default" w:ascii="Times New Roman" w:hAnsi="Times New Roman" w:eastAsia="宋体"/>
                      <w:b w:val="0"/>
                      <w:bCs/>
                      <w:color w:val="000000" w:themeColor="text1"/>
                      <w:spacing w:val="0"/>
                      <w:szCs w:val="21"/>
                      <w:highlight w:val="none"/>
                      <w14:textFill>
                        <w14:solidFill>
                          <w14:schemeClr w14:val="tx1"/>
                        </w14:solidFill>
                      </w14:textFill>
                    </w:rPr>
                    <w:t>废旧蓄电池等危险废物</w:t>
                  </w:r>
                  <w:r>
                    <w:rPr>
                      <w:rFonts w:hint="eastAsia" w:ascii="Times New Roman" w:hAnsi="Times New Roman" w:eastAsia="宋体"/>
                      <w:b w:val="0"/>
                      <w:bCs/>
                      <w:color w:val="000000" w:themeColor="text1"/>
                      <w:spacing w:val="0"/>
                      <w:szCs w:val="21"/>
                      <w:highlight w:val="none"/>
                      <w:lang w:eastAsia="zh-CN"/>
                      <w14:textFill>
                        <w14:solidFill>
                          <w14:schemeClr w14:val="tx1"/>
                        </w14:solidFill>
                      </w14:textFill>
                    </w:rPr>
                    <w:t>，</w:t>
                  </w:r>
                  <w:r>
                    <w:rPr>
                      <w:rFonts w:hint="eastAsia" w:ascii="Times New Roman" w:hAnsi="Times New Roman" w:eastAsia="宋体"/>
                      <w:b w:val="0"/>
                      <w:bCs/>
                      <w:color w:val="000000" w:themeColor="text1"/>
                      <w:spacing w:val="0"/>
                      <w:szCs w:val="21"/>
                      <w:highlight w:val="none"/>
                      <w14:textFill>
                        <w14:solidFill>
                          <w14:schemeClr w14:val="tx1"/>
                        </w14:solidFill>
                      </w14:textFill>
                    </w:rPr>
                    <w:t>生活污水经化粪池处理后</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定期清掏，不外排；</w:t>
                  </w:r>
                  <w:r>
                    <w:rPr>
                      <w:rFonts w:hint="default" w:ascii="Times New Roman" w:hAnsi="Times New Roman" w:eastAsia="宋体" w:cs="Times New Roman"/>
                      <w:b w:val="0"/>
                      <w:bCs/>
                      <w:color w:val="000000" w:themeColor="text1"/>
                      <w:spacing w:val="0"/>
                      <w:sz w:val="21"/>
                      <w:szCs w:val="21"/>
                      <w:highlight w:val="none"/>
                      <w:lang w:val="en-US" w:eastAsia="zh-CN"/>
                      <w14:textFill>
                        <w14:solidFill>
                          <w14:schemeClr w14:val="tx1"/>
                        </w14:solidFill>
                      </w14:textFill>
                    </w:rPr>
                    <w:t>生活垃圾定期运至环卫部门指定的地点处置</w:t>
                  </w:r>
                  <w:r>
                    <w:rPr>
                      <w:rFonts w:hint="eastAsia" w:ascii="Times New Roman" w:hAnsi="Times New Roman" w:eastAsia="宋体" w:cs="Times New Roman"/>
                      <w:b w:val="0"/>
                      <w:bCs/>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废变压器油</w:t>
                  </w:r>
                  <w:r>
                    <w:rPr>
                      <w:rFonts w:hint="default" w:ascii="Times New Roman" w:hAnsi="Times New Roman" w:eastAsia="宋体" w:cs="Times New Roman"/>
                      <w:b w:val="0"/>
                      <w:bCs/>
                      <w:color w:val="000000" w:themeColor="text1"/>
                      <w:spacing w:val="0"/>
                      <w:sz w:val="21"/>
                      <w:szCs w:val="21"/>
                      <w:highlight w:val="none"/>
                      <w:lang w:val="en-US" w:eastAsia="zh-CN"/>
                      <w14:textFill>
                        <w14:solidFill>
                          <w14:schemeClr w14:val="tx1"/>
                        </w14:solidFill>
                      </w14:textFill>
                    </w:rPr>
                    <w:t>交由有资质的单位处置</w:t>
                  </w: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pacing w:val="0"/>
                      <w:sz w:val="21"/>
                      <w:szCs w:val="21"/>
                      <w:highlight w:val="none"/>
                      <w:lang w:val="en-US" w:eastAsia="zh-CN"/>
                      <w14:textFill>
                        <w14:solidFill>
                          <w14:schemeClr w14:val="tx1"/>
                        </w14:solidFill>
                      </w14:textFill>
                    </w:rPr>
                    <w:t>废旧</w:t>
                  </w:r>
                  <w:r>
                    <w:rPr>
                      <w:rFonts w:hint="default" w:ascii="Times New Roman" w:hAnsi="Times New Roman" w:eastAsia="宋体" w:cs="Times New Roman"/>
                      <w:b w:val="0"/>
                      <w:bCs/>
                      <w:color w:val="000000" w:themeColor="text1"/>
                      <w:spacing w:val="0"/>
                      <w:sz w:val="21"/>
                      <w:szCs w:val="21"/>
                      <w:highlight w:val="none"/>
                      <w:lang w:val="en-US" w:eastAsia="zh-CN"/>
                      <w14:textFill>
                        <w14:solidFill>
                          <w14:schemeClr w14:val="tx1"/>
                        </w14:solidFill>
                      </w14:textFill>
                    </w:rPr>
                    <w:t>蓄电池交由有资质的单位置换后回收处置</w:t>
                  </w: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w:t>
                  </w:r>
                  <w:r>
                    <w:rPr>
                      <w:rFonts w:hint="eastAsia" w:ascii="Times New Roman" w:hAnsi="Times New Roman" w:eastAsia="宋体"/>
                      <w:b w:val="0"/>
                      <w:bCs/>
                      <w:color w:val="000000" w:themeColor="text1"/>
                      <w:spacing w:val="0"/>
                      <w:szCs w:val="21"/>
                      <w:highlight w:val="none"/>
                      <w14:textFill>
                        <w14:solidFill>
                          <w14:schemeClr w14:val="tx1"/>
                        </w14:solidFill>
                      </w14:textFill>
                    </w:rPr>
                    <w:t>不会污染站址周围的土壤环境</w:t>
                  </w:r>
                  <w:r>
                    <w:rPr>
                      <w:rFonts w:hint="eastAsia" w:ascii="Times New Roman" w:hAnsi="Times New Roman" w:eastAsia="宋体"/>
                      <w:b w:val="0"/>
                      <w:bCs/>
                      <w:color w:val="000000" w:themeColor="text1"/>
                      <w:spacing w:val="0"/>
                      <w:szCs w:val="21"/>
                      <w:highlight w:val="none"/>
                      <w:lang w:eastAsia="zh-CN"/>
                      <w14:textFill>
                        <w14:solidFill>
                          <w14:schemeClr w14:val="tx1"/>
                        </w14:solidFill>
                      </w14:textFill>
                    </w:rPr>
                    <w:t>，</w:t>
                  </w:r>
                  <w:r>
                    <w:rPr>
                      <w:rFonts w:ascii="Times New Roman" w:hAnsi="Times New Roman" w:eastAsia="宋体"/>
                      <w:b w:val="0"/>
                      <w:bCs/>
                      <w:color w:val="000000" w:themeColor="text1"/>
                      <w:spacing w:val="0"/>
                      <w:szCs w:val="21"/>
                      <w:highlight w:val="none"/>
                      <w14:textFill>
                        <w14:solidFill>
                          <w14:schemeClr w14:val="tx1"/>
                        </w14:solidFill>
                      </w14:textFill>
                    </w:rPr>
                    <w:t>对周围</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土壤</w:t>
                  </w:r>
                  <w:r>
                    <w:rPr>
                      <w:rFonts w:ascii="Times New Roman" w:hAnsi="Times New Roman" w:eastAsia="宋体"/>
                      <w:b w:val="0"/>
                      <w:bCs/>
                      <w:color w:val="000000" w:themeColor="text1"/>
                      <w:spacing w:val="0"/>
                      <w:szCs w:val="21"/>
                      <w:highlight w:val="none"/>
                      <w14:textFill>
                        <w14:solidFill>
                          <w14:schemeClr w14:val="tx1"/>
                        </w14:solidFill>
                      </w14:textFill>
                    </w:rPr>
                    <w:t>环境影响较小</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，不存在建窑、建房、建坟、采石、采矿、堆存固体废弃物等破坏农用地优先保护区</w:t>
                  </w:r>
                  <w:r>
                    <w:rPr>
                      <w:rFonts w:hint="eastAsia"/>
                      <w:b w:val="0"/>
                      <w:bCs/>
                      <w:color w:val="000000" w:themeColor="text1"/>
                      <w:spacing w:val="0"/>
                      <w:szCs w:val="21"/>
                      <w:highlight w:val="none"/>
                      <w:lang w:val="en-US" w:eastAsia="zh-CN"/>
                      <w14:textFill>
                        <w14:solidFill>
                          <w14:schemeClr w14:val="tx1"/>
                        </w14:solidFill>
                      </w14:textFill>
                    </w:rPr>
                    <w:t>（永久基本农田）</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的活动，也不会导致土壤环境质量下降</w:t>
                  </w:r>
                  <w:r>
                    <w:rPr>
                      <w:rFonts w:hint="eastAsia"/>
                      <w:b w:val="0"/>
                      <w:bCs/>
                      <w:color w:val="000000" w:themeColor="text1"/>
                      <w:spacing w:val="0"/>
                      <w:szCs w:val="21"/>
                      <w:highlight w:val="none"/>
                      <w:lang w:val="en-US" w:eastAsia="zh-CN"/>
                      <w14:textFill>
                        <w14:solidFill>
                          <w14:schemeClr w14:val="tx1"/>
                        </w14:solidFill>
                      </w14:textFill>
                    </w:rPr>
                    <w:t>。目前本项目正在办理永久基本农田不可避让手续</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w:t>
                  </w:r>
                  <w:r>
                    <w:rPr>
                      <w:rFonts w:ascii="Times New Roman" w:hAnsi="Times New Roman" w:eastAsia="宋体"/>
                      <w:b w:val="0"/>
                      <w:bCs/>
                      <w:color w:val="000000" w:themeColor="text1"/>
                      <w:spacing w:val="0"/>
                      <w:szCs w:val="21"/>
                      <w:highlight w:val="none"/>
                      <w14:textFill>
                        <w14:solidFill>
                          <w14:schemeClr w14:val="tx1"/>
                        </w14:solidFill>
                      </w14:textFill>
                    </w:rPr>
                    <w:t>因此，本项目的建设符合土壤污染风险分区管控中的</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农用地优先保护区和</w:t>
                  </w:r>
                  <w:r>
                    <w:rPr>
                      <w:rFonts w:ascii="Times New Roman" w:hAnsi="Times New Roman" w:eastAsia="宋体"/>
                      <w:b w:val="0"/>
                      <w:bCs/>
                      <w:color w:val="000000" w:themeColor="text1"/>
                      <w:spacing w:val="0"/>
                      <w:kern w:val="0"/>
                      <w:szCs w:val="21"/>
                      <w:highlight w:val="none"/>
                      <w:lang w:bidi="ar"/>
                      <w14:textFill>
                        <w14:solidFill>
                          <w14:schemeClr w14:val="tx1"/>
                        </w14:solidFill>
                      </w14:textFill>
                    </w:rPr>
                    <w:t>一般管控区</w:t>
                  </w:r>
                  <w:r>
                    <w:rPr>
                      <w:rFonts w:ascii="Times New Roman" w:hAnsi="Times New Roman" w:eastAsia="宋体"/>
                      <w:b w:val="0"/>
                      <w:bCs/>
                      <w:color w:val="000000" w:themeColor="text1"/>
                      <w:spacing w:val="0"/>
                      <w:szCs w:val="21"/>
                      <w:highlight w:val="none"/>
                      <w14:textFill>
                        <w14:solidFill>
                          <w14:schemeClr w14:val="tx1"/>
                        </w14:solidFill>
                      </w14:textFill>
                    </w:rPr>
                    <w:t>要求。本项目与</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固原</w:t>
                  </w:r>
                  <w:r>
                    <w:rPr>
                      <w:rFonts w:ascii="Times New Roman" w:hAnsi="Times New Roman" w:eastAsia="宋体"/>
                      <w:b w:val="0"/>
                      <w:bCs/>
                      <w:color w:val="000000" w:themeColor="text1"/>
                      <w:spacing w:val="0"/>
                      <w:szCs w:val="21"/>
                      <w:highlight w:val="none"/>
                      <w14:textFill>
                        <w14:solidFill>
                          <w14:schemeClr w14:val="tx1"/>
                        </w14:solidFill>
                      </w14:textFill>
                    </w:rPr>
                    <w:t>市土壤污染风险分区管控位置</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关系</w:t>
                  </w:r>
                  <w:r>
                    <w:rPr>
                      <w:rFonts w:ascii="Times New Roman" w:hAnsi="Times New Roman" w:eastAsia="宋体"/>
                      <w:b w:val="0"/>
                      <w:bCs/>
                      <w:color w:val="000000" w:themeColor="text1"/>
                      <w:spacing w:val="0"/>
                      <w:szCs w:val="21"/>
                      <w:highlight w:val="none"/>
                      <w14:textFill>
                        <w14:solidFill>
                          <w14:schemeClr w14:val="tx1"/>
                        </w14:solidFill>
                      </w14:textFill>
                    </w:rPr>
                    <w:t>见</w:t>
                  </w:r>
                  <w:r>
                    <w:rPr>
                      <w:rFonts w:ascii="Times New Roman" w:hAnsi="Times New Roman" w:eastAsia="宋体"/>
                      <w:b/>
                      <w:color w:val="000000" w:themeColor="text1"/>
                      <w:spacing w:val="0"/>
                      <w:szCs w:val="21"/>
                      <w:highlight w:val="none"/>
                      <w14:textFill>
                        <w14:solidFill>
                          <w14:schemeClr w14:val="tx1"/>
                        </w14:solidFill>
                      </w14:textFill>
                    </w:rPr>
                    <w:t>附图</w:t>
                  </w:r>
                  <w:r>
                    <w:rPr>
                      <w:rFonts w:hint="eastAsia" w:ascii="Times New Roman" w:hAnsi="Times New Roman" w:eastAsia="宋体"/>
                      <w:b/>
                      <w:color w:val="000000" w:themeColor="text1"/>
                      <w:spacing w:val="0"/>
                      <w:szCs w:val="21"/>
                      <w:highlight w:val="none"/>
                      <w:lang w:val="en-US" w:eastAsia="zh-CN"/>
                      <w14:textFill>
                        <w14:solidFill>
                          <w14:schemeClr w14:val="tx1"/>
                        </w14:solidFill>
                      </w14:textFill>
                    </w:rPr>
                    <w:t>3</w:t>
                  </w:r>
                  <w:r>
                    <w:rPr>
                      <w:rFonts w:ascii="Times New Roman" w:hAnsi="Times New Roman" w:eastAsia="宋体"/>
                      <w:b w:val="0"/>
                      <w:bCs/>
                      <w:color w:val="000000" w:themeColor="text1"/>
                      <w:spacing w:val="0"/>
                      <w:szCs w:val="21"/>
                      <w:highlight w:val="none"/>
                      <w14:textFill>
                        <w14:solidFill>
                          <w14:schemeClr w14:val="tx1"/>
                        </w14:solidFill>
                      </w14:textFill>
                    </w:rPr>
                    <w:t>。</w:t>
                  </w:r>
                </w:p>
              </w:tc>
              <w:tc>
                <w:tcPr>
                  <w:tcW w:w="438" w:type="pct"/>
                  <w:vMerge w:val="continue"/>
                  <w:vAlign w:val="center"/>
                </w:tcPr>
                <w:p w14:paraId="1C1C2451">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r>
            <w:tr w14:paraId="6625C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918" w:type="pct"/>
                  <w:gridSpan w:val="2"/>
                  <w:vAlign w:val="center"/>
                </w:tcPr>
                <w:p w14:paraId="6CDFAF5A">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资源利用上线及分区管控</w:t>
                  </w:r>
                </w:p>
              </w:tc>
              <w:tc>
                <w:tcPr>
                  <w:tcW w:w="3643" w:type="pct"/>
                  <w:vAlign w:val="center"/>
                </w:tcPr>
                <w:p w14:paraId="145D707D">
                  <w:pPr>
                    <w:outlineLvl w:val="9"/>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本项目</w:t>
                  </w:r>
                  <w:r>
                    <w:rPr>
                      <w:rFonts w:hint="eastAsia" w:cs="Times New Roman"/>
                      <w:b w:val="0"/>
                      <w:bCs/>
                      <w:color w:val="000000" w:themeColor="text1"/>
                      <w:spacing w:val="0"/>
                      <w:szCs w:val="21"/>
                      <w:highlight w:val="none"/>
                      <w:lang w:val="en-US" w:eastAsia="zh-CN"/>
                      <w14:textFill>
                        <w14:solidFill>
                          <w14:schemeClr w14:val="tx1"/>
                        </w14:solidFill>
                      </w14:textFill>
                    </w:rPr>
                    <w:t>位于</w:t>
                  </w: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土地资源重点管控区，水资源一般管控区。</w:t>
                  </w:r>
                </w:p>
                <w:p w14:paraId="1E0CD42B">
                  <w:pP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t>符合性分析：</w:t>
                  </w:r>
                  <w:r>
                    <w:rPr>
                      <w:rFonts w:ascii="Times New Roman" w:hAnsi="Times New Roman" w:eastAsia="宋体"/>
                      <w:bCs/>
                      <w:color w:val="000000" w:themeColor="text1"/>
                      <w:spacing w:val="0"/>
                      <w:szCs w:val="21"/>
                      <w:highlight w:val="none"/>
                      <w14:textFill>
                        <w14:solidFill>
                          <w14:schemeClr w14:val="tx1"/>
                        </w14:solidFill>
                      </w14:textFill>
                    </w:rPr>
                    <w:t>本项目运行期仅有变电站有少量生活用水消耗，项目永久占地</w:t>
                  </w:r>
                  <w:r>
                    <w:rPr>
                      <w:rFonts w:hint="eastAsia" w:ascii="Times New Roman" w:hAnsi="Times New Roman" w:eastAsia="宋体"/>
                      <w:bCs/>
                      <w:color w:val="000000" w:themeColor="text1"/>
                      <w:spacing w:val="0"/>
                      <w:szCs w:val="21"/>
                      <w:highlight w:val="none"/>
                      <w:lang w:val="en-US" w:eastAsia="zh-CN"/>
                      <w14:textFill>
                        <w14:solidFill>
                          <w14:schemeClr w14:val="tx1"/>
                        </w14:solidFill>
                      </w14:textFill>
                    </w:rPr>
                    <w:t>共计</w:t>
                  </w:r>
                  <w:r>
                    <w:rPr>
                      <w:rFonts w:hint="eastAsia"/>
                      <w:bCs/>
                      <w:color w:val="000000" w:themeColor="text1"/>
                      <w:spacing w:val="0"/>
                      <w:szCs w:val="21"/>
                      <w:highlight w:val="none"/>
                      <w:lang w:val="en-US" w:eastAsia="zh-CN"/>
                      <w14:textFill>
                        <w14:solidFill>
                          <w14:schemeClr w14:val="tx1"/>
                        </w14:solidFill>
                      </w14:textFill>
                    </w:rPr>
                    <w:t>0.7560</w:t>
                  </w:r>
                  <w:r>
                    <w:rPr>
                      <w:rFonts w:ascii="Times New Roman" w:hAnsi="Times New Roman" w:eastAsia="宋体"/>
                      <w:bCs/>
                      <w:color w:val="000000" w:themeColor="text1"/>
                      <w:spacing w:val="0"/>
                      <w:szCs w:val="21"/>
                      <w:highlight w:val="none"/>
                      <w14:textFill>
                        <w14:solidFill>
                          <w14:schemeClr w14:val="tx1"/>
                        </w14:solidFill>
                      </w14:textFill>
                    </w:rPr>
                    <w:t>hm</w:t>
                  </w:r>
                  <w:r>
                    <w:rPr>
                      <w:rFonts w:ascii="Times New Roman" w:hAnsi="Times New Roman" w:eastAsia="宋体"/>
                      <w:bCs/>
                      <w:color w:val="000000" w:themeColor="text1"/>
                      <w:spacing w:val="0"/>
                      <w:szCs w:val="21"/>
                      <w:highlight w:val="none"/>
                      <w:vertAlign w:val="superscript"/>
                      <w14:textFill>
                        <w14:solidFill>
                          <w14:schemeClr w14:val="tx1"/>
                        </w14:solidFill>
                      </w14:textFill>
                    </w:rPr>
                    <w:t>2</w:t>
                  </w:r>
                  <w:r>
                    <w:rPr>
                      <w:rFonts w:ascii="Times New Roman" w:hAnsi="Times New Roman" w:eastAsia="宋体"/>
                      <w:bCs/>
                      <w:color w:val="000000" w:themeColor="text1"/>
                      <w:spacing w:val="0"/>
                      <w:szCs w:val="21"/>
                      <w:highlight w:val="none"/>
                      <w14:textFill>
                        <w14:solidFill>
                          <w14:schemeClr w14:val="tx1"/>
                        </w14:solidFill>
                      </w14:textFill>
                    </w:rPr>
                    <w:t>。因此，本项目的实施符合土地资源利用上线要求。</w:t>
                  </w:r>
                </w:p>
              </w:tc>
              <w:tc>
                <w:tcPr>
                  <w:tcW w:w="438" w:type="pct"/>
                  <w:vAlign w:val="center"/>
                </w:tcPr>
                <w:p w14:paraId="7DFDFE8A">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符合</w:t>
                  </w:r>
                </w:p>
              </w:tc>
            </w:tr>
            <w:tr w14:paraId="04F99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18" w:type="pct"/>
                  <w:gridSpan w:val="2"/>
                  <w:vAlign w:val="center"/>
                </w:tcPr>
                <w:p w14:paraId="42E2CE64">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环境管控单元</w:t>
                  </w:r>
                </w:p>
              </w:tc>
              <w:tc>
                <w:tcPr>
                  <w:tcW w:w="3643" w:type="pct"/>
                  <w:vAlign w:val="center"/>
                </w:tcPr>
                <w:p w14:paraId="33EFE3DD">
                  <w:pPr>
                    <w:outlineLvl w:val="9"/>
                    <w:rPr>
                      <w:rFonts w:ascii="Times New Roman" w:hAnsi="Times New Roman" w:eastAsia="宋体"/>
                      <w:color w:val="000000" w:themeColor="text1"/>
                      <w:spacing w:val="0"/>
                      <w:kern w:val="0"/>
                      <w:szCs w:val="21"/>
                      <w:highlight w:val="none"/>
                      <w:lang w:bidi="ar"/>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本项目位于</w:t>
                  </w:r>
                  <w:r>
                    <w:rPr>
                      <w:rFonts w:hint="eastAsia" w:ascii="Times New Roman" w:hAnsi="Times New Roman" w:eastAsia="宋体"/>
                      <w:color w:val="000000" w:themeColor="text1"/>
                      <w:spacing w:val="0"/>
                      <w:kern w:val="0"/>
                      <w:szCs w:val="21"/>
                      <w:highlight w:val="none"/>
                      <w:lang w:val="en-US" w:eastAsia="zh-CN" w:bidi="ar"/>
                      <w14:textFill>
                        <w14:solidFill>
                          <w14:schemeClr w14:val="tx1"/>
                        </w14:solidFill>
                      </w14:textFill>
                    </w:rPr>
                    <w:t>优先保护单元、重点管控单元、一般</w:t>
                  </w:r>
                  <w:r>
                    <w:rPr>
                      <w:rFonts w:ascii="Times New Roman" w:hAnsi="Times New Roman" w:eastAsia="宋体"/>
                      <w:color w:val="000000" w:themeColor="text1"/>
                      <w:spacing w:val="0"/>
                      <w:kern w:val="0"/>
                      <w:szCs w:val="21"/>
                      <w:highlight w:val="none"/>
                      <w:lang w:bidi="ar"/>
                      <w14:textFill>
                        <w14:solidFill>
                          <w14:schemeClr w14:val="tx1"/>
                        </w14:solidFill>
                      </w14:textFill>
                    </w:rPr>
                    <w:t>管控单元。</w:t>
                  </w:r>
                </w:p>
                <w:p w14:paraId="3A36BACA">
                  <w:pPr>
                    <w:outlineLvl w:val="9"/>
                    <w:rPr>
                      <w:rFonts w:hint="eastAsia" w:ascii="Times New Roman" w:hAnsi="Times New Roman" w:eastAsia="宋体"/>
                      <w:color w:val="000000" w:themeColor="text1"/>
                      <w:spacing w:val="0"/>
                      <w:kern w:val="0"/>
                      <w:szCs w:val="21"/>
                      <w:highlight w:val="none"/>
                      <w:lang w:val="en-US" w:eastAsia="zh-CN" w:bidi="ar"/>
                      <w14:textFill>
                        <w14:solidFill>
                          <w14:schemeClr w14:val="tx1"/>
                        </w14:solidFill>
                      </w14:textFill>
                    </w:rPr>
                  </w:pPr>
                  <w:r>
                    <w:rPr>
                      <w:rFonts w:hint="eastAsia"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t>优先保护单元管控单元：</w:t>
                  </w:r>
                  <w:r>
                    <w:rPr>
                      <w:rFonts w:hint="eastAsia" w:ascii="Times New Roman" w:hAnsi="Times New Roman" w:eastAsia="宋体"/>
                      <w:color w:val="000000" w:themeColor="text1"/>
                      <w:spacing w:val="0"/>
                      <w:kern w:val="0"/>
                      <w:szCs w:val="21"/>
                      <w:highlight w:val="none"/>
                      <w:lang w:val="en-US" w:eastAsia="zh-CN" w:bidi="ar"/>
                      <w14:textFill>
                        <w14:solidFill>
                          <w14:schemeClr w14:val="tx1"/>
                        </w14:solidFill>
                      </w14:textFill>
                    </w:rPr>
                    <w:t>为生态保护红线、一般生态空间、水环境优先保护区、大气环境优先保护区的并集。优先保护单元以严格保护生态环境、严格限制产业发展为导向，禁止或限制大规模的工业开发和城镇建设。</w:t>
                  </w:r>
                </w:p>
                <w:p w14:paraId="2FBBD91E">
                  <w:pPr>
                    <w:outlineLvl w:val="9"/>
                    <w:rPr>
                      <w:rFonts w:hint="default" w:ascii="Times New Roman" w:hAnsi="Times New Roman" w:eastAsia="宋体"/>
                      <w:b/>
                      <w:bCs/>
                      <w:color w:val="000000" w:themeColor="text1"/>
                      <w:spacing w:val="0"/>
                      <w:lang w:val="en-US" w:eastAsia="zh-CN"/>
                      <w14:textFill>
                        <w14:solidFill>
                          <w14:schemeClr w14:val="tx1"/>
                        </w14:solidFill>
                      </w14:textFill>
                    </w:rPr>
                  </w:pPr>
                  <w:r>
                    <w:rPr>
                      <w:rFonts w:hint="eastAsia"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t>重点管控单元管控要求：</w:t>
                  </w:r>
                  <w:r>
                    <w:rPr>
                      <w:rFonts w:hint="eastAsia" w:ascii="Times New Roman" w:hAnsi="Times New Roman" w:eastAsia="宋体"/>
                      <w:b w:val="0"/>
                      <w:bCs w:val="0"/>
                      <w:color w:val="000000" w:themeColor="text1"/>
                      <w:spacing w:val="0"/>
                      <w:kern w:val="0"/>
                      <w:szCs w:val="21"/>
                      <w:highlight w:val="none"/>
                      <w:lang w:val="en-US" w:eastAsia="zh-CN" w:bidi="ar"/>
                      <w14:textFill>
                        <w14:solidFill>
                          <w14:schemeClr w14:val="tx1"/>
                        </w14:solidFill>
                      </w14:textFill>
                    </w:rPr>
                    <w:t>在扣除优先保护单元的基础上，将水环境重点管控区、大气环境重点管控区、禁燃区、地下水开采等重点管控区等与行政区划、工业园区边界等进行空间叠加拟合，形成重点管控单元。重点管控单元总体上以守住环境质量底线、控制资源利用上线、积极发展社会经济为导向，实施污染防治、生态环境修复治理和差异化的环境准入。</w:t>
                  </w:r>
                </w:p>
                <w:p w14:paraId="3325B3E9">
                  <w:pPr>
                    <w:outlineLvl w:val="9"/>
                    <w:rPr>
                      <w:rFonts w:ascii="Times New Roman" w:hAnsi="Times New Roman" w:eastAsia="宋体"/>
                      <w:b w:val="0"/>
                      <w:bCs/>
                      <w:color w:val="000000" w:themeColor="text1"/>
                      <w:spacing w:val="0"/>
                      <w:szCs w:val="21"/>
                      <w:highlight w:val="none"/>
                      <w14:textFill>
                        <w14:solidFill>
                          <w14:schemeClr w14:val="tx1"/>
                        </w14:solidFill>
                      </w14:textFill>
                    </w:rPr>
                  </w:pPr>
                  <w:r>
                    <w:rPr>
                      <w:rFonts w:hint="eastAsia" w:ascii="Times New Roman" w:hAnsi="Times New Roman" w:eastAsia="宋体"/>
                      <w:b/>
                      <w:color w:val="000000" w:themeColor="text1"/>
                      <w:spacing w:val="0"/>
                      <w:szCs w:val="21"/>
                      <w:highlight w:val="none"/>
                      <w:lang w:val="en-US" w:eastAsia="zh-CN"/>
                      <w14:textFill>
                        <w14:solidFill>
                          <w14:schemeClr w14:val="tx1"/>
                        </w14:solidFill>
                      </w14:textFill>
                    </w:rPr>
                    <w:t>一般</w:t>
                  </w:r>
                  <w:r>
                    <w:rPr>
                      <w:rFonts w:ascii="Times New Roman" w:hAnsi="Times New Roman" w:eastAsia="宋体"/>
                      <w:b/>
                      <w:color w:val="000000" w:themeColor="text1"/>
                      <w:spacing w:val="0"/>
                      <w:szCs w:val="21"/>
                      <w:highlight w:val="none"/>
                      <w14:textFill>
                        <w14:solidFill>
                          <w14:schemeClr w14:val="tx1"/>
                        </w14:solidFill>
                      </w14:textFill>
                    </w:rPr>
                    <w:t>管控单元管控要求：</w:t>
                  </w: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除优先保护单元和重点管控单元之外的其他区域全部纳入一般管控单元。一般管控单元以适度发展社会经济、避免大规模高强度开发为导向，执行区域生态环境保护的基本要求</w:t>
                  </w:r>
                  <w:r>
                    <w:rPr>
                      <w:rFonts w:ascii="Times New Roman" w:hAnsi="Times New Roman" w:eastAsia="宋体"/>
                      <w:b w:val="0"/>
                      <w:bCs/>
                      <w:color w:val="000000" w:themeColor="text1"/>
                      <w:spacing w:val="0"/>
                      <w:szCs w:val="21"/>
                      <w:highlight w:val="none"/>
                      <w14:textFill>
                        <w14:solidFill>
                          <w14:schemeClr w14:val="tx1"/>
                        </w14:solidFill>
                      </w14:textFill>
                    </w:rPr>
                    <w:t>。</w:t>
                  </w:r>
                </w:p>
                <w:p w14:paraId="6B961FB8">
                  <w:pPr>
                    <w:widowControl/>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t>符合性分析：</w:t>
                  </w:r>
                  <w:r>
                    <w:rPr>
                      <w:rFonts w:ascii="Times New Roman" w:hAnsi="Times New Roman" w:eastAsia="宋体"/>
                      <w:b w:val="0"/>
                      <w:bCs w:val="0"/>
                      <w:color w:val="000000" w:themeColor="text1"/>
                      <w:spacing w:val="0"/>
                      <w:kern w:val="0"/>
                      <w:szCs w:val="21"/>
                      <w:highlight w:val="none"/>
                      <w:lang w:bidi="ar"/>
                      <w14:textFill>
                        <w14:solidFill>
                          <w14:schemeClr w14:val="tx1"/>
                        </w14:solidFill>
                      </w14:textFill>
                    </w:rPr>
                    <w:t>本项目</w:t>
                  </w:r>
                  <w:r>
                    <w:rPr>
                      <w:rFonts w:hint="eastAsia" w:ascii="Times New Roman" w:hAnsi="Times New Roman" w:eastAsia="宋体"/>
                      <w:b w:val="0"/>
                      <w:bCs w:val="0"/>
                      <w:color w:val="000000" w:themeColor="text1"/>
                      <w:spacing w:val="0"/>
                      <w:kern w:val="0"/>
                      <w:szCs w:val="21"/>
                      <w:highlight w:val="none"/>
                      <w:lang w:val="en-US" w:eastAsia="zh-CN" w:bidi="ar"/>
                      <w14:textFill>
                        <w14:solidFill>
                          <w14:schemeClr w14:val="tx1"/>
                        </w14:solidFill>
                      </w14:textFill>
                    </w:rPr>
                    <w:t>为输变电工程，不涉及生态保护红线</w:t>
                  </w:r>
                  <w:r>
                    <w:rPr>
                      <w:rFonts w:hint="eastAsia"/>
                      <w:b w:val="0"/>
                      <w:bCs w:val="0"/>
                      <w:color w:val="000000" w:themeColor="text1"/>
                      <w:spacing w:val="0"/>
                      <w:kern w:val="0"/>
                      <w:szCs w:val="21"/>
                      <w:highlight w:val="none"/>
                      <w:lang w:val="en-US" w:eastAsia="zh-CN" w:bidi="ar"/>
                      <w14:textFill>
                        <w14:solidFill>
                          <w14:schemeClr w14:val="tx1"/>
                        </w14:solidFill>
                      </w14:textFill>
                    </w:rPr>
                    <w:t>及</w:t>
                  </w:r>
                  <w:r>
                    <w:rPr>
                      <w:rFonts w:hint="eastAsia" w:ascii="Times New Roman" w:hAnsi="Times New Roman" w:eastAsia="宋体"/>
                      <w:b w:val="0"/>
                      <w:bCs w:val="0"/>
                      <w:color w:val="000000" w:themeColor="text1"/>
                      <w:spacing w:val="0"/>
                      <w:kern w:val="0"/>
                      <w:szCs w:val="21"/>
                      <w:highlight w:val="none"/>
                      <w:lang w:val="en-US" w:eastAsia="zh-CN" w:bidi="ar"/>
                      <w14:textFill>
                        <w14:solidFill>
                          <w14:schemeClr w14:val="tx1"/>
                        </w14:solidFill>
                      </w14:textFill>
                    </w:rPr>
                    <w:t>一般生态空间，属于基础配套设施，不属于大规模的工业开发和城镇建设</w:t>
                  </w:r>
                  <w:r>
                    <w:rPr>
                      <w:rFonts w:hint="eastAsia"/>
                      <w:b w:val="0"/>
                      <w:bCs w:val="0"/>
                      <w:color w:val="000000" w:themeColor="text1"/>
                      <w:spacing w:val="0"/>
                      <w:kern w:val="0"/>
                      <w:szCs w:val="21"/>
                      <w:highlight w:val="none"/>
                      <w:lang w:val="en-US" w:eastAsia="zh-CN" w:bidi="ar"/>
                      <w14:textFill>
                        <w14:solidFill>
                          <w14:schemeClr w14:val="tx1"/>
                        </w14:solidFill>
                      </w14:textFill>
                    </w:rPr>
                    <w:t>。</w:t>
                  </w:r>
                  <w:r>
                    <w:rPr>
                      <w:rFonts w:hint="eastAsia" w:ascii="Times New Roman" w:hAnsi="Times New Roman" w:eastAsia="宋体"/>
                      <w:b w:val="0"/>
                      <w:bCs w:val="0"/>
                      <w:color w:val="000000" w:themeColor="text1"/>
                      <w:spacing w:val="0"/>
                      <w:kern w:val="0"/>
                      <w:szCs w:val="21"/>
                      <w:highlight w:val="none"/>
                      <w:lang w:val="en-US" w:eastAsia="zh-CN" w:bidi="ar"/>
                      <w14:textFill>
                        <w14:solidFill>
                          <w14:schemeClr w14:val="tx1"/>
                        </w14:solidFill>
                      </w14:textFill>
                    </w:rPr>
                    <w:t>变电站运行期无废气产生，废水、固废均采取相应处理处置措施，对周围环境影响较小；输电线路运行期无废气、废水、固废产生。根据环境质量现状监测结果，本项目声环境满足《声环境质量标准》（GB3096-2008）相应声环境功能区限值要求，工频电场强度、工频磁感应强度均小于《电磁环境控制限值》（GB8702-2014）要求。经预测结果可知，本项目建成后，噪声、工频电场、工频磁场均满足相应标准要求，对周围环境影响较小。因此，本项目的建设符合</w:t>
                  </w:r>
                  <w:r>
                    <w:rPr>
                      <w:rFonts w:hint="eastAsia"/>
                      <w:b w:val="0"/>
                      <w:bCs w:val="0"/>
                      <w:color w:val="000000" w:themeColor="text1"/>
                      <w:spacing w:val="0"/>
                      <w:kern w:val="0"/>
                      <w:szCs w:val="21"/>
                      <w:highlight w:val="none"/>
                      <w:lang w:val="en-US" w:eastAsia="zh-CN" w:bidi="ar"/>
                      <w14:textFill>
                        <w14:solidFill>
                          <w14:schemeClr w14:val="tx1"/>
                        </w14:solidFill>
                      </w14:textFill>
                    </w:rPr>
                    <w:t>环境</w:t>
                  </w:r>
                  <w:r>
                    <w:rPr>
                      <w:rFonts w:hint="eastAsia" w:ascii="Times New Roman" w:hAnsi="Times New Roman" w:eastAsia="宋体"/>
                      <w:b w:val="0"/>
                      <w:bCs w:val="0"/>
                      <w:color w:val="000000" w:themeColor="text1"/>
                      <w:spacing w:val="0"/>
                      <w:kern w:val="0"/>
                      <w:szCs w:val="21"/>
                      <w:highlight w:val="none"/>
                      <w:lang w:val="en-US" w:eastAsia="zh-CN" w:bidi="ar"/>
                      <w14:textFill>
                        <w14:solidFill>
                          <w14:schemeClr w14:val="tx1"/>
                        </w14:solidFill>
                      </w14:textFill>
                    </w:rPr>
                    <w:t>管控单元要求。</w:t>
                  </w: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本项目</w:t>
                  </w:r>
                  <w:r>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与</w:t>
                  </w: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固原市</w:t>
                  </w: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环境管控单元位置</w:t>
                  </w: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关系</w:t>
                  </w: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见</w:t>
                  </w:r>
                  <w:r>
                    <w:rPr>
                      <w:rFonts w:hint="default" w:ascii="Times New Roman" w:hAnsi="Times New Roman" w:eastAsia="宋体" w:cs="Times New Roman"/>
                      <w:b/>
                      <w:bCs w:val="0"/>
                      <w:color w:val="000000" w:themeColor="text1"/>
                      <w:spacing w:val="0"/>
                      <w:szCs w:val="21"/>
                      <w:highlight w:val="none"/>
                      <w14:textFill>
                        <w14:solidFill>
                          <w14:schemeClr w14:val="tx1"/>
                        </w14:solidFill>
                      </w14:textFill>
                    </w:rPr>
                    <w:t>附图</w:t>
                  </w:r>
                  <w:r>
                    <w:rPr>
                      <w:rFonts w:hint="eastAsia" w:ascii="Times New Roman" w:hAnsi="Times New Roman" w:eastAsia="宋体" w:cs="Times New Roman"/>
                      <w:b/>
                      <w:bCs w:val="0"/>
                      <w:color w:val="000000" w:themeColor="text1"/>
                      <w:spacing w:val="0"/>
                      <w:szCs w:val="21"/>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w:t>
                  </w:r>
                </w:p>
              </w:tc>
              <w:tc>
                <w:tcPr>
                  <w:tcW w:w="438" w:type="pct"/>
                  <w:vAlign w:val="center"/>
                </w:tcPr>
                <w:p w14:paraId="0F8C9D82">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符合</w:t>
                  </w:r>
                </w:p>
              </w:tc>
            </w:tr>
          </w:tbl>
          <w:p w14:paraId="57B64AC8">
            <w:pPr>
              <w:autoSpaceDE w:val="0"/>
              <w:autoSpaceDN w:val="0"/>
              <w:snapToGrid w:val="0"/>
              <w:spacing w:line="360" w:lineRule="auto"/>
              <w:ind w:firstLine="480" w:firstLineChars="200"/>
              <w:jc w:val="left"/>
              <w:outlineLvl w:val="9"/>
              <w:rPr>
                <w:rFonts w:hint="default" w:ascii="Times New Roman" w:hAnsi="Times New Roman" w:eastAsia="宋体" w:cs="Times New Roman"/>
                <w:b w:val="0"/>
                <w:bCs w:val="0"/>
                <w:color w:val="000000" w:themeColor="text1"/>
                <w:spacing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4"/>
                <w14:textFill>
                  <w14:solidFill>
                    <w14:schemeClr w14:val="tx1"/>
                  </w14:solidFill>
                </w14:textFill>
              </w:rPr>
              <w:t>综上，本项目运行期产生的污染物，在落实本项目环境影响评价报告表提出的各项污染防治措施</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和生态保护与恢复措施</w:t>
            </w:r>
            <w:r>
              <w:rPr>
                <w:rFonts w:hint="default" w:ascii="Times New Roman" w:hAnsi="Times New Roman" w:eastAsia="宋体" w:cs="Times New Roman"/>
                <w:color w:val="000000" w:themeColor="text1"/>
                <w:spacing w:val="0"/>
                <w:sz w:val="24"/>
                <w14:textFill>
                  <w14:solidFill>
                    <w14:schemeClr w14:val="tx1"/>
                  </w14:solidFill>
                </w14:textFill>
              </w:rPr>
              <w:t>后，对周围环境的影响很小。因此，本项目的建设符合</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《固原市生态环境分区管控实施方案》中相关</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固原市</w:t>
            </w:r>
            <w:r>
              <w:rPr>
                <w:rFonts w:hint="default" w:ascii="Times New Roman" w:hAnsi="Times New Roman" w:eastAsia="宋体" w:cs="Times New Roman"/>
                <w:color w:val="000000" w:themeColor="text1"/>
                <w:spacing w:val="0"/>
                <w:sz w:val="24"/>
                <w14:textFill>
                  <w14:solidFill>
                    <w14:schemeClr w14:val="tx1"/>
                  </w14:solidFill>
                </w14:textFill>
              </w:rPr>
              <w:t>生态环境分区管控的意见要求。</w:t>
            </w:r>
          </w:p>
          <w:p w14:paraId="2748A11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t>4</w:t>
            </w:r>
            <w:r>
              <w:rPr>
                <w:rFonts w:hint="default"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t>、与《宁夏回族自治区能源发展“十四五”规划》</w:t>
            </w:r>
            <w:r>
              <w:rPr>
                <w:rFonts w:hint="eastAsia"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t>符合</w:t>
            </w:r>
            <w:r>
              <w:rPr>
                <w:rFonts w:hint="default"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t>性分析</w:t>
            </w:r>
          </w:p>
          <w:p w14:paraId="03ADA29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宁夏回族自治区能源发展“十四五”规划》中提出：“打造“西电东送”网架枢纽。充分发挥电网在能源生产清洁化和能源消费电气化中的关键枢纽、重要平台、绿能载体作用，打造电网服务新能源高质量就地消纳和大范围优化配置的“双样板”，加快建设清洁低碳、安全高效、智慧共享、坚强送端的现代一流电网，建成绿能外送大通道、绿能配置骨干网、绿能利用大平台，全力构建宁夏新型电力系统。</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14:paraId="4EBD421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为满足</w:t>
            </w:r>
            <w:r>
              <w:rPr>
                <w:rFonts w:hint="eastAsia"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区域新增用电负荷需求而建设的。</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与《宁夏回族自治区能源发展“十四五”规划》相符。</w:t>
            </w:r>
          </w:p>
          <w:p w14:paraId="062DDBF5">
            <w:pPr>
              <w:autoSpaceDE w:val="0"/>
              <w:autoSpaceDN w:val="0"/>
              <w:spacing w:line="360" w:lineRule="auto"/>
              <w:ind w:firstLine="482" w:firstLineChars="200"/>
              <w:outlineLvl w:val="9"/>
              <w:rPr>
                <w:rFonts w:hint="default" w:ascii="Times New Roman" w:hAnsi="Times New Roman" w:eastAsia="宋体" w:cs="Times New Roman"/>
                <w:b/>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pacing w:val="0"/>
                <w:sz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pacing w:val="0"/>
                <w:sz w:val="24"/>
                <w:highlight w:val="none"/>
                <w:lang w:val="en-US" w:eastAsia="zh-CN"/>
                <w14:textFill>
                  <w14:solidFill>
                    <w14:schemeClr w14:val="tx1"/>
                  </w14:solidFill>
                </w14:textFill>
              </w:rPr>
              <w:t>、与</w:t>
            </w:r>
            <w:r>
              <w:rPr>
                <w:rFonts w:hint="eastAsia" w:ascii="Times New Roman" w:hAnsi="Times New Roman" w:eastAsia="宋体" w:cs="Times New Roman"/>
                <w:b/>
                <w:color w:val="000000" w:themeColor="text1"/>
                <w:spacing w:val="0"/>
                <w:sz w:val="24"/>
                <w:highlight w:val="none"/>
                <w:lang w:val="en-US" w:eastAsia="zh-CN"/>
                <w14:textFill>
                  <w14:solidFill>
                    <w14:schemeClr w14:val="tx1"/>
                  </w14:solidFill>
                </w14:textFill>
              </w:rPr>
              <w:t>《固原</w:t>
            </w:r>
            <w:r>
              <w:rPr>
                <w:rFonts w:hint="default" w:ascii="Times New Roman" w:hAnsi="Times New Roman" w:eastAsia="宋体" w:cs="Times New Roman"/>
                <w:b/>
                <w:color w:val="000000" w:themeColor="text1"/>
                <w:spacing w:val="0"/>
                <w:sz w:val="24"/>
                <w:highlight w:val="none"/>
                <w:lang w:val="en-US" w:eastAsia="zh-CN"/>
                <w14:textFill>
                  <w14:solidFill>
                    <w14:schemeClr w14:val="tx1"/>
                  </w14:solidFill>
                </w14:textFill>
              </w:rPr>
              <w:t>市环境保护</w:t>
            </w:r>
            <w:r>
              <w:rPr>
                <w:rFonts w:hint="eastAsia" w:ascii="Times New Roman" w:hAnsi="Times New Roman" w:eastAsia="宋体" w:cs="Times New Roman"/>
                <w:b/>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spacing w:val="0"/>
                <w:sz w:val="24"/>
                <w:highlight w:val="none"/>
                <w:lang w:val="en-US" w:eastAsia="zh-CN"/>
                <w14:textFill>
                  <w14:solidFill>
                    <w14:schemeClr w14:val="tx1"/>
                  </w14:solidFill>
                </w14:textFill>
              </w:rPr>
              <w:t>十四五</w:t>
            </w:r>
            <w:r>
              <w:rPr>
                <w:rFonts w:hint="eastAsia" w:ascii="Times New Roman" w:hAnsi="Times New Roman" w:eastAsia="宋体" w:cs="Times New Roman"/>
                <w:b/>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spacing w:val="0"/>
                <w:sz w:val="24"/>
                <w:highlight w:val="none"/>
                <w:lang w:val="en-US" w:eastAsia="zh-CN"/>
                <w14:textFill>
                  <w14:solidFill>
                    <w14:schemeClr w14:val="tx1"/>
                  </w14:solidFill>
                </w14:textFill>
              </w:rPr>
              <w:t>规划</w:t>
            </w:r>
            <w:r>
              <w:rPr>
                <w:rFonts w:hint="eastAsia" w:ascii="Times New Roman" w:hAnsi="Times New Roman" w:eastAsia="宋体" w:cs="Times New Roman"/>
                <w:b/>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spacing w:val="0"/>
                <w:sz w:val="24"/>
                <w:highlight w:val="none"/>
                <w:lang w:val="en-US" w:eastAsia="zh-CN"/>
                <w14:textFill>
                  <w14:solidFill>
                    <w14:schemeClr w14:val="tx1"/>
                  </w14:solidFill>
                </w14:textFill>
              </w:rPr>
              <w:t>符合性分析</w:t>
            </w:r>
          </w:p>
          <w:p w14:paraId="106747D8">
            <w:pPr>
              <w:pStyle w:val="39"/>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jc w:val="left"/>
              <w:textAlignment w:val="auto"/>
              <w:outlineLvl w:val="9"/>
              <w:rPr>
                <w:rFonts w:hint="eastAsia" w:ascii="Times New Roman" w:hAnsi="Times New Roman" w:eastAsia="宋体" w:cs="Times New Roman"/>
                <w:b w:val="0"/>
                <w:bCs w:val="0"/>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highlight w:val="none"/>
                <w:lang w:val="en-US" w:eastAsia="zh-CN"/>
                <w14:textFill>
                  <w14:solidFill>
                    <w14:schemeClr w14:val="tx1"/>
                  </w14:solidFill>
                </w14:textFill>
              </w:rPr>
              <w:t>根据</w:t>
            </w:r>
            <w:r>
              <w:rPr>
                <w:rFonts w:hint="eastAsia" w:ascii="Times New Roman" w:hAnsi="Times New Roman" w:eastAsia="宋体" w:cs="Times New Roman"/>
                <w:b w:val="0"/>
                <w:bCs w:val="0"/>
                <w:color w:val="000000" w:themeColor="text1"/>
                <w:spacing w:val="0"/>
                <w:highlight w:val="none"/>
                <w:lang w:val="en-US" w:eastAsia="zh-CN"/>
                <w14:textFill>
                  <w14:solidFill>
                    <w14:schemeClr w14:val="tx1"/>
                  </w14:solidFill>
                </w14:textFill>
              </w:rPr>
              <w:t>固原市人民政府办公室关于印发《固原市环境保护“十四五”规划》的通知</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固</w:t>
            </w:r>
            <w:r>
              <w:rPr>
                <w:rFonts w:hint="default" w:ascii="Times New Roman" w:hAnsi="Times New Roman" w:eastAsia="宋体" w:cs="Times New Roman"/>
                <w:color w:val="000000" w:themeColor="text1"/>
                <w:spacing w:val="0"/>
                <w:sz w:val="24"/>
                <w:highlight w:val="none"/>
                <w14:textFill>
                  <w14:solidFill>
                    <w14:schemeClr w14:val="tx1"/>
                  </w14:solidFill>
                </w14:textFill>
              </w:rPr>
              <w:t>政办发〔202</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56</w:t>
            </w:r>
            <w:r>
              <w:rPr>
                <w:rFonts w:hint="default" w:ascii="Times New Roman" w:hAnsi="Times New Roman" w:eastAsia="宋体" w:cs="Times New Roman"/>
                <w:color w:val="000000" w:themeColor="text1"/>
                <w:spacing w:val="0"/>
                <w:sz w:val="24"/>
                <w:highlight w:val="none"/>
                <w14:textFill>
                  <w14:solidFill>
                    <w14:schemeClr w14:val="tx1"/>
                  </w14:solidFill>
                </w14:textFill>
              </w:rPr>
              <w:t>号）</w:t>
            </w:r>
            <w:r>
              <w:rPr>
                <w:rFonts w:hint="eastAsia" w:ascii="Times New Roman" w:hAnsi="Times New Roman" w:eastAsia="宋体" w:cs="Times New Roman"/>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推动落实固原市“三线一单”生态环境分区管控成果在生态、水、大气、土壤、固体废物等各要素环境管理中的应用，将“三线一单”融入到政策制定、环境准入、园区管理、执法监管等决策和实施的全过程。实施清单化管理和动态更新，推进环境保护与空间精细化管控。优先保护单元要严格保护生态环境和限制产业发展，重点管控单元总体上要守住环境质量底线、控制资源利用上线、积极发展社会经济，一般管控单元要适度发展社会经济、避免大规模高强度开发。</w:t>
            </w:r>
          </w:p>
          <w:p w14:paraId="2E6E660C">
            <w:pPr>
              <w:autoSpaceDE w:val="0"/>
              <w:autoSpaceDN w:val="0"/>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olor w:val="000000" w:themeColor="text1"/>
                <w:spacing w:val="0"/>
                <w:sz w:val="24"/>
                <w14:textFill>
                  <w14:solidFill>
                    <w14:schemeClr w14:val="tx1"/>
                  </w14:solidFill>
                </w14:textFill>
              </w:rPr>
              <w:t>本项目属于</w:t>
            </w:r>
            <w:r>
              <w:rPr>
                <w:rFonts w:hint="eastAsia" w:ascii="Times New Roman" w:hAnsi="Times New Roman" w:eastAsia="宋体"/>
                <w:color w:val="000000" w:themeColor="text1"/>
                <w:spacing w:val="0"/>
                <w:sz w:val="24"/>
                <w:lang w:val="en-US" w:eastAsia="zh-CN"/>
                <w14:textFill>
                  <w14:solidFill>
                    <w14:schemeClr w14:val="tx1"/>
                  </w14:solidFill>
                </w14:textFill>
              </w:rPr>
              <w:t>电力资源保障供应</w:t>
            </w:r>
            <w:r>
              <w:rPr>
                <w:rFonts w:hint="eastAsia" w:ascii="Times New Roman" w:hAnsi="Times New Roman" w:eastAsia="宋体"/>
                <w:color w:val="000000" w:themeColor="text1"/>
                <w:spacing w:val="0"/>
                <w:sz w:val="24"/>
                <w14:textFill>
                  <w14:solidFill>
                    <w14:schemeClr w14:val="tx1"/>
                  </w14:solidFill>
                </w14:textFill>
              </w:rPr>
              <w:t>项目，</w:t>
            </w:r>
            <w:r>
              <w:rPr>
                <w:rFonts w:hint="eastAsia" w:ascii="Times New Roman" w:hAnsi="Times New Roman" w:eastAsia="宋体"/>
                <w:color w:val="000000" w:themeColor="text1"/>
                <w:spacing w:val="0"/>
                <w:sz w:val="24"/>
                <w:lang w:val="en-US" w:eastAsia="zh-CN"/>
                <w14:textFill>
                  <w14:solidFill>
                    <w14:schemeClr w14:val="tx1"/>
                  </w14:solidFill>
                </w14:textFill>
              </w:rPr>
              <w:t>符合“三线一单”要求，</w:t>
            </w:r>
            <w:r>
              <w:rPr>
                <w:rFonts w:hint="eastAsia" w:ascii="Times New Roman" w:hAnsi="Times New Roman" w:eastAsia="宋体"/>
                <w:color w:val="000000" w:themeColor="text1"/>
                <w:spacing w:val="0"/>
                <w:sz w:val="24"/>
                <w14:textFill>
                  <w14:solidFill>
                    <w14:schemeClr w14:val="tx1"/>
                  </w14:solidFill>
                </w14:textFill>
              </w:rPr>
              <w:t>符合优化能源供给结构要求。本项目</w:t>
            </w:r>
            <w:r>
              <w:rPr>
                <w:rFonts w:hint="eastAsia" w:ascii="Times New Roman" w:hAnsi="Times New Roman" w:eastAsia="宋体"/>
                <w:color w:val="000000" w:themeColor="text1"/>
                <w:spacing w:val="0"/>
                <w:sz w:val="24"/>
                <w:lang w:val="en-US" w:eastAsia="zh-CN"/>
                <w14:textFill>
                  <w14:solidFill>
                    <w14:schemeClr w14:val="tx1"/>
                  </w14:solidFill>
                </w14:textFill>
              </w:rPr>
              <w:t>运行</w:t>
            </w:r>
            <w:r>
              <w:rPr>
                <w:rFonts w:hint="eastAsia" w:ascii="Times New Roman" w:hAnsi="Times New Roman" w:eastAsia="宋体"/>
                <w:color w:val="000000" w:themeColor="text1"/>
                <w:spacing w:val="0"/>
                <w:sz w:val="24"/>
                <w14:textFill>
                  <w14:solidFill>
                    <w14:schemeClr w14:val="tx1"/>
                  </w14:solidFill>
                </w14:textFill>
              </w:rPr>
              <w:t>期通过加强管理，采取相应措施，经预测分析，项目产生的</w:t>
            </w:r>
            <w:r>
              <w:rPr>
                <w:rFonts w:hint="eastAsia" w:ascii="Times New Roman" w:hAnsi="Times New Roman" w:eastAsia="宋体"/>
                <w:color w:val="000000" w:themeColor="text1"/>
                <w:spacing w:val="0"/>
                <w:sz w:val="24"/>
                <w:lang w:val="en-US" w:eastAsia="zh-CN"/>
                <w14:textFill>
                  <w14:solidFill>
                    <w14:schemeClr w14:val="tx1"/>
                  </w14:solidFill>
                </w14:textFill>
              </w:rPr>
              <w:t>噪声、工频电场及工频磁场均</w:t>
            </w:r>
            <w:r>
              <w:rPr>
                <w:rFonts w:hint="eastAsia" w:ascii="Times New Roman" w:hAnsi="Times New Roman" w:eastAsia="宋体"/>
                <w:color w:val="000000" w:themeColor="text1"/>
                <w:spacing w:val="0"/>
                <w:sz w:val="24"/>
                <w14:textFill>
                  <w14:solidFill>
                    <w14:schemeClr w14:val="tx1"/>
                  </w14:solidFill>
                </w14:textFill>
              </w:rPr>
              <w:t>可满足标准限值要求。因此，</w:t>
            </w: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本项目</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的</w:t>
            </w: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建设符合</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《固原</w:t>
            </w: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市环境保护</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十四五</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规划</w:t>
            </w:r>
            <w:r>
              <w:rPr>
                <w:rFonts w:hint="eastAsia"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w:t>
            </w:r>
          </w:p>
        </w:tc>
      </w:tr>
    </w:tbl>
    <w:p w14:paraId="27219296">
      <w:pPr>
        <w:spacing w:line="360" w:lineRule="auto"/>
        <w:outlineLvl w:val="9"/>
        <w:rPr>
          <w:rFonts w:ascii="Times New Roman" w:hAnsi="Times New Roman" w:eastAsia="宋体"/>
          <w:color w:val="000000" w:themeColor="text1"/>
          <w:spacing w:val="0"/>
          <w:sz w:val="30"/>
          <w:highlight w:val="none"/>
          <w14:textFill>
            <w14:solidFill>
              <w14:schemeClr w14:val="tx1"/>
            </w14:solidFill>
          </w14:textFill>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4E015796">
      <w:pPr>
        <w:pStyle w:val="23"/>
        <w:numPr>
          <w:ilvl w:val="0"/>
          <w:numId w:val="1"/>
        </w:numPr>
        <w:spacing w:before="0" w:beforeAutospacing="0" w:after="0" w:afterAutospacing="0" w:line="360" w:lineRule="auto"/>
        <w:jc w:val="center"/>
        <w:outlineLvl w:val="0"/>
        <w:rPr>
          <w:rFonts w:ascii="Times New Roman" w:hAnsi="Times New Roman" w:eastAsia="宋体"/>
          <w:b/>
          <w:bCs/>
          <w:snapToGrid w:val="0"/>
          <w:color w:val="000000" w:themeColor="text1"/>
          <w:spacing w:val="0"/>
          <w:sz w:val="30"/>
          <w:szCs w:val="30"/>
          <w:highlight w:val="none"/>
          <w14:textFill>
            <w14:solidFill>
              <w14:schemeClr w14:val="tx1"/>
            </w14:solidFill>
          </w14:textFill>
        </w:rPr>
      </w:pPr>
      <w:bookmarkStart w:id="4" w:name="_Toc25234"/>
      <w:r>
        <w:rPr>
          <w:rFonts w:ascii="Times New Roman" w:hAnsi="Times New Roman" w:eastAsia="宋体"/>
          <w:b/>
          <w:bCs/>
          <w:snapToGrid w:val="0"/>
          <w:color w:val="000000" w:themeColor="text1"/>
          <w:spacing w:val="0"/>
          <w:sz w:val="30"/>
          <w:szCs w:val="30"/>
          <w:highlight w:val="none"/>
          <w14:textFill>
            <w14:solidFill>
              <w14:schemeClr w14:val="tx1"/>
            </w14:solidFill>
          </w14:textFill>
        </w:rPr>
        <w:t>建设内容</w:t>
      </w:r>
      <w:bookmarkEnd w:id="4"/>
    </w:p>
    <w:tbl>
      <w:tblPr>
        <w:tblStyle w:val="27"/>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670"/>
      </w:tblGrid>
      <w:tr w14:paraId="5F77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14:paraId="248A0031">
            <w:pPr>
              <w:pStyle w:val="23"/>
              <w:spacing w:before="0" w:beforeAutospacing="0" w:after="0" w:afterAutospacing="0" w:line="360" w:lineRule="auto"/>
              <w:jc w:val="center"/>
              <w:outlineLvl w:val="9"/>
              <w:rPr>
                <w:rFonts w:ascii="Times New Roman" w:hAnsi="Times New Roman" w:eastAsia="宋体"/>
                <w:b/>
                <w:bCs/>
                <w:snapToGrid w:val="0"/>
                <w:color w:val="000000" w:themeColor="text1"/>
                <w:spacing w:val="0"/>
                <w:sz w:val="30"/>
                <w:szCs w:val="3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地理位置</w:t>
            </w:r>
          </w:p>
        </w:tc>
        <w:tc>
          <w:tcPr>
            <w:tcW w:w="8670" w:type="dxa"/>
          </w:tcPr>
          <w:p w14:paraId="0CD0CB28">
            <w:pPr>
              <w:adjustRightInd w:val="0"/>
              <w:snapToGrid w:val="0"/>
              <w:spacing w:line="360" w:lineRule="auto"/>
              <w:ind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本项目位于</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项目地理位置详见</w:t>
            </w:r>
            <w:r>
              <w:rPr>
                <w:rFonts w:ascii="Times New Roman" w:hAnsi="Times New Roman" w:eastAsia="宋体"/>
                <w:b/>
                <w:bCs/>
                <w:color w:val="000000" w:themeColor="text1"/>
                <w:spacing w:val="0"/>
                <w:sz w:val="24"/>
                <w:highlight w:val="none"/>
                <w14:textFill>
                  <w14:solidFill>
                    <w14:schemeClr w14:val="tx1"/>
                  </w14:solidFill>
                </w14:textFill>
              </w:rPr>
              <w:t>附图</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1</w:t>
            </w:r>
            <w:r>
              <w:rPr>
                <w:rFonts w:ascii="Times New Roman" w:hAnsi="Times New Roman" w:eastAsia="宋体"/>
                <w:bCs/>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建设内容为：</w:t>
            </w:r>
          </w:p>
          <w:p w14:paraId="01214904">
            <w:pPr>
              <w:adjustRightInd w:val="0"/>
              <w:snapToGrid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三岔110千伏变电站新建工程：</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，彭黑公路以东2.5km，村道以南20m，距离固原市40km</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w:t>
            </w:r>
          </w:p>
          <w:p w14:paraId="64CC2F65">
            <w:pPr>
              <w:adjustRightInd w:val="0"/>
              <w:snapToGrid w:val="0"/>
              <w:spacing w:line="360" w:lineRule="auto"/>
              <w:ind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w:t>
            </w:r>
            <w:r>
              <w:rPr>
                <w:rFonts w:hint="eastAsia"/>
                <w:color w:val="000000" w:themeColor="text1"/>
                <w:spacing w:val="0"/>
                <w:sz w:val="24"/>
                <w:highlight w:val="none"/>
                <w:lang w:val="en-US" w:eastAsia="zh-CN"/>
                <w14:textFill>
                  <w14:solidFill>
                    <w14:schemeClr w14:val="tx1"/>
                  </w14:solidFill>
                </w14:textFill>
              </w:rPr>
              <w:t>申庄~黄铎堡π入三岔变电站110千伏架空线路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：位于</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，起点为110kV申铎线#44附近π接点，终点为拟建三岔变110kV构架。</w:t>
            </w:r>
          </w:p>
          <w:p w14:paraId="7227BDBC">
            <w:pPr>
              <w:adjustRightInd w:val="0"/>
              <w:snapToGrid w:val="0"/>
              <w:spacing w:line="360" w:lineRule="auto"/>
              <w:ind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（3）</w:t>
            </w:r>
            <w:r>
              <w:rPr>
                <w:rFonts w:hint="eastAsia"/>
                <w:color w:val="000000" w:themeColor="text1"/>
                <w:spacing w:val="0"/>
                <w:sz w:val="24"/>
                <w:highlight w:val="none"/>
                <w:lang w:val="en-US" w:eastAsia="zh-CN"/>
                <w14:textFill>
                  <w14:solidFill>
                    <w14:schemeClr w14:val="tx1"/>
                  </w14:solidFill>
                </w14:textFill>
              </w:rPr>
              <w:t>申庄～黄铎堡改接清水河变电站110kV线路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：位于</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，起点为清水河变110kV构架（111间隔及184间隔），终点为0kV清铎线#8（申铎线#5）大号侧改接点。</w:t>
            </w:r>
          </w:p>
          <w:p w14:paraId="1C19516A">
            <w:pPr>
              <w:adjustRightInd w:val="0"/>
              <w:snapToGrid w:val="0"/>
              <w:spacing w:line="360" w:lineRule="auto"/>
              <w:ind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（4）</w:t>
            </w:r>
            <w:r>
              <w:rPr>
                <w:rFonts w:hint="eastAsia"/>
                <w:color w:val="000000" w:themeColor="text1"/>
                <w:spacing w:val="0"/>
                <w:sz w:val="24"/>
                <w:highlight w:val="none"/>
                <w:lang w:val="en-US" w:eastAsia="zh-CN"/>
                <w14:textFill>
                  <w14:solidFill>
                    <w14:schemeClr w14:val="tx1"/>
                  </w14:solidFill>
                </w14:textFill>
              </w:rPr>
              <w:t>清水河~申庄改接绿塬变电站110kV线路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：位于</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，起点为110kV绿拓线#224钢管杆，终点为110kV清铎线#1。</w:t>
            </w:r>
          </w:p>
        </w:tc>
      </w:tr>
      <w:tr w14:paraId="01AD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8" w:hRule="atLeast"/>
          <w:jc w:val="center"/>
        </w:trPr>
        <w:tc>
          <w:tcPr>
            <w:tcW w:w="750" w:type="dxa"/>
            <w:vAlign w:val="center"/>
          </w:tcPr>
          <w:p w14:paraId="11E10663">
            <w:pPr>
              <w:pStyle w:val="23"/>
              <w:spacing w:before="0" w:beforeAutospacing="0" w:after="0" w:afterAutospacing="0" w:line="360" w:lineRule="auto"/>
              <w:jc w:val="center"/>
              <w:outlineLvl w:val="9"/>
              <w:rPr>
                <w:rFonts w:ascii="Times New Roman" w:hAnsi="Times New Roman" w:eastAsia="宋体"/>
                <w:b/>
                <w:bCs/>
                <w:snapToGrid w:val="0"/>
                <w:color w:val="000000" w:themeColor="text1"/>
                <w:spacing w:val="0"/>
                <w:sz w:val="30"/>
                <w:szCs w:val="3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项目组成及规模</w:t>
            </w:r>
          </w:p>
        </w:tc>
        <w:tc>
          <w:tcPr>
            <w:tcW w:w="8670" w:type="dxa"/>
          </w:tcPr>
          <w:p w14:paraId="00BEB93E">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1、项目建设的必要性</w:t>
            </w:r>
          </w:p>
          <w:p w14:paraId="788FDAAC">
            <w:pPr>
              <w:adjustRightInd w:val="0"/>
              <w:snapToGrid w:val="0"/>
              <w:spacing w:line="360" w:lineRule="auto"/>
              <w:ind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拟建三岔110kV变电站主要供电范围为黄铎堡、三营地区供电网络，属于D类供电区域，近两年片区内报装企业增多，煤改电等负荷接入，对配电网造成冲击，由于周边黄铎堡变、申庄变已接近接入容量安全阈值，新增负荷的负荷接入将导致原有变电站负载率增高，为满足周边工商农业远期负荷自然增长的用电需求，提高周边工商业负荷用电可靠性和供电质量，增强片区供电能力，有效的缩短供电半径，持续优化区域10kV网架与联络负荷，进一步提升配网供电可靠性和供电质量，建设本工程是必要的。</w:t>
            </w:r>
          </w:p>
          <w:p w14:paraId="21E9EEFA">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2、项目组成及规模</w:t>
            </w:r>
          </w:p>
          <w:p w14:paraId="4FF5045C">
            <w:pPr>
              <w:adjustRightInd w:val="0"/>
              <w:snapToGrid w:val="0"/>
              <w:spacing w:line="360" w:lineRule="auto"/>
              <w:ind w:firstLine="480" w:firstLineChars="200"/>
              <w:jc w:val="left"/>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本项目组成及规模</w:t>
            </w:r>
            <w:r>
              <w:rPr>
                <w:rFonts w:hint="default" w:ascii="Times New Roman" w:hAnsi="Times New Roman" w:eastAsia="宋体" w:cs="Times New Roman"/>
                <w:color w:val="000000" w:themeColor="text1"/>
                <w:spacing w:val="0"/>
                <w:sz w:val="24"/>
                <w14:textFill>
                  <w14:solidFill>
                    <w14:schemeClr w14:val="tx1"/>
                  </w14:solidFill>
                </w14:textFill>
              </w:rPr>
              <w:t>见表2-1。</w:t>
            </w:r>
          </w:p>
          <w:p w14:paraId="5743F5F4">
            <w:pPr>
              <w:pStyle w:val="16"/>
              <w:spacing w:line="240" w:lineRule="auto"/>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表2-1  本项目组成及规模</w:t>
            </w:r>
          </w:p>
          <w:tbl>
            <w:tblPr>
              <w:tblStyle w:val="26"/>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725"/>
              <w:gridCol w:w="6187"/>
            </w:tblGrid>
            <w:tr w14:paraId="18990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8" w:type="dxa"/>
                  <w:gridSpan w:val="2"/>
                  <w:vAlign w:val="center"/>
                </w:tcPr>
                <w:p w14:paraId="653F889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ascii="Times New Roman" w:hAnsi="Times New Roman" w:eastAsia="宋体"/>
                      <w:b/>
                      <w:color w:val="000000" w:themeColor="text1"/>
                      <w:spacing w:val="0"/>
                      <w:sz w:val="21"/>
                      <w:szCs w:val="21"/>
                      <w:highlight w:val="none"/>
                      <w14:textFill>
                        <w14:solidFill>
                          <w14:schemeClr w14:val="tx1"/>
                        </w14:solidFill>
                      </w14:textFill>
                    </w:rPr>
                    <w:t>项目名称</w:t>
                  </w:r>
                </w:p>
              </w:tc>
              <w:tc>
                <w:tcPr>
                  <w:tcW w:w="6187" w:type="dxa"/>
                  <w:vAlign w:val="center"/>
                </w:tcPr>
                <w:p w14:paraId="5167DD1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color w:val="000000" w:themeColor="text1"/>
                      <w:spacing w:val="0"/>
                      <w:sz w:val="21"/>
                      <w:szCs w:val="21"/>
                      <w:highlight w:val="none"/>
                      <w:lang w:val="en-US" w:eastAsia="zh-CN"/>
                      <w14:textFill>
                        <w14:solidFill>
                          <w14:schemeClr w14:val="tx1"/>
                        </w14:solidFill>
                      </w14:textFill>
                    </w:rPr>
                    <w:t>宁夏固原三岔110千伏输变电工程</w:t>
                  </w:r>
                </w:p>
              </w:tc>
            </w:tr>
            <w:tr w14:paraId="507AE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8" w:type="dxa"/>
                  <w:gridSpan w:val="2"/>
                  <w:vAlign w:val="center"/>
                </w:tcPr>
                <w:p w14:paraId="40EFEED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ascii="Times New Roman" w:hAnsi="Times New Roman" w:eastAsia="宋体"/>
                      <w:b/>
                      <w:color w:val="000000" w:themeColor="text1"/>
                      <w:spacing w:val="0"/>
                      <w:sz w:val="21"/>
                      <w:szCs w:val="21"/>
                      <w:highlight w:val="none"/>
                      <w14:textFill>
                        <w14:solidFill>
                          <w14:schemeClr w14:val="tx1"/>
                        </w14:solidFill>
                      </w14:textFill>
                    </w:rPr>
                    <w:t>建设单位</w:t>
                  </w:r>
                </w:p>
              </w:tc>
              <w:tc>
                <w:tcPr>
                  <w:tcW w:w="6187" w:type="dxa"/>
                  <w:vAlign w:val="center"/>
                </w:tcPr>
                <w:p w14:paraId="4FAA39D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国网宁夏电力有限公司</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固原</w:t>
                  </w:r>
                  <w:r>
                    <w:rPr>
                      <w:rFonts w:ascii="Times New Roman" w:hAnsi="Times New Roman" w:eastAsia="宋体"/>
                      <w:color w:val="000000" w:themeColor="text1"/>
                      <w:spacing w:val="0"/>
                      <w:sz w:val="21"/>
                      <w:szCs w:val="21"/>
                      <w:highlight w:val="none"/>
                      <w14:textFill>
                        <w14:solidFill>
                          <w14:schemeClr w14:val="tx1"/>
                        </w14:solidFill>
                      </w14:textFill>
                    </w:rPr>
                    <w:t>供电公司</w:t>
                  </w:r>
                </w:p>
              </w:tc>
            </w:tr>
            <w:tr w14:paraId="73D30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8" w:type="dxa"/>
                  <w:gridSpan w:val="2"/>
                  <w:vAlign w:val="center"/>
                </w:tcPr>
                <w:p w14:paraId="1609F1D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ascii="Times New Roman" w:hAnsi="Times New Roman" w:eastAsia="宋体"/>
                      <w:b/>
                      <w:color w:val="000000" w:themeColor="text1"/>
                      <w:spacing w:val="0"/>
                      <w:sz w:val="21"/>
                      <w:szCs w:val="21"/>
                      <w:highlight w:val="none"/>
                      <w14:textFill>
                        <w14:solidFill>
                          <w14:schemeClr w14:val="tx1"/>
                        </w14:solidFill>
                      </w14:textFill>
                    </w:rPr>
                    <w:t>项目设计单位</w:t>
                  </w:r>
                </w:p>
              </w:tc>
              <w:tc>
                <w:tcPr>
                  <w:tcW w:w="6187" w:type="dxa"/>
                  <w:vAlign w:val="center"/>
                </w:tcPr>
                <w:p w14:paraId="168E800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lang w:val="en-US" w:eastAsia="zh-CN"/>
                      <w14:textFill>
                        <w14:solidFill>
                          <w14:schemeClr w14:val="tx1"/>
                        </w14:solidFill>
                      </w14:textFill>
                    </w:rPr>
                    <w:t>固原龙源电力勘测设计咨询有限公司</w:t>
                  </w:r>
                </w:p>
              </w:tc>
            </w:tr>
            <w:tr w14:paraId="38132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8" w:type="dxa"/>
                  <w:gridSpan w:val="2"/>
                  <w:vAlign w:val="center"/>
                </w:tcPr>
                <w:p w14:paraId="02513389">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ascii="Times New Roman" w:hAnsi="Times New Roman" w:eastAsia="宋体"/>
                      <w:b/>
                      <w:color w:val="000000" w:themeColor="text1"/>
                      <w:spacing w:val="0"/>
                      <w:sz w:val="21"/>
                      <w:szCs w:val="21"/>
                      <w:highlight w:val="none"/>
                      <w14:textFill>
                        <w14:solidFill>
                          <w14:schemeClr w14:val="tx1"/>
                        </w14:solidFill>
                      </w14:textFill>
                    </w:rPr>
                    <w:t>建设性质</w:t>
                  </w:r>
                </w:p>
              </w:tc>
              <w:tc>
                <w:tcPr>
                  <w:tcW w:w="6187" w:type="dxa"/>
                  <w:vAlign w:val="center"/>
                </w:tcPr>
                <w:p w14:paraId="0032CDF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新建</w:t>
                  </w:r>
                </w:p>
              </w:tc>
            </w:tr>
            <w:tr w14:paraId="4590F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8" w:type="dxa"/>
                  <w:gridSpan w:val="2"/>
                  <w:vAlign w:val="center"/>
                </w:tcPr>
                <w:p w14:paraId="5201314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ascii="Times New Roman" w:hAnsi="Times New Roman" w:eastAsia="宋体"/>
                      <w:b/>
                      <w:color w:val="000000" w:themeColor="text1"/>
                      <w:spacing w:val="0"/>
                      <w:sz w:val="21"/>
                      <w:szCs w:val="21"/>
                      <w:highlight w:val="none"/>
                      <w14:textFill>
                        <w14:solidFill>
                          <w14:schemeClr w14:val="tx1"/>
                        </w14:solidFill>
                      </w14:textFill>
                    </w:rPr>
                    <w:t>建设地点</w:t>
                  </w:r>
                </w:p>
              </w:tc>
              <w:tc>
                <w:tcPr>
                  <w:tcW w:w="6187" w:type="dxa"/>
                  <w:vAlign w:val="center"/>
                </w:tcPr>
                <w:p w14:paraId="12CC602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58D75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3" w:type="dxa"/>
                  <w:vAlign w:val="center"/>
                </w:tcPr>
                <w:p w14:paraId="652376B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sz w:val="21"/>
                      <w:szCs w:val="21"/>
                      <w:highlight w:val="none"/>
                      <w:lang w:val="en-US" w:eastAsia="zh-CN"/>
                      <w14:textFill>
                        <w14:solidFill>
                          <w14:schemeClr w14:val="tx1"/>
                        </w14:solidFill>
                      </w14:textFill>
                    </w:rPr>
                    <w:t>三岔110千伏变电站新建工程</w:t>
                  </w:r>
                </w:p>
              </w:tc>
              <w:tc>
                <w:tcPr>
                  <w:tcW w:w="725" w:type="dxa"/>
                  <w:vAlign w:val="center"/>
                </w:tcPr>
                <w:p w14:paraId="1C8D2AF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r>
                    <w:rPr>
                      <w:rFonts w:ascii="Times New Roman" w:hAnsi="Times New Roman" w:eastAsia="宋体"/>
                      <w:b/>
                      <w:bCs/>
                      <w:color w:val="000000" w:themeColor="text1"/>
                      <w:spacing w:val="0"/>
                      <w:sz w:val="21"/>
                      <w:szCs w:val="21"/>
                      <w:highlight w:val="none"/>
                      <w14:textFill>
                        <w14:solidFill>
                          <w14:schemeClr w14:val="tx1"/>
                        </w14:solidFill>
                      </w14:textFill>
                    </w:rPr>
                    <w:t>相关</w:t>
                  </w:r>
                </w:p>
                <w:p w14:paraId="6EB5DDDB">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r>
                    <w:rPr>
                      <w:rFonts w:ascii="Times New Roman" w:hAnsi="Times New Roman" w:eastAsia="宋体"/>
                      <w:b/>
                      <w:bCs/>
                      <w:color w:val="000000" w:themeColor="text1"/>
                      <w:spacing w:val="0"/>
                      <w:sz w:val="21"/>
                      <w:szCs w:val="21"/>
                      <w:highlight w:val="none"/>
                      <w14:textFill>
                        <w14:solidFill>
                          <w14:schemeClr w14:val="tx1"/>
                        </w14:solidFill>
                      </w14:textFill>
                    </w:rPr>
                    <w:t>装置</w:t>
                  </w:r>
                </w:p>
              </w:tc>
              <w:tc>
                <w:tcPr>
                  <w:tcW w:w="6187" w:type="dxa"/>
                  <w:vAlign w:val="center"/>
                </w:tcPr>
                <w:p w14:paraId="520D0721">
                  <w:pPr>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olor w:val="000000" w:themeColor="text1"/>
                      <w:spacing w:val="0"/>
                      <w:sz w:val="21"/>
                      <w:szCs w:val="21"/>
                      <w:highlight w:val="none"/>
                      <w:lang w:val="en-US"/>
                      <w14:textFill>
                        <w14:solidFill>
                          <w14:schemeClr w14:val="tx1"/>
                        </w14:solidFill>
                      </w14:textFill>
                    </w:rPr>
                  </w:pPr>
                  <w:bookmarkStart w:id="5" w:name="_Hlk167467138"/>
                  <w:r>
                    <w:rPr>
                      <w:rFonts w:hint="eastAsia"/>
                      <w:color w:val="000000" w:themeColor="text1"/>
                      <w:spacing w:val="0"/>
                      <w:sz w:val="21"/>
                      <w:szCs w:val="21"/>
                      <w:highlight w:val="none"/>
                      <w:lang w:val="en-US" w:eastAsia="zh-CN"/>
                      <w14:textFill>
                        <w14:solidFill>
                          <w14:schemeClr w14:val="tx1"/>
                        </w14:solidFill>
                      </w14:textFill>
                    </w:rPr>
                    <w:t>新建</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三岔</w:t>
                  </w:r>
                  <w:r>
                    <w:rPr>
                      <w:rFonts w:hint="eastAsia" w:ascii="Times New Roman" w:hAnsi="Times New Roman" w:eastAsia="宋体"/>
                      <w:color w:val="000000" w:themeColor="text1"/>
                      <w:spacing w:val="0"/>
                      <w:sz w:val="21"/>
                      <w:szCs w:val="21"/>
                      <w:highlight w:val="none"/>
                      <w:lang w:eastAsia="zh-CN"/>
                      <w14:textFill>
                        <w14:solidFill>
                          <w14:schemeClr w14:val="tx1"/>
                        </w14:solidFill>
                      </w14:textFill>
                    </w:rPr>
                    <w:t>110</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千伏</w:t>
                  </w:r>
                  <w:r>
                    <w:rPr>
                      <w:rFonts w:hint="default" w:ascii="Times New Roman" w:hAnsi="Times New Roman" w:eastAsia="宋体"/>
                      <w:color w:val="000000" w:themeColor="text1"/>
                      <w:spacing w:val="0"/>
                      <w:sz w:val="21"/>
                      <w:szCs w:val="21"/>
                      <w:highlight w:val="none"/>
                      <w14:textFill>
                        <w14:solidFill>
                          <w14:schemeClr w14:val="tx1"/>
                        </w14:solidFill>
                      </w14:textFill>
                    </w:rPr>
                    <w:t>变电站</w:t>
                  </w:r>
                  <w:r>
                    <w:rPr>
                      <w:rFonts w:hint="eastAsia"/>
                      <w:color w:val="000000" w:themeColor="text1"/>
                      <w:spacing w:val="0"/>
                      <w:sz w:val="21"/>
                      <w:szCs w:val="21"/>
                      <w:highlight w:val="none"/>
                      <w:lang w:val="en-US" w:eastAsia="zh-CN"/>
                      <w14:textFill>
                        <w14:solidFill>
                          <w14:schemeClr w14:val="tx1"/>
                        </w14:solidFill>
                      </w14:textFill>
                    </w:rPr>
                    <w:t>为户外变，采用装配式围墙，</w:t>
                  </w:r>
                  <w: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t>新建</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1 号、2 号主变</w:t>
                  </w:r>
                  <w:r>
                    <w:rPr>
                      <w:rFonts w:hint="eastAsia"/>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olor w:val="000000" w:themeColor="text1"/>
                      <w:spacing w:val="0"/>
                      <w:sz w:val="21"/>
                      <w:szCs w:val="21"/>
                      <w:highlight w:val="none"/>
                      <w14:textFill>
                        <w14:solidFill>
                          <w14:schemeClr w14:val="tx1"/>
                        </w14:solidFill>
                      </w14:textFill>
                    </w:rPr>
                    <w:t>主变</w:t>
                  </w:r>
                  <w:r>
                    <w:rPr>
                      <w:rFonts w:hint="eastAsia"/>
                      <w:color w:val="000000" w:themeColor="text1"/>
                      <w:spacing w:val="0"/>
                      <w:sz w:val="21"/>
                      <w:szCs w:val="21"/>
                      <w:highlight w:val="none"/>
                      <w:lang w:val="en-US" w:eastAsia="zh-CN"/>
                      <w14:textFill>
                        <w14:solidFill>
                          <w14:schemeClr w14:val="tx1"/>
                        </w14:solidFill>
                      </w14:textFill>
                    </w:rPr>
                    <w:t>容量</w:t>
                  </w:r>
                  <w:r>
                    <w:rPr>
                      <w:rFonts w:hint="default" w:ascii="Times New Roman" w:hAnsi="Times New Roman" w:eastAsia="宋体"/>
                      <w:color w:val="000000" w:themeColor="text1"/>
                      <w:spacing w:val="0"/>
                      <w:sz w:val="21"/>
                      <w:szCs w:val="21"/>
                      <w:highlight w:val="none"/>
                      <w14:textFill>
                        <w14:solidFill>
                          <w14:schemeClr w14:val="tx1"/>
                        </w14:solidFill>
                      </w14:textFill>
                    </w:rPr>
                    <w:t>2×</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50</w:t>
                  </w:r>
                  <w:r>
                    <w:rPr>
                      <w:rFonts w:hint="default" w:ascii="Times New Roman" w:hAnsi="Times New Roman" w:eastAsia="宋体"/>
                      <w:color w:val="000000" w:themeColor="text1"/>
                      <w:spacing w:val="0"/>
                      <w:sz w:val="21"/>
                      <w:szCs w:val="21"/>
                      <w:highlight w:val="none"/>
                      <w14:textFill>
                        <w14:solidFill>
                          <w14:schemeClr w14:val="tx1"/>
                        </w14:solidFill>
                      </w14:textFill>
                    </w:rPr>
                    <w:t>MVA</w:t>
                  </w:r>
                  <w:r>
                    <w:rPr>
                      <w:rFonts w:hint="eastAsia" w:ascii="Times New Roman" w:hAnsi="Times New Roman" w:eastAsia="宋体"/>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新建</w:t>
                  </w:r>
                  <w:r>
                    <w:rPr>
                      <w:rFonts w:hint="eastAsia" w:ascii="Times New Roman" w:hAnsi="Times New Roman" w:eastAsia="宋体"/>
                      <w:color w:val="000000" w:themeColor="text1"/>
                      <w:spacing w:val="0"/>
                      <w:sz w:val="21"/>
                      <w:szCs w:val="21"/>
                      <w:highlight w:val="none"/>
                      <w:lang w:eastAsia="zh-CN"/>
                      <w14:textFill>
                        <w14:solidFill>
                          <w14:schemeClr w14:val="tx1"/>
                        </w14:solidFill>
                      </w14:textFill>
                    </w:rPr>
                    <w:t>110kV</w:t>
                  </w:r>
                  <w:r>
                    <w:rPr>
                      <w:rFonts w:hint="default" w:ascii="Times New Roman" w:hAnsi="Times New Roman" w:eastAsia="宋体"/>
                      <w:color w:val="000000" w:themeColor="text1"/>
                      <w:spacing w:val="0"/>
                      <w:sz w:val="21"/>
                      <w:szCs w:val="21"/>
                      <w:highlight w:val="none"/>
                      <w14:textFill>
                        <w14:solidFill>
                          <w14:schemeClr w14:val="tx1"/>
                        </w14:solidFill>
                      </w14:textFill>
                    </w:rPr>
                    <w:t>出线</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2回</w:t>
                  </w:r>
                  <w:r>
                    <w:rPr>
                      <w:rFonts w:hint="default" w:ascii="Times New Roman" w:hAnsi="Times New Roman" w:eastAsia="宋体"/>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35</w:t>
                  </w:r>
                  <w:r>
                    <w:rPr>
                      <w:rFonts w:hint="default" w:ascii="Times New Roman" w:hAnsi="Times New Roman" w:eastAsia="宋体"/>
                      <w:color w:val="000000" w:themeColor="text1"/>
                      <w:spacing w:val="0"/>
                      <w:sz w:val="21"/>
                      <w:szCs w:val="21"/>
                      <w:highlight w:val="none"/>
                      <w14:textFill>
                        <w14:solidFill>
                          <w14:schemeClr w14:val="tx1"/>
                        </w14:solidFill>
                      </w14:textFill>
                    </w:rPr>
                    <w:t>kV出线</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6回</w:t>
                  </w:r>
                  <w:bookmarkEnd w:id="5"/>
                  <w:r>
                    <w:rPr>
                      <w:rFonts w:hint="eastAsia" w:ascii="Times New Roman" w:hAnsi="Times New Roman" w:eastAsia="宋体"/>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10</w:t>
                  </w:r>
                  <w:r>
                    <w:rPr>
                      <w:rFonts w:hint="default" w:ascii="Times New Roman" w:hAnsi="Times New Roman" w:eastAsia="宋体"/>
                      <w:color w:val="000000" w:themeColor="text1"/>
                      <w:spacing w:val="0"/>
                      <w:sz w:val="21"/>
                      <w:szCs w:val="21"/>
                      <w:highlight w:val="none"/>
                      <w14:textFill>
                        <w14:solidFill>
                          <w14:schemeClr w14:val="tx1"/>
                        </w14:solidFill>
                      </w14:textFill>
                    </w:rPr>
                    <w:t>kV出线</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16回</w:t>
                  </w:r>
                  <w:r>
                    <w:rPr>
                      <w:rFonts w:hint="eastAsia"/>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1 号、2 号主变低压侧装设 1 组 3Mvar 及1 组 6Mvar 的并联电容器组</w:t>
                  </w:r>
                  <w:r>
                    <w:rPr>
                      <w:rFonts w:hint="eastAsia"/>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新上10kV 接地变消弧线圈成套装置 2 套，二次绕组兼用作本站站用电源，分别接于 10kVⅠ段及Ⅱ段母线上。</w:t>
                  </w:r>
                </w:p>
              </w:tc>
            </w:tr>
            <w:tr w14:paraId="425C2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3" w:type="dxa"/>
                  <w:vAlign w:val="center"/>
                </w:tcPr>
                <w:p w14:paraId="5950077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sz w:val="21"/>
                      <w:szCs w:val="21"/>
                      <w:highlight w:val="none"/>
                      <w:lang w:val="en-US" w:eastAsia="zh-CN"/>
                      <w14:textFill>
                        <w14:solidFill>
                          <w14:schemeClr w14:val="tx1"/>
                        </w14:solidFill>
                      </w14:textFill>
                    </w:rPr>
                    <w:t>申铎线π入三岔变110kV线路</w:t>
                  </w:r>
                </w:p>
              </w:tc>
              <w:tc>
                <w:tcPr>
                  <w:tcW w:w="725" w:type="dxa"/>
                  <w:vMerge w:val="restart"/>
                  <w:vAlign w:val="center"/>
                </w:tcPr>
                <w:p w14:paraId="6E3C6E2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r>
                    <w:rPr>
                      <w:rFonts w:ascii="Times New Roman" w:hAnsi="Times New Roman" w:eastAsia="宋体"/>
                      <w:b/>
                      <w:bCs/>
                      <w:color w:val="000000" w:themeColor="text1"/>
                      <w:spacing w:val="0"/>
                      <w:sz w:val="21"/>
                      <w:szCs w:val="21"/>
                      <w:highlight w:val="none"/>
                      <w14:textFill>
                        <w14:solidFill>
                          <w14:schemeClr w14:val="tx1"/>
                        </w14:solidFill>
                      </w14:textFill>
                    </w:rPr>
                    <w:t>相关</w:t>
                  </w:r>
                </w:p>
                <w:p w14:paraId="1F5B826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r>
                    <w:rPr>
                      <w:rFonts w:ascii="Times New Roman" w:hAnsi="Times New Roman" w:eastAsia="宋体"/>
                      <w:b/>
                      <w:bCs/>
                      <w:color w:val="000000" w:themeColor="text1"/>
                      <w:spacing w:val="0"/>
                      <w:sz w:val="21"/>
                      <w:szCs w:val="21"/>
                      <w:highlight w:val="none"/>
                      <w14:textFill>
                        <w14:solidFill>
                          <w14:schemeClr w14:val="tx1"/>
                        </w14:solidFill>
                      </w14:textFill>
                    </w:rPr>
                    <w:t>装置</w:t>
                  </w:r>
                </w:p>
              </w:tc>
              <w:tc>
                <w:tcPr>
                  <w:tcW w:w="6187" w:type="dxa"/>
                  <w:vAlign w:val="center"/>
                </w:tcPr>
                <w:p w14:paraId="71576F77">
                  <w:pPr>
                    <w:keepNext w:val="0"/>
                    <w:keepLines w:val="0"/>
                    <w:pageBreakBefore w:val="0"/>
                    <w:widowControl w:val="0"/>
                    <w:kinsoku/>
                    <w:wordWrap/>
                    <w:overflowPunct/>
                    <w:topLinePunct w:val="0"/>
                    <w:autoSpaceDE/>
                    <w:autoSpaceDN/>
                    <w:bidi w:val="0"/>
                    <w:jc w:val="left"/>
                    <w:textAlignment w:val="auto"/>
                    <w:outlineLvl w:val="9"/>
                    <w:rPr>
                      <w:rFonts w:ascii="Times New Roman" w:hAnsi="Times New Roman" w:eastAsia="宋体"/>
                      <w:bCs/>
                      <w:color w:val="000000" w:themeColor="text1"/>
                      <w:spacing w:val="0"/>
                      <w:sz w:val="21"/>
                      <w:szCs w:val="21"/>
                      <w:highlight w:val="none"/>
                      <w14:textFill>
                        <w14:solidFill>
                          <w14:schemeClr w14:val="tx1"/>
                        </w14:solidFill>
                      </w14:textFill>
                    </w:rPr>
                  </w:pPr>
                  <w:r>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t>新建申庄~黄铎堡π入三岔变电站110千伏架空线路1×3.5千米，导线采用JL3/G1A-300/25钢芯高导电率铝绞线。除π接处采用双回路架设，其余采用单回路架设。新建杆塔 14 基，其中双回路耐张塔 2 基，单回路耐张塔 6基，单回路直线塔 6 基</w:t>
                  </w:r>
                  <w:r>
                    <w:rPr>
                      <w:rFonts w:hint="default" w:ascii="Times New Roman" w:hAnsi="Times New Roman" w:eastAsia="宋体"/>
                      <w:bCs/>
                      <w:color w:val="000000" w:themeColor="text1"/>
                      <w:spacing w:val="0"/>
                      <w:sz w:val="21"/>
                      <w:szCs w:val="21"/>
                      <w:highlight w:val="none"/>
                      <w14:textFill>
                        <w14:solidFill>
                          <w14:schemeClr w14:val="tx1"/>
                        </w14:solidFill>
                      </w14:textFill>
                    </w:rPr>
                    <w:t>。</w:t>
                  </w:r>
                </w:p>
              </w:tc>
            </w:tr>
            <w:tr w14:paraId="65056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3" w:type="dxa"/>
                  <w:vAlign w:val="center"/>
                </w:tcPr>
                <w:p w14:paraId="6CA82FA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b/>
                      <w:bCs/>
                      <w:color w:val="000000" w:themeColor="text1"/>
                      <w:spacing w:val="0"/>
                      <w:sz w:val="21"/>
                      <w:szCs w:val="21"/>
                      <w:highlight w:val="none"/>
                      <w:lang w:val="en-US" w:eastAsia="zh-CN"/>
                      <w14:textFill>
                        <w14:solidFill>
                          <w14:schemeClr w14:val="tx1"/>
                        </w14:solidFill>
                      </w14:textFill>
                    </w:rPr>
                  </w:pPr>
                  <w:r>
                    <w:rPr>
                      <w:rFonts w:hint="eastAsia"/>
                      <w:b/>
                      <w:bCs/>
                      <w:color w:val="000000" w:themeColor="text1"/>
                      <w:spacing w:val="0"/>
                      <w:sz w:val="21"/>
                      <w:szCs w:val="21"/>
                      <w:highlight w:val="none"/>
                      <w:lang w:val="en-US" w:eastAsia="zh-CN"/>
                      <w14:textFill>
                        <w14:solidFill>
                          <w14:schemeClr w14:val="tx1"/>
                        </w14:solidFill>
                      </w14:textFill>
                    </w:rPr>
                    <w:t>申庄～黄铎堡改接清水河变电站110kV线路</w:t>
                  </w:r>
                </w:p>
              </w:tc>
              <w:tc>
                <w:tcPr>
                  <w:tcW w:w="725" w:type="dxa"/>
                  <w:vMerge w:val="continue"/>
                  <w:vAlign w:val="center"/>
                </w:tcPr>
                <w:p w14:paraId="4219C87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p>
              </w:tc>
              <w:tc>
                <w:tcPr>
                  <w:tcW w:w="6187" w:type="dxa"/>
                  <w:vAlign w:val="center"/>
                </w:tcPr>
                <w:p w14:paraId="494F8BDD">
                  <w:pPr>
                    <w:keepNext w:val="0"/>
                    <w:keepLines w:val="0"/>
                    <w:pageBreakBefore w:val="0"/>
                    <w:widowControl w:val="0"/>
                    <w:kinsoku/>
                    <w:wordWrap/>
                    <w:overflowPunct/>
                    <w:topLinePunct w:val="0"/>
                    <w:autoSpaceDE/>
                    <w:autoSpaceDN/>
                    <w:bidi w:val="0"/>
                    <w:jc w:val="left"/>
                    <w:textAlignment w:val="auto"/>
                    <w:outlineLvl w:val="9"/>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新建申庄~黄铎堡改接清水河变电站110kV线路1×0.04千米(架空)+2×1.75千米(架空)+1×0.28千米(电缆)+2×0.31千米(电缆)</w:t>
                  </w:r>
                  <w:r>
                    <w:rPr>
                      <w:rFonts w:hint="eastAsia"/>
                      <w:bCs/>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导线采用JL3/G1A-300/25钢芯高导电率铝绞线，电缆采用630mm</w:t>
                  </w:r>
                  <w:r>
                    <w:rPr>
                      <w:rFonts w:hint="eastAsia"/>
                      <w:bCs/>
                      <w:color w:val="000000" w:themeColor="text1"/>
                      <w:spacing w:val="0"/>
                      <w:sz w:val="21"/>
                      <w:szCs w:val="21"/>
                      <w:highlight w:val="none"/>
                      <w:vertAlign w:val="superscript"/>
                      <w:lang w:val="en-US" w:eastAsia="zh-CN"/>
                      <w14:textFill>
                        <w14:solidFill>
                          <w14:schemeClr w14:val="tx1"/>
                        </w14:solidFill>
                      </w14:textFill>
                    </w:rPr>
                    <w:t>2</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单芯铜芯电力电缆</w:t>
                  </w:r>
                  <w:r>
                    <w:rPr>
                      <w:rFonts w:hint="eastAsia"/>
                      <w:bCs/>
                      <w:color w:val="000000" w:themeColor="text1"/>
                      <w:spacing w:val="0"/>
                      <w:sz w:val="21"/>
                      <w:szCs w:val="21"/>
                      <w:highlight w:val="none"/>
                      <w:lang w:val="en-US" w:eastAsia="zh-CN"/>
                      <w14:textFill>
                        <w14:solidFill>
                          <w14:schemeClr w14:val="tx1"/>
                        </w14:solidFill>
                      </w14:textFill>
                    </w:rPr>
                    <w:t>，采用穿管直埋、非开挖拉管的方式敷设</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。采用单、双回路杆塔架设</w:t>
                  </w:r>
                  <w:r>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t>。新建杆塔 11 基，其中双回路耐张塔 6 基，双回路直线塔 3基，双回路耐张钢管杆 1 基，单回路耐张钢管杆 1 基</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w:t>
                  </w:r>
                  <w:r>
                    <w:rPr>
                      <w:rFonts w:hint="eastAsia"/>
                      <w:bCs/>
                      <w:color w:val="000000" w:themeColor="text1"/>
                      <w:spacing w:val="0"/>
                      <w:sz w:val="21"/>
                      <w:szCs w:val="21"/>
                      <w:highlight w:val="none"/>
                      <w:lang w:val="en-US" w:eastAsia="zh-CN"/>
                      <w14:textFill>
                        <w14:solidFill>
                          <w14:schemeClr w14:val="tx1"/>
                        </w14:solidFill>
                      </w14:textFill>
                    </w:rPr>
                    <w:t>拆除原清铎#7#8（申铎#4#5）铁塔及线档内导线。</w:t>
                  </w:r>
                </w:p>
              </w:tc>
            </w:tr>
            <w:tr w14:paraId="07A6F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3" w:type="dxa"/>
                  <w:vAlign w:val="center"/>
                </w:tcPr>
                <w:p w14:paraId="37974AE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b/>
                      <w:bCs/>
                      <w:color w:val="000000" w:themeColor="text1"/>
                      <w:spacing w:val="0"/>
                      <w:sz w:val="21"/>
                      <w:szCs w:val="21"/>
                      <w:highlight w:val="none"/>
                      <w:lang w:val="en-US" w:eastAsia="zh-CN"/>
                      <w14:textFill>
                        <w14:solidFill>
                          <w14:schemeClr w14:val="tx1"/>
                        </w14:solidFill>
                      </w14:textFill>
                    </w:rPr>
                  </w:pPr>
                  <w:r>
                    <w:rPr>
                      <w:rFonts w:hint="eastAsia"/>
                      <w:b/>
                      <w:bCs/>
                      <w:color w:val="000000" w:themeColor="text1"/>
                      <w:spacing w:val="0"/>
                      <w:sz w:val="21"/>
                      <w:szCs w:val="21"/>
                      <w:highlight w:val="none"/>
                      <w:lang w:val="en-US" w:eastAsia="zh-CN"/>
                      <w14:textFill>
                        <w14:solidFill>
                          <w14:schemeClr w14:val="tx1"/>
                        </w14:solidFill>
                      </w14:textFill>
                    </w:rPr>
                    <w:t>清水河~申庄改接绿塬变电站110kV线路</w:t>
                  </w:r>
                </w:p>
              </w:tc>
              <w:tc>
                <w:tcPr>
                  <w:tcW w:w="725" w:type="dxa"/>
                  <w:vMerge w:val="continue"/>
                  <w:vAlign w:val="center"/>
                </w:tcPr>
                <w:p w14:paraId="566B16EA">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p>
              </w:tc>
              <w:tc>
                <w:tcPr>
                  <w:tcW w:w="6187" w:type="dxa"/>
                  <w:vAlign w:val="center"/>
                </w:tcPr>
                <w:p w14:paraId="04ED6AF5">
                  <w:pPr>
                    <w:keepNext w:val="0"/>
                    <w:keepLines w:val="0"/>
                    <w:pageBreakBefore w:val="0"/>
                    <w:widowControl w:val="0"/>
                    <w:kinsoku/>
                    <w:wordWrap/>
                    <w:overflowPunct/>
                    <w:topLinePunct w:val="0"/>
                    <w:autoSpaceDE/>
                    <w:autoSpaceDN/>
                    <w:bidi w:val="0"/>
                    <w:jc w:val="left"/>
                    <w:textAlignment w:val="auto"/>
                    <w:outlineLvl w:val="9"/>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新建清水河~申庄改接绿塬变电站110kV线路约1×0.01千米(架空)+1×0.24千米(电缆)</w:t>
                  </w:r>
                  <w:r>
                    <w:rPr>
                      <w:rFonts w:hint="eastAsia"/>
                      <w:bCs/>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导线采用JL3/G1A-300/25钢芯高导电率铝绞线，电缆采用630mm²单芯铜芯电力电缆</w:t>
                  </w:r>
                  <w:r>
                    <w:rPr>
                      <w:rFonts w:hint="eastAsia"/>
                      <w:bCs/>
                      <w:color w:val="000000" w:themeColor="text1"/>
                      <w:spacing w:val="0"/>
                      <w:sz w:val="21"/>
                      <w:szCs w:val="21"/>
                      <w:highlight w:val="none"/>
                      <w:lang w:val="en-US" w:eastAsia="zh-CN"/>
                      <w14:textFill>
                        <w14:solidFill>
                          <w14:schemeClr w14:val="tx1"/>
                        </w14:solidFill>
                      </w14:textFill>
                    </w:rPr>
                    <w:t>，采用穿管直埋、非开挖拉管的方式敷设</w:t>
                  </w:r>
                  <w:r>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t>。新建</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1基单回路</w:t>
                  </w:r>
                  <w:r>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t>钢管杆</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w:t>
                  </w:r>
                </w:p>
              </w:tc>
            </w:tr>
            <w:tr w14:paraId="125DF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8" w:type="dxa"/>
                  <w:gridSpan w:val="2"/>
                  <w:vAlign w:val="center"/>
                </w:tcPr>
                <w:p w14:paraId="45A2E9FA">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r>
                    <w:rPr>
                      <w:rFonts w:ascii="Times New Roman" w:hAnsi="Times New Roman" w:eastAsia="宋体"/>
                      <w:b/>
                      <w:bCs/>
                      <w:color w:val="000000" w:themeColor="text1"/>
                      <w:spacing w:val="0"/>
                      <w:sz w:val="21"/>
                      <w:szCs w:val="21"/>
                      <w:highlight w:val="none"/>
                      <w14:textFill>
                        <w14:solidFill>
                          <w14:schemeClr w14:val="tx1"/>
                        </w14:solidFill>
                      </w14:textFill>
                    </w:rPr>
                    <w:t>辅助工程</w:t>
                  </w:r>
                </w:p>
              </w:tc>
              <w:tc>
                <w:tcPr>
                  <w:tcW w:w="6187" w:type="dxa"/>
                  <w:vAlign w:val="center"/>
                </w:tcPr>
                <w:p w14:paraId="68D78585">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①</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配电装置室：总建筑面积636m</w:t>
                  </w:r>
                  <w:r>
                    <w:rPr>
                      <w:rFonts w:hint="eastAsia" w:ascii="Times New Roman" w:hAnsi="Times New Roman" w:eastAsia="宋体"/>
                      <w:color w:val="000000" w:themeColor="text1"/>
                      <w:spacing w:val="0"/>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，采用钢框架结构</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 xml:space="preserve"> </w:t>
                  </w:r>
                </w:p>
                <w:p w14:paraId="3ABF0586">
                  <w:pPr>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olor w:val="000000" w:themeColor="text1"/>
                      <w:spacing w:val="0"/>
                      <w:sz w:val="21"/>
                      <w:szCs w:val="21"/>
                      <w:highlight w:val="none"/>
                      <w:lang w:val="en-US"/>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②</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一体化辅助用房：建筑面积为48.00m</w:t>
                  </w:r>
                  <w:r>
                    <w:rPr>
                      <w:rFonts w:hint="eastAsia" w:ascii="Times New Roman" w:hAnsi="Times New Roman" w:eastAsia="宋体"/>
                      <w:color w:val="000000" w:themeColor="text1"/>
                      <w:spacing w:val="0"/>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；设有警卫室、备餐间、卫生间、值班室。</w:t>
                  </w:r>
                </w:p>
                <w:p w14:paraId="2DF9FDB3">
                  <w:pPr>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pacing w:val="0"/>
                      <w:sz w:val="21"/>
                      <w:szCs w:val="21"/>
                      <w:highlight w:val="none"/>
                      <w14:textFill>
                        <w14:solidFill>
                          <w14:schemeClr w14:val="tx1"/>
                        </w14:solidFill>
                      </w14:textFill>
                    </w:rPr>
                    <w:t>③</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10千伏</w:t>
                  </w:r>
                  <w: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t>站外电源线路：施工电源拟从三岔变站址西侧约400m黄铎堡变571陈庄线三岔居民点分支015号杆</w:t>
                  </w:r>
                  <w:r>
                    <w:rPr>
                      <w:rFonts w:hint="eastAsia"/>
                      <w:color w:val="000000" w:themeColor="text1"/>
                      <w:spacing w:val="0"/>
                      <w:sz w:val="21"/>
                      <w:szCs w:val="21"/>
                      <w:highlight w:val="none"/>
                      <w:lang w:val="en-US" w:eastAsia="zh-CN"/>
                      <w14:textFill>
                        <w14:solidFill>
                          <w14:schemeClr w14:val="tx1"/>
                        </w14:solidFill>
                      </w14:textFill>
                    </w:rPr>
                    <w:t>架空</w:t>
                  </w:r>
                  <w: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t>引接，引接长度约为450m，待施工结束后作拆除。</w:t>
                  </w:r>
                </w:p>
                <w:p w14:paraId="71260E82">
                  <w:pPr>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olor w:val="000000" w:themeColor="text1"/>
                      <w:spacing w:val="0"/>
                      <w:sz w:val="21"/>
                      <w:szCs w:val="21"/>
                      <w:highlight w:val="none"/>
                      <w14:textFill>
                        <w14:solidFill>
                          <w14:schemeClr w14:val="tx1"/>
                        </w14:solidFill>
                      </w14:textFill>
                    </w:rPr>
                  </w:pPr>
                  <w:r>
                    <w:rPr>
                      <w:rFonts w:hint="default" w:ascii="Times New Roman" w:hAnsi="Times New Roman" w:eastAsia="宋体"/>
                      <w:color w:val="000000" w:themeColor="text1"/>
                      <w:spacing w:val="0"/>
                      <w:sz w:val="21"/>
                      <w:szCs w:val="21"/>
                      <w:highlight w:val="none"/>
                      <w14:textFill>
                        <w14:solidFill>
                          <w14:schemeClr w14:val="tx1"/>
                        </w14:solidFill>
                      </w14:textFill>
                    </w:rPr>
                    <w:t>④</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10kV接地变及消弧线圈装置</w:t>
                  </w:r>
                  <w: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10kV接地变消弧线圈成套装置2套，二次绕组兼用作本站站用电源，分别接于10kV I段及II段母线上</w:t>
                  </w:r>
                  <w: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t>。</w:t>
                  </w:r>
                </w:p>
                <w:p w14:paraId="082F1C51">
                  <w:pPr>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bCs/>
                      <w:color w:val="000000" w:themeColor="text1"/>
                      <w:spacing w:val="0"/>
                      <w:sz w:val="21"/>
                      <w:szCs w:val="21"/>
                      <w:highlight w:val="none"/>
                      <w:lang w:val="en-US"/>
                      <w14:textFill>
                        <w14:solidFill>
                          <w14:schemeClr w14:val="tx1"/>
                        </w14:solidFill>
                      </w14:textFill>
                    </w:rPr>
                  </w:pPr>
                  <w:r>
                    <w:rPr>
                      <w:rFonts w:hint="default" w:ascii="Times New Roman" w:hAnsi="Times New Roman" w:eastAsia="宋体"/>
                      <w:color w:val="000000" w:themeColor="text1"/>
                      <w:spacing w:val="0"/>
                      <w:sz w:val="21"/>
                      <w:szCs w:val="21"/>
                      <w:highlight w:val="none"/>
                      <w14:textFill>
                        <w14:solidFill>
                          <w14:schemeClr w14:val="tx1"/>
                        </w14:solidFill>
                      </w14:textFill>
                    </w:rPr>
                    <w:fldChar w:fldCharType="begin"/>
                  </w:r>
                  <w:r>
                    <w:rPr>
                      <w:rFonts w:hint="default" w:ascii="Times New Roman" w:hAnsi="Times New Roman" w:eastAsia="宋体"/>
                      <w:color w:val="000000" w:themeColor="text1"/>
                      <w:spacing w:val="0"/>
                      <w:sz w:val="21"/>
                      <w:szCs w:val="21"/>
                      <w:highlight w:val="none"/>
                      <w14:textFill>
                        <w14:solidFill>
                          <w14:schemeClr w14:val="tx1"/>
                        </w14:solidFill>
                      </w14:textFill>
                    </w:rPr>
                    <w:instrText xml:space="preserve"> = 5 \* GB3 \* MERGEFORMAT </w:instrText>
                  </w:r>
                  <w:r>
                    <w:rPr>
                      <w:rFonts w:hint="default" w:ascii="Times New Roman" w:hAnsi="Times New Roman" w:eastAsia="宋体"/>
                      <w:color w:val="000000" w:themeColor="text1"/>
                      <w:spacing w:val="0"/>
                      <w:sz w:val="21"/>
                      <w:szCs w:val="21"/>
                      <w:highlight w:val="none"/>
                      <w14:textFill>
                        <w14:solidFill>
                          <w14:schemeClr w14:val="tx1"/>
                        </w14:solidFill>
                      </w14:textFill>
                    </w:rPr>
                    <w:fldChar w:fldCharType="separate"/>
                  </w:r>
                  <w:r>
                    <w:rPr>
                      <w:rFonts w:hint="default" w:ascii="Times New Roman" w:hAnsi="Times New Roman" w:eastAsia="宋体"/>
                      <w:color w:val="000000" w:themeColor="text1"/>
                      <w:spacing w:val="0"/>
                      <w:sz w:val="21"/>
                      <w:szCs w:val="21"/>
                      <w:highlight w:val="none"/>
                      <w14:textFill>
                        <w14:solidFill>
                          <w14:schemeClr w14:val="tx1"/>
                        </w14:solidFill>
                      </w14:textFill>
                    </w:rPr>
                    <w:t>⑤</w:t>
                  </w:r>
                  <w:r>
                    <w:rPr>
                      <w:rFonts w:hint="default" w:ascii="Times New Roman" w:hAnsi="Times New Roman" w:eastAsia="宋体"/>
                      <w:color w:val="000000" w:themeColor="text1"/>
                      <w:spacing w:val="0"/>
                      <w:sz w:val="21"/>
                      <w:szCs w:val="21"/>
                      <w:highlight w:val="none"/>
                      <w14:textFill>
                        <w14:solidFill>
                          <w14:schemeClr w14:val="tx1"/>
                        </w14:solidFill>
                      </w14:textFill>
                    </w:rPr>
                    <w:fldChar w:fldCharType="end"/>
                  </w:r>
                  <w: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t>进站道路：从北侧出站向北引接村道。</w:t>
                  </w:r>
                </w:p>
              </w:tc>
            </w:tr>
            <w:tr w14:paraId="5F5B0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8" w:type="dxa"/>
                  <w:gridSpan w:val="2"/>
                  <w:vAlign w:val="center"/>
                </w:tcPr>
                <w:p w14:paraId="514E95F2">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bCs/>
                      <w:color w:val="000000" w:themeColor="text1"/>
                      <w:spacing w:val="0"/>
                      <w:sz w:val="21"/>
                      <w:szCs w:val="21"/>
                      <w:highlight w:val="none"/>
                      <w14:textFill>
                        <w14:solidFill>
                          <w14:schemeClr w14:val="tx1"/>
                        </w14:solidFill>
                      </w14:textFill>
                    </w:rPr>
                  </w:pPr>
                  <w:r>
                    <w:rPr>
                      <w:rFonts w:ascii="Times New Roman" w:hAnsi="Times New Roman" w:eastAsia="宋体"/>
                      <w:b/>
                      <w:bCs/>
                      <w:color w:val="000000" w:themeColor="text1"/>
                      <w:spacing w:val="0"/>
                      <w:sz w:val="21"/>
                      <w:szCs w:val="21"/>
                      <w:highlight w:val="none"/>
                      <w14:textFill>
                        <w14:solidFill>
                          <w14:schemeClr w14:val="tx1"/>
                        </w14:solidFill>
                      </w14:textFill>
                    </w:rPr>
                    <w:t>公用工程</w:t>
                  </w:r>
                </w:p>
              </w:tc>
              <w:tc>
                <w:tcPr>
                  <w:tcW w:w="6187" w:type="dxa"/>
                  <w:vAlign w:val="center"/>
                </w:tcPr>
                <w:p w14:paraId="4EDB4964">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ascii="Times New Roman" w:hAnsi="Times New Roman" w:eastAsia="宋体"/>
                      <w:bCs/>
                      <w:color w:val="000000" w:themeColor="text1"/>
                      <w:spacing w:val="0"/>
                      <w:sz w:val="21"/>
                      <w:szCs w:val="21"/>
                      <w:highlight w:val="none"/>
                      <w14:textFill>
                        <w14:solidFill>
                          <w14:schemeClr w14:val="tx1"/>
                        </w14:solidFill>
                      </w14:textFill>
                    </w:rPr>
                  </w:pPr>
                  <w:r>
                    <w:rPr>
                      <w:rFonts w:ascii="Times New Roman" w:hAnsi="Times New Roman" w:eastAsia="宋体"/>
                      <w:bCs/>
                      <w:color w:val="000000" w:themeColor="text1"/>
                      <w:spacing w:val="0"/>
                      <w:sz w:val="21"/>
                      <w:szCs w:val="21"/>
                      <w:highlight w:val="none"/>
                      <w14:textFill>
                        <w14:solidFill>
                          <w14:schemeClr w14:val="tx1"/>
                        </w14:solidFill>
                      </w14:textFill>
                    </w:rPr>
                    <w:t>①变电站给水：</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站区生活给水及施工用水引接农村自来水给水管网</w:t>
                  </w:r>
                  <w:r>
                    <w:rPr>
                      <w:rFonts w:ascii="Times New Roman" w:hAnsi="Times New Roman" w:eastAsia="宋体"/>
                      <w:bCs/>
                      <w:color w:val="000000" w:themeColor="text1"/>
                      <w:spacing w:val="0"/>
                      <w:sz w:val="21"/>
                      <w:szCs w:val="21"/>
                      <w:highlight w:val="none"/>
                      <w14:textFill>
                        <w14:solidFill>
                          <w14:schemeClr w14:val="tx1"/>
                        </w14:solidFill>
                      </w14:textFill>
                    </w:rPr>
                    <w:t>。</w:t>
                  </w:r>
                </w:p>
                <w:p w14:paraId="4EA1478D">
                  <w:pPr>
                    <w:keepNext w:val="0"/>
                    <w:keepLines w:val="0"/>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000000" w:themeColor="text1"/>
                      <w:spacing w:val="0"/>
                      <w:kern w:val="0"/>
                      <w:sz w:val="21"/>
                      <w:szCs w:val="21"/>
                      <w:highlight w:val="none"/>
                      <w:lang w:bidi="ar"/>
                      <w14:textFill>
                        <w14:solidFill>
                          <w14:schemeClr w14:val="tx1"/>
                        </w14:solidFill>
                      </w14:textFill>
                    </w:rPr>
                  </w:pPr>
                  <w:r>
                    <w:rPr>
                      <w:rFonts w:ascii="Times New Roman" w:hAnsi="Times New Roman" w:eastAsia="宋体"/>
                      <w:bCs/>
                      <w:color w:val="000000" w:themeColor="text1"/>
                      <w:spacing w:val="0"/>
                      <w:sz w:val="21"/>
                      <w:szCs w:val="21"/>
                      <w:highlight w:val="none"/>
                      <w14:textFill>
                        <w14:solidFill>
                          <w14:schemeClr w14:val="tx1"/>
                        </w14:solidFill>
                      </w14:textFill>
                    </w:rPr>
                    <w:t>②变电站排水：</w:t>
                  </w:r>
                  <w:r>
                    <w:rPr>
                      <w:rFonts w:hint="eastAsia" w:ascii="Times New Roman" w:hAnsi="Times New Roman" w:eastAsia="宋体"/>
                      <w:bCs/>
                      <w:color w:val="000000" w:themeColor="text1"/>
                      <w:spacing w:val="0"/>
                      <w:sz w:val="21"/>
                      <w:szCs w:val="21"/>
                      <w:highlight w:val="none"/>
                      <w14:textFill>
                        <w14:solidFill>
                          <w14:schemeClr w14:val="tx1"/>
                        </w14:solidFill>
                      </w14:textFill>
                    </w:rPr>
                    <w:t>站</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区</w:t>
                  </w:r>
                  <w:r>
                    <w:rPr>
                      <w:rFonts w:hint="eastAsia" w:ascii="Times New Roman" w:hAnsi="Times New Roman" w:eastAsia="宋体"/>
                      <w:bCs/>
                      <w:color w:val="000000" w:themeColor="text1"/>
                      <w:spacing w:val="0"/>
                      <w:sz w:val="21"/>
                      <w:szCs w:val="21"/>
                      <w:highlight w:val="none"/>
                      <w14:textFill>
                        <w14:solidFill>
                          <w14:schemeClr w14:val="tx1"/>
                        </w14:solidFill>
                      </w14:textFill>
                    </w:rPr>
                    <w:t>雨水</w:t>
                  </w: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经站内排水管网排至站外排水沟；</w:t>
                  </w:r>
                  <w:r>
                    <w:rPr>
                      <w:rFonts w:hint="eastAsia" w:ascii="Times New Roman" w:hAnsi="Times New Roman" w:eastAsia="宋体"/>
                      <w:bCs/>
                      <w:color w:val="000000" w:themeColor="text1"/>
                      <w:spacing w:val="0"/>
                      <w:sz w:val="21"/>
                      <w:szCs w:val="21"/>
                      <w:highlight w:val="none"/>
                      <w14:textFill>
                        <w14:solidFill>
                          <w14:schemeClr w14:val="tx1"/>
                        </w14:solidFill>
                      </w14:textFill>
                    </w:rPr>
                    <w:t>生活污水</w:t>
                  </w:r>
                  <w:r>
                    <w:rPr>
                      <w:rFonts w:hint="eastAsia" w:ascii="Times New Roman" w:hAnsi="Times New Roman" w:eastAsia="宋体"/>
                      <w:color w:val="000000" w:themeColor="text1"/>
                      <w:spacing w:val="0"/>
                      <w:kern w:val="0"/>
                      <w:sz w:val="21"/>
                      <w:szCs w:val="21"/>
                      <w:highlight w:val="none"/>
                      <w:lang w:bidi="ar"/>
                      <w14:textFill>
                        <w14:solidFill>
                          <w14:schemeClr w14:val="tx1"/>
                        </w14:solidFill>
                      </w14:textFill>
                    </w:rPr>
                    <w:t>经化粪池处理后</w:t>
                  </w:r>
                  <w:r>
                    <w:rPr>
                      <w:rFonts w:hint="eastAsia" w:ascii="Times New Roman" w:hAnsi="Times New Roman" w:eastAsia="宋体"/>
                      <w:color w:val="000000" w:themeColor="text1"/>
                      <w:spacing w:val="0"/>
                      <w:kern w:val="0"/>
                      <w:sz w:val="21"/>
                      <w:szCs w:val="21"/>
                      <w:highlight w:val="none"/>
                      <w:lang w:val="en-US" w:eastAsia="zh-CN" w:bidi="ar"/>
                      <w14:textFill>
                        <w14:solidFill>
                          <w14:schemeClr w14:val="tx1"/>
                        </w14:solidFill>
                      </w14:textFill>
                    </w:rPr>
                    <w:t>定期清掏，不外排</w:t>
                  </w:r>
                  <w:r>
                    <w:rPr>
                      <w:rFonts w:ascii="Times New Roman" w:hAnsi="Times New Roman" w:eastAsia="宋体"/>
                      <w:color w:val="000000" w:themeColor="text1"/>
                      <w:spacing w:val="0"/>
                      <w:kern w:val="0"/>
                      <w:sz w:val="21"/>
                      <w:szCs w:val="21"/>
                      <w:highlight w:val="none"/>
                      <w:lang w:bidi="ar"/>
                      <w14:textFill>
                        <w14:solidFill>
                          <w14:schemeClr w14:val="tx1"/>
                        </w14:solidFill>
                      </w14:textFill>
                    </w:rPr>
                    <w:t>。</w:t>
                  </w:r>
                </w:p>
                <w:p w14:paraId="5495EC31">
                  <w:pPr>
                    <w:keepNext w:val="0"/>
                    <w:keepLines w:val="0"/>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③</w:t>
                  </w:r>
                  <w:r>
                    <w:rPr>
                      <w:rFonts w:hint="eastAsia" w:ascii="Times New Roman" w:hAnsi="Times New Roman" w:eastAsia="宋体"/>
                      <w:color w:val="000000" w:themeColor="text1"/>
                      <w:spacing w:val="0"/>
                      <w:sz w:val="21"/>
                      <w:szCs w:val="21"/>
                      <w:highlight w:val="none"/>
                      <w14:textFill>
                        <w14:solidFill>
                          <w14:schemeClr w14:val="tx1"/>
                        </w14:solidFill>
                      </w14:textFill>
                    </w:rPr>
                    <w:t>采暖、通风及空调：各建筑物采用电暖气采暖；通风采用自然进风，轴流风机机械排风方式。空气调节系统采用分体式柜式空调或壁挂式空调</w:t>
                  </w:r>
                  <w:r>
                    <w:rPr>
                      <w:rFonts w:ascii="Times New Roman" w:hAnsi="Times New Roman" w:eastAsia="宋体"/>
                      <w:color w:val="000000" w:themeColor="text1"/>
                      <w:spacing w:val="0"/>
                      <w:sz w:val="21"/>
                      <w:szCs w:val="21"/>
                      <w:highlight w:val="none"/>
                      <w14:textFill>
                        <w14:solidFill>
                          <w14:schemeClr w14:val="tx1"/>
                        </w14:solidFill>
                      </w14:textFill>
                    </w:rPr>
                    <w:t>。</w:t>
                  </w:r>
                </w:p>
                <w:p w14:paraId="46351D2D">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ascii="Times New Roman" w:hAnsi="Times New Roman" w:eastAsia="宋体"/>
                      <w:bCs/>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④消防：主变采用化学灭火，建筑物内配置化学灭火器。</w:t>
                  </w:r>
                </w:p>
              </w:tc>
            </w:tr>
            <w:tr w14:paraId="42FF3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8" w:type="dxa"/>
                  <w:gridSpan w:val="2"/>
                  <w:vAlign w:val="center"/>
                </w:tcPr>
                <w:p w14:paraId="11B01359">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ascii="Times New Roman" w:hAnsi="Times New Roman" w:eastAsia="宋体"/>
                      <w:b/>
                      <w:color w:val="000000" w:themeColor="text1"/>
                      <w:spacing w:val="0"/>
                      <w:sz w:val="21"/>
                      <w:szCs w:val="21"/>
                      <w:highlight w:val="none"/>
                      <w14:textFill>
                        <w14:solidFill>
                          <w14:schemeClr w14:val="tx1"/>
                        </w14:solidFill>
                      </w14:textFill>
                    </w:rPr>
                    <w:t>环保工程</w:t>
                  </w:r>
                </w:p>
              </w:tc>
              <w:tc>
                <w:tcPr>
                  <w:tcW w:w="6187" w:type="dxa"/>
                  <w:vAlign w:val="center"/>
                </w:tcPr>
                <w:p w14:paraId="41DEDC7E">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b/>
                      <w:bCs/>
                      <w:color w:val="000000" w:themeColor="text1"/>
                      <w:spacing w:val="0"/>
                      <w:sz w:val="21"/>
                      <w:szCs w:val="21"/>
                      <w:highlight w:val="none"/>
                      <w14:textFill>
                        <w14:solidFill>
                          <w14:schemeClr w14:val="tx1"/>
                        </w14:solidFill>
                      </w14:textFill>
                    </w:rPr>
                    <w:t>施工期</w:t>
                  </w:r>
                  <w:r>
                    <w:rPr>
                      <w:rFonts w:ascii="Times New Roman" w:hAnsi="Times New Roman" w:eastAsia="宋体"/>
                      <w:color w:val="000000" w:themeColor="text1"/>
                      <w:spacing w:val="0"/>
                      <w:sz w:val="21"/>
                      <w:szCs w:val="21"/>
                      <w:highlight w:val="none"/>
                      <w14:textFill>
                        <w14:solidFill>
                          <w14:schemeClr w14:val="tx1"/>
                        </w14:solidFill>
                      </w14:textFill>
                    </w:rPr>
                    <w:t>：</w:t>
                  </w:r>
                </w:p>
                <w:p w14:paraId="52586417">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instrText xml:space="preserve"> = 1 \* GB3 \* MERGEFORMAT </w:instrTex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①</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end"/>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扬尘：变电站设置施工围挡，项目采取洒水抑尘，土方苫盖、运输车辆苫盖等措施。</w:t>
                  </w:r>
                </w:p>
                <w:p w14:paraId="64B837E0">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instrText xml:space="preserve"> = 2 \* GB3 \* MERGEFORMAT </w:instrTex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②</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end"/>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污水：项目均采用商品混凝土，不产生施工废水；</w:t>
                  </w: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施工营地</w:t>
                  </w:r>
                  <w:r>
                    <w:rPr>
                      <w:rFonts w:hint="default" w:ascii="Times New Roman" w:hAnsi="Times New Roman" w:eastAsia="宋体" w:cs="Times New Roman"/>
                      <w:color w:val="000000" w:themeColor="text1"/>
                      <w:spacing w:val="0"/>
                      <w:w w:val="100"/>
                      <w:position w:val="0"/>
                      <w:sz w:val="21"/>
                      <w:szCs w:val="21"/>
                      <w:highlight w:val="none"/>
                      <w14:textFill>
                        <w14:solidFill>
                          <w14:schemeClr w14:val="tx1"/>
                        </w14:solidFill>
                      </w14:textFill>
                    </w:rPr>
                    <w:t>施工人员</w:t>
                  </w: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产生的生活污水经化粪池处理后定期清掏，不外排；部分</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塔基基础施工过程中产生的施工泥浆水设置泥浆池、沉淀池处理后循环使用，不外排。</w:t>
                  </w:r>
                </w:p>
                <w:p w14:paraId="623E2E15">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instrText xml:space="preserve"> = 3 \* GB3 \* MERGEFORMAT </w:instrTex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③</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end"/>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噪声：设置施工围挡，项目选用低噪声设备，加强设备</w:t>
                  </w:r>
                  <w:r>
                    <w:rPr>
                      <w:rFonts w:hint="eastAsia"/>
                      <w:color w:val="000000" w:themeColor="text1"/>
                      <w:spacing w:val="0"/>
                      <w:sz w:val="21"/>
                      <w:szCs w:val="21"/>
                      <w:highlight w:val="none"/>
                      <w:lang w:val="en-US" w:eastAsia="zh-CN"/>
                      <w14:textFill>
                        <w14:solidFill>
                          <w14:schemeClr w14:val="tx1"/>
                        </w14:solidFill>
                      </w14:textFill>
                    </w:rPr>
                    <w:t>维护、</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保养等。</w:t>
                  </w:r>
                </w:p>
                <w:p w14:paraId="2DF8DA27">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instrText xml:space="preserve"> = 4 \* GB3 \* MERGEFORMAT </w:instrTex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④</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end"/>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固废：施工营地施工人员产生的生活垃圾集中分类收集，定期清运至附近垃圾收集点，由环卫部门统一清运；本项目塔基施工产生的干化泥浆可用于临时占地土地平整使用。拆除的塔基基础、废包装等建筑垃圾，项目施工单位应当编制建筑垃圾处理方案，负责运至政府部门指定的地点处置，并报县级以上政府部门备案。</w:t>
                  </w:r>
                </w:p>
                <w:p w14:paraId="2AE2FA8D">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instrText xml:space="preserve"> = 5 \* GB3 \* MERGEFORMAT </w:instrTex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⑤</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fldChar w:fldCharType="end"/>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生态：表土剥离、表土回填</w:t>
                  </w:r>
                  <w:r>
                    <w:rPr>
                      <w:rFonts w:hint="eastAsia"/>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植被恢复等措施。</w:t>
                  </w:r>
                </w:p>
                <w:p w14:paraId="4945C854">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b/>
                      <w:color w:val="000000" w:themeColor="text1"/>
                      <w:spacing w:val="0"/>
                      <w:sz w:val="21"/>
                      <w:szCs w:val="21"/>
                      <w:highlight w:val="none"/>
                      <w14:textFill>
                        <w14:solidFill>
                          <w14:schemeClr w14:val="tx1"/>
                        </w14:solidFill>
                      </w14:textFill>
                    </w:rPr>
                  </w:pPr>
                  <w:r>
                    <w:rPr>
                      <w:rFonts w:hint="eastAsia" w:ascii="Times New Roman" w:hAnsi="Times New Roman" w:eastAsia="宋体"/>
                      <w:b/>
                      <w:color w:val="000000" w:themeColor="text1"/>
                      <w:spacing w:val="0"/>
                      <w:sz w:val="21"/>
                      <w:szCs w:val="21"/>
                      <w:highlight w:val="none"/>
                      <w14:textFill>
                        <w14:solidFill>
                          <w14:schemeClr w14:val="tx1"/>
                        </w14:solidFill>
                      </w14:textFill>
                    </w:rPr>
                    <w:t>运行期：</w:t>
                  </w:r>
                </w:p>
                <w:p w14:paraId="79583E9B">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①污水：</w:t>
                  </w:r>
                  <w:r>
                    <w:rPr>
                      <w:rFonts w:hint="eastAsia"/>
                      <w:color w:val="000000" w:themeColor="text1"/>
                      <w:spacing w:val="0"/>
                      <w:sz w:val="21"/>
                      <w:szCs w:val="21"/>
                      <w:highlight w:val="none"/>
                      <w:lang w:val="en-US" w:eastAsia="zh-CN"/>
                      <w14:textFill>
                        <w14:solidFill>
                          <w14:schemeClr w14:val="tx1"/>
                        </w14:solidFill>
                      </w14:textFill>
                    </w:rPr>
                    <w:t>门卫少量</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生活污水经化粪池处理后定期清掏，不外排。</w:t>
                  </w:r>
                </w:p>
                <w:p w14:paraId="3C42B28D">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②固废：</w:t>
                  </w:r>
                  <w:r>
                    <w:rPr>
                      <w:rFonts w:hint="eastAsia"/>
                      <w:color w:val="000000" w:themeColor="text1"/>
                      <w:spacing w:val="0"/>
                      <w:sz w:val="21"/>
                      <w:szCs w:val="21"/>
                      <w:highlight w:val="none"/>
                      <w:lang w:val="en-US" w:eastAsia="zh-CN"/>
                      <w14:textFill>
                        <w14:solidFill>
                          <w14:schemeClr w14:val="tx1"/>
                        </w14:solidFill>
                      </w14:textFill>
                    </w:rPr>
                    <w:t>门卫</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少量生活垃圾经站内垃圾桶分类集中收集，定期清运至附近垃圾收集点，由环卫部门统一清运处置。事故油设事故油池收集后交由有资质的单位处置；报废的免维护蓄电池交由有资质的单位置换后回收处置。</w:t>
                  </w:r>
                </w:p>
                <w:p w14:paraId="45295091">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③</w:t>
                  </w:r>
                  <w:r>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环境风险（危废处理设施）</w:t>
                  </w:r>
                  <w:r>
                    <w:rPr>
                      <w:rFonts w:hint="eastAsia"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主变压器下设置事故油坑（</w:t>
                  </w:r>
                  <w:r>
                    <w:rPr>
                      <w:rFonts w:hint="eastAsia"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10m</w:t>
                  </w:r>
                  <w:r>
                    <w:rPr>
                      <w:rFonts w:hint="eastAsia" w:ascii="Times New Roman" w:hAnsi="Times New Roman" w:eastAsia="宋体" w:cs="Times New Roman"/>
                      <w:b w:val="0"/>
                      <w:bCs w:val="0"/>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），站内设置事故油池（</w:t>
                  </w:r>
                  <w:r>
                    <w:rPr>
                      <w:rFonts w:hint="eastAsia"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25m</w:t>
                  </w:r>
                  <w:r>
                    <w:rPr>
                      <w:rFonts w:hint="eastAsia" w:ascii="Times New Roman" w:hAnsi="Times New Roman" w:eastAsia="宋体" w:cs="Times New Roman"/>
                      <w:b w:val="0"/>
                      <w:bCs w:val="0"/>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产生的事故油经事故油坑排入事故油池。三岔变电站单台主</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变压器设备最大绝缘油质量</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约</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t（密度约为0.8</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95</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t/m</w:t>
                  </w:r>
                  <w:r>
                    <w:rPr>
                      <w:rFonts w:hint="default"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），折算体积约为</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23.5</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，事故油池容积满足最大单台主变压器100%油量要求；</w:t>
                  </w:r>
                  <w:r>
                    <w:rPr>
                      <w:rFonts w:hint="eastAsia"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主变压器下事故油坑有效容积满足单台含油设备20%含油量体积要求。</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事故油坑、事故油池均</w:t>
                  </w:r>
                  <w:r>
                    <w:rPr>
                      <w:rFonts w:hint="eastAsia"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采取</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防渗</w:t>
                  </w:r>
                  <w:r>
                    <w:rPr>
                      <w:rFonts w:hint="eastAsia"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措施</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w:t>
                  </w:r>
                </w:p>
                <w:p w14:paraId="60B2B60F">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④电磁环境</w:t>
                  </w:r>
                  <w: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杆塔警示标志</w:t>
                  </w:r>
                  <w: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t>。</w:t>
                  </w:r>
                </w:p>
              </w:tc>
            </w:tr>
            <w:tr w14:paraId="3A47B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8" w:type="dxa"/>
                  <w:gridSpan w:val="2"/>
                  <w:vAlign w:val="center"/>
                </w:tcPr>
                <w:p w14:paraId="541B620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ascii="Times New Roman" w:hAnsi="Times New Roman" w:eastAsia="宋体"/>
                      <w:b/>
                      <w:color w:val="000000" w:themeColor="text1"/>
                      <w:spacing w:val="0"/>
                      <w:sz w:val="21"/>
                      <w:szCs w:val="21"/>
                      <w:highlight w:val="none"/>
                      <w14:textFill>
                        <w14:solidFill>
                          <w14:schemeClr w14:val="tx1"/>
                        </w14:solidFill>
                      </w14:textFill>
                    </w:rPr>
                    <w:t>临时工程</w:t>
                  </w:r>
                </w:p>
              </w:tc>
              <w:tc>
                <w:tcPr>
                  <w:tcW w:w="6187" w:type="dxa"/>
                  <w:vAlign w:val="center"/>
                </w:tcPr>
                <w:p w14:paraId="398B8EAA">
                  <w:pPr>
                    <w:keepNext w:val="0"/>
                    <w:keepLines w:val="0"/>
                    <w:pageBreakBefore w:val="0"/>
                    <w:widowControl w:val="0"/>
                    <w:kinsoku/>
                    <w:wordWrap/>
                    <w:overflowPunct/>
                    <w:topLinePunct w:val="0"/>
                    <w:autoSpaceDE/>
                    <w:autoSpaceDN/>
                    <w:bidi w:val="0"/>
                    <w:adjustRightInd w:val="0"/>
                    <w:snapToGrid w:val="0"/>
                    <w:jc w:val="left"/>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①施工营地：</w:t>
                  </w:r>
                  <w:r>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本项目拟在变电站</w:t>
                  </w:r>
                  <w:r>
                    <w:rPr>
                      <w:rFonts w:hint="eastAsia"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南侧设置</w:t>
                  </w:r>
                  <w:r>
                    <w:rPr>
                      <w:rFonts w:hint="default" w:ascii="Times New Roman" w:hAnsi="Times New Roman" w:eastAsia="宋体" w:cs="Times New Roman"/>
                      <w:b w:val="0"/>
                      <w:bCs w:val="0"/>
                      <w:color w:val="000000" w:themeColor="text1"/>
                      <w:spacing w:val="0"/>
                      <w:sz w:val="21"/>
                      <w:szCs w:val="21"/>
                      <w:highlight w:val="none"/>
                      <w:lang w:val="en-US" w:eastAsia="zh-CN"/>
                      <w14:textFill>
                        <w14:solidFill>
                          <w14:schemeClr w14:val="tx1"/>
                        </w14:solidFill>
                      </w14:textFill>
                    </w:rPr>
                    <w:t>施工营地1处，</w:t>
                  </w:r>
                  <w:r>
                    <w:rPr>
                      <w:rFonts w:ascii="Times New Roman" w:hAnsi="Times New Roman" w:eastAsia="宋体"/>
                      <w:color w:val="000000" w:themeColor="text1"/>
                      <w:spacing w:val="0"/>
                      <w:sz w:val="21"/>
                      <w:szCs w:val="21"/>
                      <w:highlight w:val="none"/>
                      <w14:textFill>
                        <w14:solidFill>
                          <w14:schemeClr w14:val="tx1"/>
                        </w14:solidFill>
                      </w14:textFill>
                    </w:rPr>
                    <w:t>用于施工材料堆放、施工人员生活、办公使用</w:t>
                  </w:r>
                  <w:r>
                    <w:rPr>
                      <w:rFonts w:hint="eastAsia" w:ascii="Times New Roman" w:hAnsi="Times New Roman" w:eastAsia="宋体"/>
                      <w:color w:val="000000" w:themeColor="text1"/>
                      <w:spacing w:val="0"/>
                      <w:sz w:val="21"/>
                      <w:szCs w:val="21"/>
                      <w:highlight w:val="none"/>
                      <w14:textFill>
                        <w14:solidFill>
                          <w14:schemeClr w14:val="tx1"/>
                        </w14:solidFill>
                      </w14:textFill>
                    </w:rPr>
                    <w:t>。</w:t>
                  </w:r>
                </w:p>
                <w:p w14:paraId="39ECE27B">
                  <w:pPr>
                    <w:keepNext w:val="0"/>
                    <w:keepLines w:val="0"/>
                    <w:pageBreakBefore w:val="0"/>
                    <w:widowControl w:val="0"/>
                    <w:kinsoku/>
                    <w:wordWrap/>
                    <w:overflowPunct/>
                    <w:topLinePunct w:val="0"/>
                    <w:autoSpaceDE/>
                    <w:autoSpaceDN/>
                    <w:bidi w:val="0"/>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②塔基施工场地：塔基区仅限于塔基基础施工以及杆塔架设的临时堆放场地等施工场地占地范围内，塔基基础施工临时场地以单个塔基为单位零星布置在塔基区附近。</w:t>
                  </w:r>
                </w:p>
                <w:p w14:paraId="4FB9508A">
                  <w:pPr>
                    <w:keepNext w:val="0"/>
                    <w:keepLines w:val="0"/>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fldChar w:fldCharType="begin"/>
                  </w:r>
                  <w:r>
                    <w:rPr>
                      <w:rFonts w:ascii="Times New Roman" w:hAnsi="Times New Roman" w:eastAsia="宋体"/>
                      <w:color w:val="000000" w:themeColor="text1"/>
                      <w:spacing w:val="0"/>
                      <w:sz w:val="21"/>
                      <w:szCs w:val="21"/>
                      <w:highlight w:val="none"/>
                      <w14:textFill>
                        <w14:solidFill>
                          <w14:schemeClr w14:val="tx1"/>
                        </w14:solidFill>
                      </w14:textFill>
                    </w:rPr>
                    <w:instrText xml:space="preserve"> = 3 \* GB3 \* MERGEFORMAT </w:instrText>
                  </w:r>
                  <w:r>
                    <w:rPr>
                      <w:rFonts w:ascii="Times New Roman" w:hAnsi="Times New Roman" w:eastAsia="宋体"/>
                      <w:color w:val="000000" w:themeColor="text1"/>
                      <w:spacing w:val="0"/>
                      <w:sz w:val="21"/>
                      <w:szCs w:val="21"/>
                      <w:highlight w:val="none"/>
                      <w14:textFill>
                        <w14:solidFill>
                          <w14:schemeClr w14:val="tx1"/>
                        </w14:solidFill>
                      </w14:textFill>
                    </w:rPr>
                    <w:fldChar w:fldCharType="separate"/>
                  </w:r>
                  <w:r>
                    <w:rPr>
                      <w:rFonts w:ascii="Times New Roman" w:hAnsi="Times New Roman" w:eastAsia="宋体"/>
                      <w:color w:val="000000" w:themeColor="text1"/>
                      <w:spacing w:val="0"/>
                      <w:sz w:val="21"/>
                      <w:szCs w:val="21"/>
                      <w:highlight w:val="none"/>
                      <w14:textFill>
                        <w14:solidFill>
                          <w14:schemeClr w14:val="tx1"/>
                        </w14:solidFill>
                      </w14:textFill>
                    </w:rPr>
                    <w:t>③</w:t>
                  </w:r>
                  <w:r>
                    <w:rPr>
                      <w:rFonts w:ascii="Times New Roman" w:hAnsi="Times New Roman" w:eastAsia="宋体"/>
                      <w:color w:val="000000" w:themeColor="text1"/>
                      <w:spacing w:val="0"/>
                      <w:sz w:val="21"/>
                      <w:szCs w:val="21"/>
                      <w:highlight w:val="none"/>
                      <w14:textFill>
                        <w14:solidFill>
                          <w14:schemeClr w14:val="tx1"/>
                        </w14:solidFill>
                      </w14:textFill>
                    </w:rPr>
                    <w:fldChar w:fldCharType="end"/>
                  </w:r>
                  <w:r>
                    <w:rPr>
                      <w:rFonts w:ascii="Times New Roman" w:hAnsi="Times New Roman" w:eastAsia="宋体"/>
                      <w:color w:val="000000" w:themeColor="text1"/>
                      <w:spacing w:val="0"/>
                      <w:sz w:val="21"/>
                      <w:szCs w:val="21"/>
                      <w:highlight w:val="none"/>
                      <w14:textFill>
                        <w14:solidFill>
                          <w14:schemeClr w14:val="tx1"/>
                        </w14:solidFill>
                      </w14:textFill>
                    </w:rPr>
                    <w:t>牵张场</w:t>
                  </w:r>
                  <w:r>
                    <w:rPr>
                      <w:rFonts w:hint="eastAsia" w:ascii="Times New Roman" w:hAnsi="Times New Roman" w:eastAsia="宋体"/>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跨越场</w:t>
                  </w:r>
                  <w:r>
                    <w:rPr>
                      <w:rFonts w:ascii="Times New Roman" w:hAnsi="Times New Roman" w:eastAsia="宋体"/>
                      <w:color w:val="000000" w:themeColor="text1"/>
                      <w:spacing w:val="0"/>
                      <w:sz w:val="21"/>
                      <w:szCs w:val="21"/>
                      <w:highlight w:val="none"/>
                      <w14:textFill>
                        <w14:solidFill>
                          <w14:schemeClr w14:val="tx1"/>
                        </w14:solidFill>
                      </w14:textFill>
                    </w:rPr>
                    <w:t>：为满足施工放线需要，输电线路沿线需利用牵张场地，牵张场应避开植被密集区域设置</w:t>
                  </w:r>
                  <w:r>
                    <w:rPr>
                      <w:rFonts w:hint="eastAsia" w:ascii="Times New Roman" w:hAnsi="Times New Roman" w:eastAsia="宋体"/>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输电</w:t>
                  </w:r>
                  <w:r>
                    <w:rPr>
                      <w:rFonts w:ascii="Times New Roman" w:hAnsi="Times New Roman" w:eastAsia="宋体"/>
                      <w:color w:val="000000" w:themeColor="text1"/>
                      <w:spacing w:val="0"/>
                      <w:sz w:val="21"/>
                      <w:szCs w:val="21"/>
                      <w:highlight w:val="none"/>
                      <w14:textFill>
                        <w14:solidFill>
                          <w14:schemeClr w14:val="tx1"/>
                        </w14:solidFill>
                      </w14:textFill>
                    </w:rPr>
                    <w:t>线路在跨越电力线</w:t>
                  </w:r>
                  <w:r>
                    <w:rPr>
                      <w:rFonts w:ascii="Times New Roman" w:hAnsi="Times New Roman" w:eastAsia="宋体"/>
                      <w:color w:val="000000" w:themeColor="text1"/>
                      <w:spacing w:val="0"/>
                      <w:kern w:val="0"/>
                      <w:sz w:val="21"/>
                      <w:szCs w:val="21"/>
                      <w:highlight w:val="none"/>
                      <w:lang w:bidi="ar"/>
                      <w14:textFill>
                        <w14:solidFill>
                          <w14:schemeClr w14:val="tx1"/>
                        </w14:solidFill>
                      </w14:textFill>
                    </w:rPr>
                    <w:t>路、道路等需要设置跨越场。</w:t>
                  </w:r>
                  <w:r>
                    <w:rPr>
                      <w:rFonts w:hint="eastAsia" w:ascii="Times New Roman" w:hAnsi="Times New Roman" w:eastAsia="宋体"/>
                      <w:color w:val="000000" w:themeColor="text1"/>
                      <w:spacing w:val="0"/>
                      <w:kern w:val="0"/>
                      <w:sz w:val="21"/>
                      <w:szCs w:val="21"/>
                      <w:highlight w:val="none"/>
                      <w:lang w:val="en-US" w:eastAsia="zh-CN" w:bidi="ar"/>
                      <w14:textFill>
                        <w14:solidFill>
                          <w14:schemeClr w14:val="tx1"/>
                        </w14:solidFill>
                      </w14:textFill>
                    </w:rPr>
                    <w:t>本项目牵张场</w:t>
                  </w:r>
                  <w:r>
                    <w:rPr>
                      <w:rFonts w:ascii="Times New Roman" w:hAnsi="Times New Roman" w:eastAsia="宋体"/>
                      <w:color w:val="000000" w:themeColor="text1"/>
                      <w:spacing w:val="0"/>
                      <w:sz w:val="21"/>
                      <w:szCs w:val="21"/>
                      <w:highlight w:val="none"/>
                      <w14:textFill>
                        <w14:solidFill>
                          <w14:schemeClr w14:val="tx1"/>
                        </w14:solidFill>
                      </w14:textFill>
                    </w:rPr>
                    <w:t>布设</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3</w:t>
                  </w:r>
                  <w:r>
                    <w:rPr>
                      <w:rFonts w:ascii="Times New Roman" w:hAnsi="Times New Roman" w:eastAsia="宋体"/>
                      <w:color w:val="000000" w:themeColor="text1"/>
                      <w:spacing w:val="0"/>
                      <w:sz w:val="21"/>
                      <w:szCs w:val="21"/>
                      <w:highlight w:val="none"/>
                      <w14:textFill>
                        <w14:solidFill>
                          <w14:schemeClr w14:val="tx1"/>
                        </w14:solidFill>
                      </w14:textFill>
                    </w:rPr>
                    <w:t>处</w:t>
                  </w:r>
                  <w:r>
                    <w:rPr>
                      <w:rFonts w:hint="eastAsia" w:ascii="Times New Roman" w:hAnsi="Times New Roman" w:eastAsia="宋体"/>
                      <w:color w:val="000000" w:themeColor="text1"/>
                      <w:spacing w:val="0"/>
                      <w:sz w:val="21"/>
                      <w:szCs w:val="21"/>
                      <w:highlight w:val="none"/>
                      <w:lang w:eastAsia="zh-CN"/>
                      <w14:textFill>
                        <w14:solidFill>
                          <w14:schemeClr w14:val="tx1"/>
                        </w14:solidFill>
                      </w14:textFill>
                    </w:rPr>
                    <w:t>，</w:t>
                  </w:r>
                  <w:r>
                    <w:rPr>
                      <w:rFonts w:hint="eastAsia"/>
                      <w:color w:val="000000" w:themeColor="text1"/>
                      <w:spacing w:val="0"/>
                      <w:sz w:val="21"/>
                      <w:szCs w:val="21"/>
                      <w:highlight w:val="none"/>
                      <w:lang w:val="en-US" w:eastAsia="zh-CN"/>
                      <w14:textFill>
                        <w14:solidFill>
                          <w14:schemeClr w14:val="tx1"/>
                        </w14:solidFill>
                      </w14:textFill>
                    </w:rPr>
                    <w:t>单处20m×30m，</w:t>
                  </w:r>
                  <w:r>
                    <w:rPr>
                      <w:rFonts w:hint="eastAsia" w:ascii="Times New Roman" w:hAnsi="Times New Roman" w:eastAsia="宋体"/>
                      <w:color w:val="000000" w:themeColor="text1"/>
                      <w:spacing w:val="0"/>
                      <w:kern w:val="0"/>
                      <w:sz w:val="21"/>
                      <w:szCs w:val="21"/>
                      <w:highlight w:val="none"/>
                      <w:lang w:val="en-US" w:eastAsia="zh-CN" w:bidi="ar"/>
                      <w14:textFill>
                        <w14:solidFill>
                          <w14:schemeClr w14:val="tx1"/>
                        </w14:solidFill>
                      </w14:textFill>
                    </w:rPr>
                    <w:t>跨越场</w:t>
                  </w:r>
                  <w:r>
                    <w:rPr>
                      <w:rFonts w:ascii="Times New Roman" w:hAnsi="Times New Roman" w:eastAsia="宋体"/>
                      <w:color w:val="000000" w:themeColor="text1"/>
                      <w:spacing w:val="0"/>
                      <w:kern w:val="0"/>
                      <w:sz w:val="21"/>
                      <w:szCs w:val="21"/>
                      <w:highlight w:val="none"/>
                      <w:lang w:bidi="ar"/>
                      <w14:textFill>
                        <w14:solidFill>
                          <w14:schemeClr w14:val="tx1"/>
                        </w14:solidFill>
                      </w14:textFill>
                    </w:rPr>
                    <w:t>设置</w:t>
                  </w:r>
                  <w:r>
                    <w:rPr>
                      <w:rFonts w:hint="eastAsia" w:ascii="Times New Roman" w:hAnsi="Times New Roman" w:eastAsia="宋体"/>
                      <w:color w:val="000000" w:themeColor="text1"/>
                      <w:spacing w:val="0"/>
                      <w:kern w:val="0"/>
                      <w:sz w:val="21"/>
                      <w:szCs w:val="21"/>
                      <w:highlight w:val="none"/>
                      <w:lang w:bidi="ar"/>
                      <w14:textFill>
                        <w14:solidFill>
                          <w14:schemeClr w14:val="tx1"/>
                        </w14:solidFill>
                      </w14:textFill>
                    </w:rPr>
                    <w:t>10</w:t>
                  </w:r>
                  <w:r>
                    <w:rPr>
                      <w:rFonts w:ascii="Times New Roman" w:hAnsi="Times New Roman" w:eastAsia="宋体"/>
                      <w:color w:val="000000" w:themeColor="text1"/>
                      <w:spacing w:val="0"/>
                      <w:kern w:val="0"/>
                      <w:sz w:val="21"/>
                      <w:szCs w:val="21"/>
                      <w:highlight w:val="none"/>
                      <w:lang w:bidi="ar"/>
                      <w14:textFill>
                        <w14:solidFill>
                          <w14:schemeClr w14:val="tx1"/>
                        </w14:solidFill>
                      </w14:textFill>
                    </w:rPr>
                    <w:t>处</w:t>
                  </w:r>
                  <w:r>
                    <w:rPr>
                      <w:rFonts w:hint="eastAsia"/>
                      <w:color w:val="000000" w:themeColor="text1"/>
                      <w:spacing w:val="0"/>
                      <w:kern w:val="0"/>
                      <w:sz w:val="21"/>
                      <w:szCs w:val="21"/>
                      <w:highlight w:val="none"/>
                      <w:lang w:eastAsia="zh-CN" w:bidi="ar"/>
                      <w14:textFill>
                        <w14:solidFill>
                          <w14:schemeClr w14:val="tx1"/>
                        </w14:solidFill>
                      </w14:textFill>
                    </w:rPr>
                    <w:t>，</w:t>
                  </w:r>
                  <w:r>
                    <w:rPr>
                      <w:rFonts w:hint="eastAsia"/>
                      <w:color w:val="000000" w:themeColor="text1"/>
                      <w:spacing w:val="0"/>
                      <w:kern w:val="0"/>
                      <w:sz w:val="21"/>
                      <w:szCs w:val="21"/>
                      <w:highlight w:val="none"/>
                      <w:lang w:val="en-US" w:eastAsia="zh-CN" w:bidi="ar"/>
                      <w14:textFill>
                        <w14:solidFill>
                          <w14:schemeClr w14:val="tx1"/>
                        </w14:solidFill>
                      </w14:textFill>
                    </w:rPr>
                    <w:t>单处10m×10m</w:t>
                  </w:r>
                  <w:r>
                    <w:rPr>
                      <w:rFonts w:ascii="Times New Roman" w:hAnsi="Times New Roman" w:eastAsia="宋体"/>
                      <w:color w:val="000000" w:themeColor="text1"/>
                      <w:spacing w:val="0"/>
                      <w:kern w:val="0"/>
                      <w:sz w:val="21"/>
                      <w:szCs w:val="21"/>
                      <w:highlight w:val="none"/>
                      <w:lang w:bidi="ar"/>
                      <w14:textFill>
                        <w14:solidFill>
                          <w14:schemeClr w14:val="tx1"/>
                        </w14:solidFill>
                      </w14:textFill>
                    </w:rPr>
                    <w:t>。</w:t>
                  </w:r>
                </w:p>
                <w:p w14:paraId="1EABA78E">
                  <w:pPr>
                    <w:keepNext w:val="0"/>
                    <w:keepLines w:val="0"/>
                    <w:pageBreakBefore w:val="0"/>
                    <w:widowControl w:val="0"/>
                    <w:kinsoku/>
                    <w:wordWrap/>
                    <w:overflowPunct/>
                    <w:topLinePunct w:val="0"/>
                    <w:autoSpaceDE/>
                    <w:autoSpaceDN/>
                    <w:bidi w:val="0"/>
                    <w:adjustRightInd w:val="0"/>
                    <w:snapToGrid w:val="0"/>
                    <w:textAlignment w:val="auto"/>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④</w:t>
                  </w:r>
                  <w:r>
                    <w:rPr>
                      <w:rFonts w:ascii="Times New Roman" w:hAnsi="Times New Roman" w:eastAsia="宋体"/>
                      <w:color w:val="000000" w:themeColor="text1"/>
                      <w:spacing w:val="0"/>
                      <w:kern w:val="0"/>
                      <w:sz w:val="21"/>
                      <w:szCs w:val="21"/>
                      <w:highlight w:val="none"/>
                      <w:lang w:bidi="ar"/>
                      <w14:textFill>
                        <w14:solidFill>
                          <w14:schemeClr w14:val="tx1"/>
                        </w14:solidFill>
                      </w14:textFill>
                    </w:rPr>
                    <w:t>施工便道</w:t>
                  </w:r>
                  <w:r>
                    <w:rPr>
                      <w:rFonts w:ascii="Times New Roman" w:hAnsi="Times New Roman" w:eastAsia="宋体"/>
                      <w:color w:val="000000" w:themeColor="text1"/>
                      <w:spacing w:val="0"/>
                      <w:sz w:val="21"/>
                      <w:szCs w:val="21"/>
                      <w:highlight w:val="none"/>
                      <w14:textFill>
                        <w14:solidFill>
                          <w14:schemeClr w14:val="tx1"/>
                        </w14:solidFill>
                      </w14:textFill>
                    </w:rPr>
                    <w:t>：根据施工现场道路现状，</w:t>
                  </w:r>
                  <w:r>
                    <w:rPr>
                      <w:rFonts w:hint="eastAsia" w:ascii="Times New Roman" w:hAnsi="Times New Roman" w:eastAsia="宋体"/>
                      <w:color w:val="000000" w:themeColor="text1"/>
                      <w:spacing w:val="0"/>
                      <w:sz w:val="21"/>
                      <w:szCs w:val="21"/>
                      <w:highlight w:val="none"/>
                      <w14:textFill>
                        <w14:solidFill>
                          <w14:schemeClr w14:val="tx1"/>
                        </w14:solidFill>
                      </w14:textFill>
                    </w:rPr>
                    <w:t>尽量</w:t>
                  </w:r>
                  <w:r>
                    <w:rPr>
                      <w:rFonts w:ascii="Times New Roman" w:hAnsi="Times New Roman" w:eastAsia="宋体"/>
                      <w:color w:val="000000" w:themeColor="text1"/>
                      <w:spacing w:val="0"/>
                      <w:sz w:val="21"/>
                      <w:szCs w:val="21"/>
                      <w:highlight w:val="none"/>
                      <w14:textFill>
                        <w14:solidFill>
                          <w14:schemeClr w14:val="tx1"/>
                        </w14:solidFill>
                      </w14:textFill>
                    </w:rPr>
                    <w:t>利用现有道路，在不具备施工运输条件的区域，设置施工便道</w:t>
                  </w:r>
                  <w:r>
                    <w:rPr>
                      <w:rFonts w:hint="eastAsia" w:ascii="Times New Roman" w:hAnsi="Times New Roman" w:eastAsia="宋体"/>
                      <w:color w:val="000000" w:themeColor="text1"/>
                      <w:spacing w:val="0"/>
                      <w:sz w:val="21"/>
                      <w:szCs w:val="21"/>
                      <w:highlight w:val="none"/>
                      <w:lang w:eastAsia="zh-CN"/>
                      <w14:textFill>
                        <w14:solidFill>
                          <w14:schemeClr w14:val="tx1"/>
                        </w14:solidFill>
                      </w14:textFill>
                    </w:rPr>
                    <w:t>。</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本项目施工便道长</w:t>
                  </w:r>
                  <w:r>
                    <w:rPr>
                      <w:rFonts w:hint="eastAsia"/>
                      <w:color w:val="000000" w:themeColor="text1"/>
                      <w:spacing w:val="0"/>
                      <w:sz w:val="21"/>
                      <w:szCs w:val="21"/>
                      <w:highlight w:val="none"/>
                      <w:lang w:val="en-US" w:eastAsia="zh-CN"/>
                      <w14:textFill>
                        <w14:solidFill>
                          <w14:schemeClr w14:val="tx1"/>
                        </w14:solidFill>
                      </w14:textFill>
                    </w:rPr>
                    <w:t>2000</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m、</w:t>
                  </w:r>
                  <w:r>
                    <w:rPr>
                      <w:rFonts w:ascii="Times New Roman" w:hAnsi="Times New Roman" w:eastAsia="宋体"/>
                      <w:color w:val="000000" w:themeColor="text1"/>
                      <w:spacing w:val="0"/>
                      <w:sz w:val="21"/>
                      <w:szCs w:val="21"/>
                      <w:highlight w:val="none"/>
                      <w14:textFill>
                        <w14:solidFill>
                          <w14:schemeClr w14:val="tx1"/>
                        </w14:solidFill>
                      </w14:textFill>
                    </w:rPr>
                    <w:t>宽</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3.5</w:t>
                  </w:r>
                  <w:r>
                    <w:rPr>
                      <w:rFonts w:ascii="Times New Roman" w:hAnsi="Times New Roman" w:eastAsia="宋体"/>
                      <w:color w:val="000000" w:themeColor="text1"/>
                      <w:spacing w:val="0"/>
                      <w:sz w:val="21"/>
                      <w:szCs w:val="21"/>
                      <w:highlight w:val="none"/>
                      <w14:textFill>
                        <w14:solidFill>
                          <w14:schemeClr w14:val="tx1"/>
                        </w14:solidFill>
                      </w14:textFill>
                    </w:rPr>
                    <w:t>m。</w:t>
                  </w:r>
                </w:p>
              </w:tc>
            </w:tr>
          </w:tbl>
          <w:p w14:paraId="76EFE088">
            <w:pPr>
              <w:numPr>
                <w:ilvl w:val="0"/>
                <w:numId w:val="0"/>
              </w:numPr>
              <w:spacing w:line="360" w:lineRule="auto"/>
              <w:ind w:firstLine="482" w:firstLineChars="200"/>
              <w:jc w:val="left"/>
              <w:outlineLvl w:val="9"/>
              <w:rPr>
                <w:rFonts w:hint="default" w:ascii="Times New Roman" w:hAnsi="Times New Roman" w:eastAsia="宋体"/>
                <w:b/>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pacing w:val="0"/>
                <w:kern w:val="2"/>
                <w:sz w:val="24"/>
                <w:szCs w:val="24"/>
                <w:highlight w:val="none"/>
                <w:lang w:val="en-US" w:eastAsia="zh-CN" w:bidi="ar-SA"/>
                <w14:textFill>
                  <w14:solidFill>
                    <w14:schemeClr w14:val="tx1"/>
                  </w14:solidFill>
                </w14:textFill>
              </w:rPr>
              <w:t>3、</w:t>
            </w: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导线安全距离</w:t>
            </w:r>
          </w:p>
          <w:p w14:paraId="0E013F1D">
            <w:pPr>
              <w:spacing w:line="360" w:lineRule="auto"/>
              <w:ind w:firstLine="480" w:firstLineChars="200"/>
              <w:jc w:val="both"/>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本项目线路对地距离和交叉跨越距离以满足《110kV~750kV架空输电线路设计规范》（GB50545-2010）的要求</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进行设计</w:t>
            </w:r>
            <w:r>
              <w:rPr>
                <w:rFonts w:hint="default" w:ascii="Times New Roman" w:hAnsi="Times New Roman" w:eastAsia="宋体" w:cs="Times New Roman"/>
                <w:color w:val="000000" w:themeColor="text1"/>
                <w:spacing w:val="0"/>
                <w:sz w:val="24"/>
                <w:highlight w:val="none"/>
                <w14:textFill>
                  <w14:solidFill>
                    <w14:schemeClr w14:val="tx1"/>
                  </w14:solidFill>
                </w14:textFill>
              </w:rPr>
              <w:t>，并结合现场实际情况，导线对地和交叉跨越安全距离见表2-</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55B0A39A">
            <w:pPr>
              <w:keepNext w:val="0"/>
              <w:keepLines w:val="0"/>
              <w:pageBreakBefore w:val="0"/>
              <w:widowControl/>
              <w:kinsoku/>
              <w:wordWrap/>
              <w:overflowPunct/>
              <w:topLinePunct w:val="0"/>
              <w:autoSpaceDE/>
              <w:autoSpaceDN/>
              <w:bidi w:val="0"/>
              <w:adjustRightInd/>
              <w:snapToGrid/>
              <w:spacing w:line="360" w:lineRule="auto"/>
              <w:jc w:val="right"/>
              <w:textAlignment w:val="auto"/>
              <w:outlineLvl w:val="9"/>
              <w:rPr>
                <w:rFonts w:hint="default" w:ascii="Times New Roman" w:hAnsi="Times New Roman" w:eastAsia="宋体" w:cs="Times New Roman"/>
                <w:b/>
                <w:color w:val="000000" w:themeColor="text1"/>
                <w:spacing w:val="0"/>
                <w:sz w:val="24"/>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表2-</w:t>
            </w: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 xml:space="preserve">  导线对地和交叉跨越安全距离</w:t>
            </w: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sz w:val="24"/>
                <w:highlight w:val="none"/>
                <w14:textFill>
                  <w14:solidFill>
                    <w14:schemeClr w14:val="tx1"/>
                  </w14:solidFill>
                </w14:textFill>
              </w:rPr>
              <w:t xml:space="preserve">          </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单位：m</w:t>
            </w:r>
          </w:p>
          <w:tbl>
            <w:tblPr>
              <w:tblStyle w:val="26"/>
              <w:tblW w:w="82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325"/>
              <w:gridCol w:w="2625"/>
              <w:gridCol w:w="2520"/>
            </w:tblGrid>
            <w:tr w14:paraId="41745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09" w:type="dxa"/>
                  <w:noWrap w:val="0"/>
                  <w:vAlign w:val="center"/>
                </w:tcPr>
                <w:p w14:paraId="51734F67">
                  <w:pPr>
                    <w:pStyle w:val="40"/>
                    <w:spacing w:line="240" w:lineRule="auto"/>
                    <w:ind w:firstLine="0" w:firstLineChars="0"/>
                    <w:jc w:val="center"/>
                    <w:outlineLvl w:val="9"/>
                    <w:rPr>
                      <w:rFonts w:hint="default" w:ascii="Times New Roman" w:hAnsi="Times New Roman" w:eastAsia="宋体" w:cs="Times New Roman"/>
                      <w:b/>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14:textFill>
                        <w14:solidFill>
                          <w14:schemeClr w14:val="tx1"/>
                        </w14:solidFill>
                      </w14:textFill>
                    </w:rPr>
                    <w:t>序号</w:t>
                  </w:r>
                </w:p>
              </w:tc>
              <w:tc>
                <w:tcPr>
                  <w:tcW w:w="2325" w:type="dxa"/>
                  <w:noWrap w:val="0"/>
                  <w:vAlign w:val="center"/>
                </w:tcPr>
                <w:p w14:paraId="4280E944">
                  <w:pPr>
                    <w:pStyle w:val="40"/>
                    <w:spacing w:line="240" w:lineRule="auto"/>
                    <w:ind w:firstLine="0" w:firstLineChars="0"/>
                    <w:jc w:val="center"/>
                    <w:outlineLvl w:val="9"/>
                    <w:rPr>
                      <w:rFonts w:hint="default" w:ascii="Times New Roman" w:hAnsi="Times New Roman" w:eastAsia="宋体" w:cs="Times New Roman"/>
                      <w:b/>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14:textFill>
                        <w14:solidFill>
                          <w14:schemeClr w14:val="tx1"/>
                        </w14:solidFill>
                      </w14:textFill>
                    </w:rPr>
                    <w:t>被跨越物名称</w:t>
                  </w:r>
                </w:p>
              </w:tc>
              <w:tc>
                <w:tcPr>
                  <w:tcW w:w="2625" w:type="dxa"/>
                  <w:noWrap w:val="0"/>
                  <w:vAlign w:val="center"/>
                </w:tcPr>
                <w:p w14:paraId="435B8A4A">
                  <w:pPr>
                    <w:pStyle w:val="40"/>
                    <w:spacing w:line="240" w:lineRule="auto"/>
                    <w:ind w:firstLine="0" w:firstLineChars="0"/>
                    <w:jc w:val="center"/>
                    <w:outlineLvl w:val="9"/>
                    <w:rPr>
                      <w:rFonts w:hint="default" w:ascii="Times New Roman" w:hAnsi="Times New Roman" w:eastAsia="宋体" w:cs="Times New Roman"/>
                      <w:b/>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14:textFill>
                        <w14:solidFill>
                          <w14:schemeClr w14:val="tx1"/>
                        </w14:solidFill>
                      </w14:textFill>
                    </w:rPr>
                    <w:t>设计</w:t>
                  </w:r>
                  <w:r>
                    <w:rPr>
                      <w:rFonts w:hint="default" w:ascii="Times New Roman" w:hAnsi="Times New Roman" w:eastAsia="宋体" w:cs="Times New Roman"/>
                      <w:b/>
                      <w:bCs w:val="0"/>
                      <w:color w:val="000000" w:themeColor="text1"/>
                      <w:spacing w:val="0"/>
                      <w:sz w:val="21"/>
                      <w:szCs w:val="21"/>
                      <w:highlight w:val="none"/>
                      <w:lang w:eastAsia="zh-CN"/>
                      <w14:textFill>
                        <w14:solidFill>
                          <w14:schemeClr w14:val="tx1"/>
                        </w14:solidFill>
                      </w14:textFill>
                    </w:rPr>
                    <w:t>要求</w:t>
                  </w:r>
                  <w:r>
                    <w:rPr>
                      <w:rFonts w:hint="default" w:ascii="Times New Roman" w:hAnsi="Times New Roman" w:eastAsia="宋体" w:cs="Times New Roman"/>
                      <w:b/>
                      <w:bCs w:val="0"/>
                      <w:color w:val="000000" w:themeColor="text1"/>
                      <w:spacing w:val="0"/>
                      <w:sz w:val="21"/>
                      <w:szCs w:val="21"/>
                      <w:highlight w:val="none"/>
                      <w14:textFill>
                        <w14:solidFill>
                          <w14:schemeClr w14:val="tx1"/>
                        </w14:solidFill>
                      </w14:textFill>
                    </w:rPr>
                    <w:t>最小对地距离</w:t>
                  </w:r>
                </w:p>
              </w:tc>
              <w:tc>
                <w:tcPr>
                  <w:tcW w:w="2520" w:type="dxa"/>
                  <w:noWrap w:val="0"/>
                  <w:vAlign w:val="center"/>
                </w:tcPr>
                <w:p w14:paraId="60B0E5E8">
                  <w:pPr>
                    <w:pStyle w:val="40"/>
                    <w:spacing w:line="240" w:lineRule="auto"/>
                    <w:ind w:firstLine="0" w:firstLineChars="0"/>
                    <w:jc w:val="center"/>
                    <w:outlineLvl w:val="9"/>
                    <w:rPr>
                      <w:rFonts w:hint="default" w:ascii="Times New Roman" w:hAnsi="Times New Roman" w:eastAsia="宋体" w:cs="Times New Roman"/>
                      <w:b/>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pacing w:val="0"/>
                      <w:sz w:val="21"/>
                      <w:szCs w:val="21"/>
                      <w:highlight w:val="none"/>
                      <w14:textFill>
                        <w14:solidFill>
                          <w14:schemeClr w14:val="tx1"/>
                        </w14:solidFill>
                      </w14:textFill>
                    </w:rPr>
                    <w:t>备注</w:t>
                  </w:r>
                </w:p>
              </w:tc>
            </w:tr>
            <w:tr w14:paraId="003EF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9" w:type="dxa"/>
                  <w:noWrap w:val="0"/>
                  <w:vAlign w:val="center"/>
                </w:tcPr>
                <w:p w14:paraId="0E57576B">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w:t>
                  </w:r>
                </w:p>
              </w:tc>
              <w:tc>
                <w:tcPr>
                  <w:tcW w:w="2325" w:type="dxa"/>
                  <w:noWrap w:val="0"/>
                  <w:vAlign w:val="center"/>
                </w:tcPr>
                <w:p w14:paraId="19570DCC">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居民区</w:t>
                  </w:r>
                </w:p>
              </w:tc>
              <w:tc>
                <w:tcPr>
                  <w:tcW w:w="2625" w:type="dxa"/>
                  <w:noWrap w:val="0"/>
                  <w:vAlign w:val="center"/>
                </w:tcPr>
                <w:p w14:paraId="60D6E54E">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7.</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w:t>
                  </w:r>
                </w:p>
              </w:tc>
              <w:tc>
                <w:tcPr>
                  <w:tcW w:w="2520" w:type="dxa"/>
                  <w:noWrap w:val="0"/>
                  <w:vAlign w:val="center"/>
                </w:tcPr>
                <w:p w14:paraId="63C85421">
                  <w:pPr>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
                      <w14:textFill>
                        <w14:solidFill>
                          <w14:schemeClr w14:val="tx1"/>
                        </w14:solidFill>
                      </w14:textFill>
                    </w:rPr>
                    <w:t>/</w:t>
                  </w:r>
                </w:p>
              </w:tc>
            </w:tr>
            <w:tr w14:paraId="40669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9" w:type="dxa"/>
                  <w:noWrap w:val="0"/>
                  <w:vAlign w:val="center"/>
                </w:tcPr>
                <w:p w14:paraId="3EDC106B">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w:t>
                  </w:r>
                </w:p>
              </w:tc>
              <w:tc>
                <w:tcPr>
                  <w:tcW w:w="2325" w:type="dxa"/>
                  <w:noWrap w:val="0"/>
                  <w:vAlign w:val="center"/>
                </w:tcPr>
                <w:p w14:paraId="32A28479">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非居民区</w:t>
                  </w:r>
                </w:p>
              </w:tc>
              <w:tc>
                <w:tcPr>
                  <w:tcW w:w="2625" w:type="dxa"/>
                  <w:noWrap w:val="0"/>
                  <w:vAlign w:val="center"/>
                </w:tcPr>
                <w:p w14:paraId="6FCFBE89">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w:t>
                  </w:r>
                </w:p>
              </w:tc>
              <w:tc>
                <w:tcPr>
                  <w:tcW w:w="2520" w:type="dxa"/>
                  <w:noWrap w:val="0"/>
                  <w:vAlign w:val="center"/>
                </w:tcPr>
                <w:p w14:paraId="74ADFF4B">
                  <w:pPr>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
                      <w14:textFill>
                        <w14:solidFill>
                          <w14:schemeClr w14:val="tx1"/>
                        </w14:solidFill>
                      </w14:textFill>
                    </w:rPr>
                    <w:t>/</w:t>
                  </w:r>
                </w:p>
              </w:tc>
            </w:tr>
            <w:tr w14:paraId="4D24E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9" w:type="dxa"/>
                  <w:noWrap w:val="0"/>
                  <w:vAlign w:val="center"/>
                </w:tcPr>
                <w:p w14:paraId="1DCCF9CD">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3</w:t>
                  </w:r>
                </w:p>
              </w:tc>
              <w:tc>
                <w:tcPr>
                  <w:tcW w:w="2325" w:type="dxa"/>
                  <w:noWrap w:val="0"/>
                  <w:vAlign w:val="center"/>
                </w:tcPr>
                <w:p w14:paraId="34494BC2">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建筑物</w:t>
                  </w:r>
                </w:p>
              </w:tc>
              <w:tc>
                <w:tcPr>
                  <w:tcW w:w="2625" w:type="dxa"/>
                  <w:noWrap w:val="0"/>
                  <w:vAlign w:val="center"/>
                </w:tcPr>
                <w:p w14:paraId="24DBAB48">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w:t>
                  </w:r>
                </w:p>
              </w:tc>
              <w:tc>
                <w:tcPr>
                  <w:tcW w:w="2520" w:type="dxa"/>
                  <w:noWrap w:val="0"/>
                  <w:vAlign w:val="center"/>
                </w:tcPr>
                <w:p w14:paraId="1E02A82F">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tc>
            </w:tr>
            <w:tr w14:paraId="2105D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9" w:type="dxa"/>
                  <w:noWrap w:val="0"/>
                  <w:vAlign w:val="center"/>
                </w:tcPr>
                <w:p w14:paraId="4FF0E993">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4</w:t>
                  </w:r>
                </w:p>
              </w:tc>
              <w:tc>
                <w:tcPr>
                  <w:tcW w:w="2325" w:type="dxa"/>
                  <w:noWrap w:val="0"/>
                  <w:vAlign w:val="center"/>
                </w:tcPr>
                <w:p w14:paraId="206095DF">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交通困难地区</w:t>
                  </w:r>
                </w:p>
              </w:tc>
              <w:tc>
                <w:tcPr>
                  <w:tcW w:w="2625" w:type="dxa"/>
                  <w:noWrap w:val="0"/>
                  <w:vAlign w:val="center"/>
                </w:tcPr>
                <w:p w14:paraId="05DA76E0">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5.</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w:t>
                  </w:r>
                </w:p>
              </w:tc>
              <w:tc>
                <w:tcPr>
                  <w:tcW w:w="2520" w:type="dxa"/>
                  <w:noWrap w:val="0"/>
                  <w:vAlign w:val="center"/>
                </w:tcPr>
                <w:p w14:paraId="5C80F797">
                  <w:pPr>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
                      <w14:textFill>
                        <w14:solidFill>
                          <w14:schemeClr w14:val="tx1"/>
                        </w14:solidFill>
                      </w14:textFill>
                    </w:rPr>
                    <w:t>/</w:t>
                  </w:r>
                </w:p>
              </w:tc>
            </w:tr>
            <w:tr w14:paraId="493D1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9" w:type="dxa"/>
                  <w:noWrap w:val="0"/>
                  <w:vAlign w:val="center"/>
                </w:tcPr>
                <w:p w14:paraId="6CAF7AF0">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5</w:t>
                  </w:r>
                </w:p>
              </w:tc>
              <w:tc>
                <w:tcPr>
                  <w:tcW w:w="2325" w:type="dxa"/>
                  <w:shd w:val="clear" w:color="auto" w:fill="auto"/>
                  <w:noWrap w:val="0"/>
                  <w:vAlign w:val="center"/>
                </w:tcPr>
                <w:p w14:paraId="08B6B2A0">
                  <w:pPr>
                    <w:pStyle w:val="40"/>
                    <w:spacing w:line="240" w:lineRule="auto"/>
                    <w:ind w:firstLine="0" w:firstLineChars="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公路</w:t>
                  </w:r>
                </w:p>
              </w:tc>
              <w:tc>
                <w:tcPr>
                  <w:tcW w:w="2625" w:type="dxa"/>
                  <w:shd w:val="clear" w:color="auto" w:fill="auto"/>
                  <w:noWrap w:val="0"/>
                  <w:vAlign w:val="center"/>
                </w:tcPr>
                <w:p w14:paraId="3B11EFC0">
                  <w:pPr>
                    <w:pStyle w:val="40"/>
                    <w:spacing w:line="240" w:lineRule="auto"/>
                    <w:ind w:firstLine="0" w:firstLineChars="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w:t>
                  </w:r>
                </w:p>
              </w:tc>
              <w:tc>
                <w:tcPr>
                  <w:tcW w:w="2520" w:type="dxa"/>
                  <w:noWrap w:val="0"/>
                  <w:vAlign w:val="center"/>
                </w:tcPr>
                <w:p w14:paraId="0D2B5EDD">
                  <w:pPr>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
                      <w14:textFill>
                        <w14:solidFill>
                          <w14:schemeClr w14:val="tx1"/>
                        </w14:solidFill>
                      </w14:textFill>
                    </w:rPr>
                    <w:t>/</w:t>
                  </w:r>
                </w:p>
              </w:tc>
            </w:tr>
            <w:tr w14:paraId="77F5A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9" w:type="dxa"/>
                  <w:noWrap w:val="0"/>
                  <w:vAlign w:val="center"/>
                </w:tcPr>
                <w:p w14:paraId="0EE8790B">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w:t>
                  </w:r>
                </w:p>
              </w:tc>
              <w:tc>
                <w:tcPr>
                  <w:tcW w:w="2325" w:type="dxa"/>
                  <w:shd w:val="clear" w:color="auto" w:fill="auto"/>
                  <w:noWrap w:val="0"/>
                  <w:vAlign w:val="center"/>
                </w:tcPr>
                <w:p w14:paraId="1C6132CB">
                  <w:pPr>
                    <w:pStyle w:val="40"/>
                    <w:spacing w:line="240" w:lineRule="auto"/>
                    <w:ind w:firstLine="0" w:firstLineChars="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电力线</w:t>
                  </w:r>
                </w:p>
              </w:tc>
              <w:tc>
                <w:tcPr>
                  <w:tcW w:w="2625" w:type="dxa"/>
                  <w:shd w:val="clear" w:color="auto" w:fill="auto"/>
                  <w:noWrap w:val="0"/>
                  <w:vAlign w:val="center"/>
                </w:tcPr>
                <w:p w14:paraId="55D80DD8">
                  <w:pPr>
                    <w:pStyle w:val="40"/>
                    <w:spacing w:line="240" w:lineRule="auto"/>
                    <w:ind w:firstLine="0" w:firstLineChars="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w:t>
                  </w:r>
                </w:p>
              </w:tc>
              <w:tc>
                <w:tcPr>
                  <w:tcW w:w="2520" w:type="dxa"/>
                  <w:shd w:val="clear" w:color="auto" w:fill="auto"/>
                  <w:noWrap w:val="0"/>
                  <w:vAlign w:val="center"/>
                </w:tcPr>
                <w:p w14:paraId="08FE25F1">
                  <w:pPr>
                    <w:pStyle w:val="40"/>
                    <w:spacing w:line="240" w:lineRule="auto"/>
                    <w:ind w:firstLine="0" w:firstLineChars="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110千伏及以下线路</w:t>
                  </w:r>
                </w:p>
              </w:tc>
            </w:tr>
            <w:tr w14:paraId="1B4A6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9" w:type="dxa"/>
                  <w:noWrap w:val="0"/>
                  <w:vAlign w:val="center"/>
                </w:tcPr>
                <w:p w14:paraId="465CF9E8">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7</w:t>
                  </w:r>
                </w:p>
              </w:tc>
              <w:tc>
                <w:tcPr>
                  <w:tcW w:w="2325" w:type="dxa"/>
                  <w:shd w:val="clear" w:color="auto" w:fill="auto"/>
                  <w:noWrap w:val="0"/>
                  <w:vAlign w:val="center"/>
                </w:tcPr>
                <w:p w14:paraId="6869CA3A">
                  <w:pPr>
                    <w:pStyle w:val="40"/>
                    <w:spacing w:line="240" w:lineRule="auto"/>
                    <w:ind w:firstLine="0" w:firstLineChars="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通信线</w:t>
                  </w:r>
                </w:p>
              </w:tc>
              <w:tc>
                <w:tcPr>
                  <w:tcW w:w="2625" w:type="dxa"/>
                  <w:shd w:val="clear" w:color="auto" w:fill="auto"/>
                  <w:noWrap w:val="0"/>
                  <w:vAlign w:val="center"/>
                </w:tcPr>
                <w:p w14:paraId="334C68B9">
                  <w:pPr>
                    <w:pStyle w:val="40"/>
                    <w:spacing w:line="240" w:lineRule="auto"/>
                    <w:ind w:firstLine="0" w:firstLineChars="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3.0</w:t>
                  </w:r>
                </w:p>
              </w:tc>
              <w:tc>
                <w:tcPr>
                  <w:tcW w:w="2520" w:type="dxa"/>
                  <w:noWrap w:val="0"/>
                  <w:vAlign w:val="center"/>
                </w:tcPr>
                <w:p w14:paraId="7059A382">
                  <w:pPr>
                    <w:pStyle w:val="40"/>
                    <w:spacing w:line="240" w:lineRule="auto"/>
                    <w:ind w:firstLine="0" w:firstLineChars="0"/>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tc>
            </w:tr>
            <w:tr w14:paraId="318FD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9" w:type="dxa"/>
                  <w:noWrap w:val="0"/>
                  <w:vAlign w:val="center"/>
                </w:tcPr>
                <w:p w14:paraId="70111240">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8</w:t>
                  </w:r>
                </w:p>
              </w:tc>
              <w:tc>
                <w:tcPr>
                  <w:tcW w:w="2325" w:type="dxa"/>
                  <w:shd w:val="clear" w:color="auto" w:fill="auto"/>
                  <w:noWrap w:val="0"/>
                  <w:vAlign w:val="center"/>
                </w:tcPr>
                <w:p w14:paraId="23EA16B2">
                  <w:pPr>
                    <w:pStyle w:val="40"/>
                    <w:spacing w:line="240" w:lineRule="auto"/>
                    <w:ind w:firstLine="0" w:firstLineChars="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树木</w:t>
                  </w:r>
                </w:p>
              </w:tc>
              <w:tc>
                <w:tcPr>
                  <w:tcW w:w="2625" w:type="dxa"/>
                  <w:shd w:val="clear" w:color="auto" w:fill="auto"/>
                  <w:noWrap w:val="0"/>
                  <w:vAlign w:val="center"/>
                </w:tcPr>
                <w:p w14:paraId="1116DF92">
                  <w:pPr>
                    <w:pStyle w:val="40"/>
                    <w:spacing w:line="240" w:lineRule="auto"/>
                    <w:ind w:firstLine="0" w:firstLineChars="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4.</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w:t>
                  </w:r>
                </w:p>
              </w:tc>
              <w:tc>
                <w:tcPr>
                  <w:tcW w:w="2520" w:type="dxa"/>
                  <w:noWrap w:val="0"/>
                  <w:vAlign w:val="center"/>
                </w:tcPr>
                <w:p w14:paraId="32D9E5E5">
                  <w:pPr>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
                      <w14:textFill>
                        <w14:solidFill>
                          <w14:schemeClr w14:val="tx1"/>
                        </w14:solidFill>
                      </w14:textFill>
                    </w:rPr>
                    <w:t>/</w:t>
                  </w:r>
                </w:p>
              </w:tc>
            </w:tr>
            <w:tr w14:paraId="2E91D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9" w:type="dxa"/>
                  <w:noWrap w:val="0"/>
                  <w:vAlign w:val="center"/>
                </w:tcPr>
                <w:p w14:paraId="076099AC">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9</w:t>
                  </w:r>
                </w:p>
              </w:tc>
              <w:tc>
                <w:tcPr>
                  <w:tcW w:w="2325" w:type="dxa"/>
                  <w:noWrap w:val="0"/>
                  <w:vAlign w:val="center"/>
                </w:tcPr>
                <w:p w14:paraId="1629EE0C">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经济作物</w:t>
                  </w:r>
                </w:p>
              </w:tc>
              <w:tc>
                <w:tcPr>
                  <w:tcW w:w="2625" w:type="dxa"/>
                  <w:noWrap w:val="0"/>
                  <w:vAlign w:val="center"/>
                </w:tcPr>
                <w:p w14:paraId="483B3CBC">
                  <w:pPr>
                    <w:pStyle w:val="40"/>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3.0</w:t>
                  </w:r>
                </w:p>
              </w:tc>
              <w:tc>
                <w:tcPr>
                  <w:tcW w:w="2520" w:type="dxa"/>
                  <w:noWrap w:val="0"/>
                  <w:vAlign w:val="center"/>
                </w:tcPr>
                <w:p w14:paraId="1A3BBB18">
                  <w:pPr>
                    <w:spacing w:line="240" w:lineRule="auto"/>
                    <w:ind w:firstLine="0" w:firstLineChars="0"/>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
                      <w14:textFill>
                        <w14:solidFill>
                          <w14:schemeClr w14:val="tx1"/>
                        </w14:solidFill>
                      </w14:textFill>
                    </w:rPr>
                    <w:t>/</w:t>
                  </w:r>
                </w:p>
              </w:tc>
            </w:tr>
          </w:tbl>
          <w:p w14:paraId="10CFA9E4">
            <w:pPr>
              <w:numPr>
                <w:ilvl w:val="0"/>
                <w:numId w:val="0"/>
              </w:numPr>
              <w:spacing w:line="360" w:lineRule="auto"/>
              <w:ind w:firstLine="482" w:firstLineChars="200"/>
              <w:jc w:val="left"/>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cs="Times New Roman"/>
                <w:b/>
                <w:color w:val="000000" w:themeColor="text1"/>
                <w:spacing w:val="0"/>
                <w:kern w:val="2"/>
                <w:sz w:val="24"/>
                <w:szCs w:val="24"/>
                <w:highlight w:val="none"/>
                <w:lang w:val="en-US" w:eastAsia="zh-CN" w:bidi="ar-SA"/>
                <w14:textFill>
                  <w14:solidFill>
                    <w14:schemeClr w14:val="tx1"/>
                  </w14:solidFill>
                </w14:textFill>
              </w:rPr>
              <w:t>4、</w:t>
            </w:r>
            <w:r>
              <w:rPr>
                <w:rFonts w:ascii="Times New Roman" w:hAnsi="Times New Roman" w:eastAsia="宋体"/>
                <w:b/>
                <w:color w:val="000000" w:themeColor="text1"/>
                <w:spacing w:val="0"/>
                <w:sz w:val="24"/>
                <w:highlight w:val="none"/>
                <w14:textFill>
                  <w14:solidFill>
                    <w14:schemeClr w14:val="tx1"/>
                  </w14:solidFill>
                </w14:textFill>
              </w:rPr>
              <w:t>主要交叉跨越</w:t>
            </w:r>
          </w:p>
          <w:p w14:paraId="29246243">
            <w:pPr>
              <w:numPr>
                <w:ilvl w:val="0"/>
                <w:numId w:val="0"/>
              </w:numPr>
              <w:spacing w:line="360" w:lineRule="auto"/>
              <w:ind w:firstLine="480" w:firstLineChars="200"/>
              <w:jc w:val="left"/>
              <w:outlineLvl w:val="9"/>
              <w:rPr>
                <w:rFonts w:ascii="Times New Roman" w:hAnsi="Times New Roman" w:eastAsia="宋体"/>
                <w:b/>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14:textFill>
                  <w14:solidFill>
                    <w14:schemeClr w14:val="tx1"/>
                  </w14:solidFill>
                </w14:textFill>
              </w:rPr>
              <w:t>本项目线路主要交叉跨越情况见表2-3。</w:t>
            </w:r>
          </w:p>
          <w:p w14:paraId="73DA7EED">
            <w:pPr>
              <w:pStyle w:val="16"/>
              <w:spacing w:line="360" w:lineRule="auto"/>
              <w:jc w:val="center"/>
              <w:outlineLvl w:val="9"/>
              <w:rPr>
                <w:rFonts w:hint="eastAsia"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b/>
                <w:color w:val="000000" w:themeColor="text1"/>
                <w:spacing w:val="0"/>
                <w:sz w:val="24"/>
                <w:szCs w:val="24"/>
                <w:highlight w:val="none"/>
                <w14:textFill>
                  <w14:solidFill>
                    <w14:schemeClr w14:val="tx1"/>
                  </w14:solidFill>
                </w14:textFill>
              </w:rPr>
              <w:t>表2-</w:t>
            </w:r>
            <w:r>
              <w:rPr>
                <w:rFonts w:hint="eastAsia" w:ascii="Times New Roman" w:hAnsi="Times New Roman" w:eastAsia="宋体"/>
                <w:b/>
                <w:color w:val="000000" w:themeColor="text1"/>
                <w:spacing w:val="0"/>
                <w:sz w:val="24"/>
                <w:szCs w:val="24"/>
                <w:highlight w:val="none"/>
                <w:lang w:val="en-US" w:eastAsia="zh-CN"/>
                <w14:textFill>
                  <w14:solidFill>
                    <w14:schemeClr w14:val="tx1"/>
                  </w14:solidFill>
                </w14:textFill>
              </w:rPr>
              <w:t>3</w:t>
            </w:r>
            <w:r>
              <w:rPr>
                <w:rFonts w:hint="eastAsia" w:ascii="Times New Roman" w:hAnsi="Times New Roman" w:eastAsia="宋体"/>
                <w:b/>
                <w:color w:val="000000" w:themeColor="text1"/>
                <w:spacing w:val="0"/>
                <w:sz w:val="24"/>
                <w:szCs w:val="24"/>
                <w:highlight w:val="none"/>
                <w14:textFill>
                  <w14:solidFill>
                    <w14:schemeClr w14:val="tx1"/>
                  </w14:solidFill>
                </w14:textFill>
              </w:rPr>
              <w:t xml:space="preserve"> </w:t>
            </w:r>
            <w:r>
              <w:rPr>
                <w:rFonts w:hint="eastAsia" w:ascii="Times New Roman" w:hAnsi="Times New Roman" w:eastAsia="宋体"/>
                <w:b/>
                <w:color w:val="000000" w:themeColor="text1"/>
                <w:spacing w:val="0"/>
                <w:sz w:val="24"/>
                <w:szCs w:val="24"/>
                <w:highlight w:val="none"/>
                <w:lang w:val="en-US" w:eastAsia="zh-CN"/>
                <w14:textFill>
                  <w14:solidFill>
                    <w14:schemeClr w14:val="tx1"/>
                  </w14:solidFill>
                </w14:textFill>
              </w:rPr>
              <w:t xml:space="preserve"> </w:t>
            </w:r>
            <w:r>
              <w:rPr>
                <w:rFonts w:hint="eastAsia" w:ascii="Times New Roman" w:hAnsi="Times New Roman" w:eastAsia="宋体"/>
                <w:b/>
                <w:color w:val="000000" w:themeColor="text1"/>
                <w:spacing w:val="0"/>
                <w:sz w:val="24"/>
                <w:szCs w:val="24"/>
                <w:highlight w:val="none"/>
                <w14:textFill>
                  <w14:solidFill>
                    <w14:schemeClr w14:val="tx1"/>
                  </w14:solidFill>
                </w14:textFill>
              </w:rPr>
              <w:t>项目主要交叉跨越</w:t>
            </w:r>
            <w:r>
              <w:rPr>
                <w:rFonts w:hint="eastAsia" w:ascii="Times New Roman" w:hAnsi="Times New Roman" w:eastAsia="宋体"/>
                <w:b/>
                <w:color w:val="000000" w:themeColor="text1"/>
                <w:spacing w:val="0"/>
                <w:sz w:val="24"/>
                <w:szCs w:val="24"/>
                <w:highlight w:val="none"/>
                <w:lang w:val="en-US" w:eastAsia="zh-CN"/>
                <w14:textFill>
                  <w14:solidFill>
                    <w14:schemeClr w14:val="tx1"/>
                  </w14:solidFill>
                </w14:textFill>
              </w:rPr>
              <w:t>情况</w:t>
            </w:r>
          </w:p>
          <w:tbl>
            <w:tblPr>
              <w:tblStyle w:val="27"/>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2085"/>
              <w:gridCol w:w="2085"/>
              <w:gridCol w:w="2085"/>
            </w:tblGrid>
            <w:tr w14:paraId="10402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085" w:type="dxa"/>
                  <w:vMerge w:val="restart"/>
                  <w:tcBorders>
                    <w:tl2br w:val="nil"/>
                    <w:tr2bl w:val="nil"/>
                  </w:tcBorders>
                  <w:vAlign w:val="center"/>
                </w:tcPr>
                <w:p w14:paraId="7FF65CB2">
                  <w:pPr>
                    <w:jc w:val="center"/>
                    <w:outlineLvl w:val="9"/>
                    <w:rPr>
                      <w:rFonts w:hint="eastAsia"/>
                      <w:b/>
                      <w:bCs/>
                      <w:color w:val="000000" w:themeColor="text1"/>
                      <w:spacing w:val="0"/>
                      <w:highlight w:val="none"/>
                      <w:lang w:val="en-US" w:eastAsia="zh-CN"/>
                      <w14:textFill>
                        <w14:solidFill>
                          <w14:schemeClr w14:val="tx1"/>
                        </w14:solidFill>
                      </w14:textFill>
                    </w:rPr>
                  </w:pPr>
                  <w:r>
                    <w:rPr>
                      <w:rFonts w:hint="eastAsia" w:ascii="Times New Roman" w:hAnsi="Times New Roman" w:eastAsia="宋体"/>
                      <w:b/>
                      <w:bCs/>
                      <w:color w:val="000000" w:themeColor="text1"/>
                      <w:spacing w:val="0"/>
                      <w:highlight w:val="none"/>
                      <w14:textFill>
                        <w14:solidFill>
                          <w14:schemeClr w14:val="tx1"/>
                        </w14:solidFill>
                      </w14:textFill>
                    </w:rPr>
                    <w:t>交叉跨越</w:t>
                  </w:r>
                  <w:r>
                    <w:rPr>
                      <w:rFonts w:hint="eastAsia" w:ascii="Times New Roman" w:hAnsi="Times New Roman" w:eastAsia="宋体"/>
                      <w:b/>
                      <w:bCs/>
                      <w:color w:val="000000" w:themeColor="text1"/>
                      <w:spacing w:val="0"/>
                      <w:highlight w:val="none"/>
                      <w:lang w:val="en-US" w:eastAsia="zh-CN"/>
                      <w14:textFill>
                        <w14:solidFill>
                          <w14:schemeClr w14:val="tx1"/>
                        </w14:solidFill>
                      </w14:textFill>
                    </w:rPr>
                    <w:t>物</w:t>
                  </w:r>
                  <w:r>
                    <w:rPr>
                      <w:rFonts w:hint="eastAsia" w:ascii="Times New Roman" w:hAnsi="Times New Roman" w:eastAsia="宋体"/>
                      <w:b/>
                      <w:bCs/>
                      <w:color w:val="000000" w:themeColor="text1"/>
                      <w:spacing w:val="0"/>
                      <w:highlight w:val="none"/>
                      <w14:textFill>
                        <w14:solidFill>
                          <w14:schemeClr w14:val="tx1"/>
                        </w14:solidFill>
                      </w14:textFill>
                    </w:rPr>
                    <w:t>名称</w:t>
                  </w:r>
                </w:p>
                <w:p w14:paraId="20443B17">
                  <w:pPr>
                    <w:jc w:val="center"/>
                    <w:outlineLvl w:val="9"/>
                    <w:rPr>
                      <w:rFonts w:hint="default" w:ascii="Times New Roman" w:hAnsi="Times New Roman" w:eastAsia="宋体"/>
                      <w:b/>
                      <w:bCs/>
                      <w:color w:val="000000" w:themeColor="text1"/>
                      <w:spacing w:val="0"/>
                      <w:highlight w:val="none"/>
                      <w:lang w:val="en-US" w:eastAsia="zh-CN"/>
                      <w14:textFill>
                        <w14:solidFill>
                          <w14:schemeClr w14:val="tx1"/>
                        </w14:solidFill>
                      </w14:textFill>
                    </w:rPr>
                  </w:pPr>
                  <w:r>
                    <w:rPr>
                      <w:rFonts w:hint="eastAsia"/>
                      <w:b/>
                      <w:bCs/>
                      <w:color w:val="000000" w:themeColor="text1"/>
                      <w:spacing w:val="0"/>
                      <w:highlight w:val="none"/>
                      <w:lang w:val="en-US" w:eastAsia="zh-CN"/>
                      <w14:textFill>
                        <w14:solidFill>
                          <w14:schemeClr w14:val="tx1"/>
                        </w14:solidFill>
                      </w14:textFill>
                    </w:rPr>
                    <w:t>次数</w:t>
                  </w:r>
                </w:p>
              </w:tc>
              <w:tc>
                <w:tcPr>
                  <w:tcW w:w="6255" w:type="dxa"/>
                  <w:gridSpan w:val="3"/>
                  <w:tcBorders>
                    <w:tl2br w:val="nil"/>
                    <w:tr2bl w:val="nil"/>
                  </w:tcBorders>
                  <w:vAlign w:val="center"/>
                </w:tcPr>
                <w:p w14:paraId="1F52DCBB">
                  <w:pPr>
                    <w:jc w:val="center"/>
                    <w:outlineLvl w:val="9"/>
                    <w:rPr>
                      <w:rFonts w:ascii="Times New Roman" w:hAnsi="Times New Roman" w:eastAsia="宋体"/>
                      <w:b/>
                      <w:bCs/>
                      <w:color w:val="000000" w:themeColor="text1"/>
                      <w:spacing w:val="0"/>
                      <w:highlight w:val="none"/>
                      <w14:textFill>
                        <w14:solidFill>
                          <w14:schemeClr w14:val="tx1"/>
                        </w14:solidFill>
                      </w14:textFill>
                    </w:rPr>
                  </w:pPr>
                  <w:r>
                    <w:rPr>
                      <w:rFonts w:hint="eastAsia" w:ascii="Times New Roman" w:hAnsi="Times New Roman" w:eastAsia="宋体"/>
                      <w:b/>
                      <w:bCs/>
                      <w:color w:val="000000" w:themeColor="text1"/>
                      <w:spacing w:val="0"/>
                      <w:highlight w:val="none"/>
                      <w:lang w:val="en-US" w:eastAsia="zh-CN"/>
                      <w14:textFill>
                        <w14:solidFill>
                          <w14:schemeClr w14:val="tx1"/>
                        </w14:solidFill>
                      </w14:textFill>
                    </w:rPr>
                    <w:t>线路名称</w:t>
                  </w:r>
                </w:p>
              </w:tc>
            </w:tr>
            <w:tr w14:paraId="0A7A5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085" w:type="dxa"/>
                  <w:vMerge w:val="continue"/>
                  <w:tcBorders>
                    <w:tl2br w:val="nil"/>
                    <w:tr2bl w:val="nil"/>
                  </w:tcBorders>
                  <w:vAlign w:val="center"/>
                </w:tcPr>
                <w:p w14:paraId="34C0DF38">
                  <w:pPr>
                    <w:jc w:val="center"/>
                    <w:outlineLvl w:val="9"/>
                    <w:rPr>
                      <w:rFonts w:hint="eastAsia" w:ascii="Times New Roman" w:hAnsi="Times New Roman" w:eastAsia="宋体"/>
                      <w:b/>
                      <w:bCs/>
                      <w:color w:val="000000" w:themeColor="text1"/>
                      <w:spacing w:val="0"/>
                      <w:highlight w:val="none"/>
                      <w14:textFill>
                        <w14:solidFill>
                          <w14:schemeClr w14:val="tx1"/>
                        </w14:solidFill>
                      </w14:textFill>
                    </w:rPr>
                  </w:pPr>
                </w:p>
              </w:tc>
              <w:tc>
                <w:tcPr>
                  <w:tcW w:w="2085" w:type="dxa"/>
                  <w:tcBorders>
                    <w:tl2br w:val="nil"/>
                    <w:tr2bl w:val="nil"/>
                  </w:tcBorders>
                  <w:vAlign w:val="center"/>
                </w:tcPr>
                <w:p w14:paraId="64F601EF">
                  <w:pPr>
                    <w:jc w:val="center"/>
                    <w:outlineLvl w:val="9"/>
                    <w:rPr>
                      <w:rFonts w:hint="eastAsia" w:ascii="Times New Roman" w:hAnsi="Times New Roman" w:eastAsia="宋体"/>
                      <w:b/>
                      <w:bCs/>
                      <w:color w:val="000000" w:themeColor="text1"/>
                      <w:spacing w:val="0"/>
                      <w:highlight w:val="none"/>
                      <w14:textFill>
                        <w14:solidFill>
                          <w14:schemeClr w14:val="tx1"/>
                        </w14:solidFill>
                      </w14:textFill>
                    </w:rPr>
                  </w:pPr>
                  <w:r>
                    <w:rPr>
                      <w:rFonts w:hint="eastAsia" w:ascii="Times New Roman" w:hAnsi="Times New Roman" w:eastAsia="宋体"/>
                      <w:b/>
                      <w:bCs/>
                      <w:color w:val="000000" w:themeColor="text1"/>
                      <w:spacing w:val="0"/>
                      <w:szCs w:val="21"/>
                      <w:highlight w:val="none"/>
                      <w:lang w:val="en-US" w:eastAsia="zh-CN"/>
                      <w14:textFill>
                        <w14:solidFill>
                          <w14:schemeClr w14:val="tx1"/>
                        </w14:solidFill>
                      </w14:textFill>
                    </w:rPr>
                    <w:t>申铎线π入三岔变110kV线路</w:t>
                  </w:r>
                </w:p>
              </w:tc>
              <w:tc>
                <w:tcPr>
                  <w:tcW w:w="2085" w:type="dxa"/>
                  <w:tcBorders>
                    <w:tl2br w:val="nil"/>
                    <w:tr2bl w:val="nil"/>
                  </w:tcBorders>
                  <w:vAlign w:val="center"/>
                </w:tcPr>
                <w:p w14:paraId="4A0BB170">
                  <w:pPr>
                    <w:jc w:val="center"/>
                    <w:outlineLvl w:val="9"/>
                    <w:rPr>
                      <w:rFonts w:hint="eastAsia" w:ascii="Times New Roman" w:hAnsi="Times New Roman" w:eastAsia="宋体"/>
                      <w:b/>
                      <w:bCs/>
                      <w:color w:val="000000" w:themeColor="text1"/>
                      <w:spacing w:val="0"/>
                      <w:highlight w:val="none"/>
                      <w14:textFill>
                        <w14:solidFill>
                          <w14:schemeClr w14:val="tx1"/>
                        </w14:solidFill>
                      </w14:textFill>
                    </w:rPr>
                  </w:pPr>
                  <w:r>
                    <w:rPr>
                      <w:rFonts w:hint="eastAsia"/>
                      <w:b/>
                      <w:bCs/>
                      <w:color w:val="000000" w:themeColor="text1"/>
                      <w:spacing w:val="0"/>
                      <w:szCs w:val="21"/>
                      <w:highlight w:val="none"/>
                      <w:lang w:val="en-US" w:eastAsia="zh-CN"/>
                      <w14:textFill>
                        <w14:solidFill>
                          <w14:schemeClr w14:val="tx1"/>
                        </w14:solidFill>
                      </w14:textFill>
                    </w:rPr>
                    <w:t>申庄～黄铎堡改接清水河变电站110kV线路</w:t>
                  </w:r>
                </w:p>
              </w:tc>
              <w:tc>
                <w:tcPr>
                  <w:tcW w:w="2085" w:type="dxa"/>
                  <w:tcBorders>
                    <w:tl2br w:val="nil"/>
                    <w:tr2bl w:val="nil"/>
                  </w:tcBorders>
                  <w:vAlign w:val="center"/>
                </w:tcPr>
                <w:p w14:paraId="29BC8005">
                  <w:pPr>
                    <w:jc w:val="center"/>
                    <w:outlineLvl w:val="9"/>
                    <w:rPr>
                      <w:rFonts w:hint="eastAsia" w:ascii="Times New Roman" w:hAnsi="Times New Roman" w:eastAsia="宋体"/>
                      <w:b/>
                      <w:bCs/>
                      <w:color w:val="000000" w:themeColor="text1"/>
                      <w:spacing w:val="0"/>
                      <w:highlight w:val="none"/>
                      <w14:textFill>
                        <w14:solidFill>
                          <w14:schemeClr w14:val="tx1"/>
                        </w14:solidFill>
                      </w14:textFill>
                    </w:rPr>
                  </w:pPr>
                  <w:r>
                    <w:rPr>
                      <w:rFonts w:hint="eastAsia"/>
                      <w:b/>
                      <w:bCs/>
                      <w:color w:val="000000" w:themeColor="text1"/>
                      <w:spacing w:val="0"/>
                      <w:szCs w:val="21"/>
                      <w:highlight w:val="none"/>
                      <w:lang w:val="en-US" w:eastAsia="zh-CN"/>
                      <w14:textFill>
                        <w14:solidFill>
                          <w14:schemeClr w14:val="tx1"/>
                        </w14:solidFill>
                      </w14:textFill>
                    </w:rPr>
                    <w:t>清水河~申庄改接绿塬变电站110kV线路</w:t>
                  </w:r>
                </w:p>
              </w:tc>
            </w:tr>
            <w:tr w14:paraId="16FEE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085" w:type="dxa"/>
                  <w:tcBorders>
                    <w:tl2br w:val="nil"/>
                    <w:tr2bl w:val="nil"/>
                  </w:tcBorders>
                  <w:shd w:val="clear" w:color="auto" w:fill="auto"/>
                  <w:vAlign w:val="center"/>
                </w:tcPr>
                <w:p w14:paraId="5894EA65">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跨肖臭公路</w:t>
                  </w:r>
                </w:p>
              </w:tc>
              <w:tc>
                <w:tcPr>
                  <w:tcW w:w="2085" w:type="dxa"/>
                  <w:tcBorders>
                    <w:tl2br w:val="nil"/>
                    <w:tr2bl w:val="nil"/>
                  </w:tcBorders>
                  <w:shd w:val="clear" w:color="auto" w:fill="auto"/>
                  <w:vAlign w:val="center"/>
                </w:tcPr>
                <w:p w14:paraId="63F11010">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t>3</w:t>
                  </w:r>
                </w:p>
              </w:tc>
              <w:tc>
                <w:tcPr>
                  <w:tcW w:w="2085" w:type="dxa"/>
                  <w:tcBorders>
                    <w:tl2br w:val="nil"/>
                    <w:tr2bl w:val="nil"/>
                  </w:tcBorders>
                  <w:shd w:val="clear" w:color="auto" w:fill="auto"/>
                  <w:vAlign w:val="center"/>
                </w:tcPr>
                <w:p w14:paraId="32021AD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c>
                <w:tcPr>
                  <w:tcW w:w="2085" w:type="dxa"/>
                  <w:tcBorders>
                    <w:tl2br w:val="nil"/>
                    <w:tr2bl w:val="nil"/>
                  </w:tcBorders>
                  <w:vAlign w:val="center"/>
                </w:tcPr>
                <w:p w14:paraId="7A4F4215">
                  <w:pPr>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r>
            <w:tr w14:paraId="302A2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085" w:type="dxa"/>
                  <w:tcBorders>
                    <w:tl2br w:val="nil"/>
                    <w:tr2bl w:val="nil"/>
                  </w:tcBorders>
                  <w:shd w:val="clear" w:color="auto" w:fill="auto"/>
                  <w:vAlign w:val="center"/>
                </w:tcPr>
                <w:p w14:paraId="3E95C3B4">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跨彭黑公路</w:t>
                  </w:r>
                </w:p>
              </w:tc>
              <w:tc>
                <w:tcPr>
                  <w:tcW w:w="2085" w:type="dxa"/>
                  <w:tcBorders>
                    <w:tl2br w:val="nil"/>
                    <w:tr2bl w:val="nil"/>
                  </w:tcBorders>
                  <w:shd w:val="clear" w:color="auto" w:fill="auto"/>
                  <w:vAlign w:val="center"/>
                </w:tcPr>
                <w:p w14:paraId="1281B014">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t>2</w:t>
                  </w:r>
                </w:p>
              </w:tc>
              <w:tc>
                <w:tcPr>
                  <w:tcW w:w="2085" w:type="dxa"/>
                  <w:tcBorders>
                    <w:tl2br w:val="nil"/>
                    <w:tr2bl w:val="nil"/>
                  </w:tcBorders>
                  <w:shd w:val="clear" w:color="auto" w:fill="auto"/>
                  <w:vAlign w:val="center"/>
                </w:tcPr>
                <w:p w14:paraId="144CA10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bidi="ar-SA"/>
                      <w14:textFill>
                        <w14:solidFill>
                          <w14:schemeClr w14:val="tx1"/>
                        </w14:solidFill>
                      </w14:textFill>
                    </w:rPr>
                    <w:t>1</w:t>
                  </w:r>
                </w:p>
              </w:tc>
              <w:tc>
                <w:tcPr>
                  <w:tcW w:w="2085" w:type="dxa"/>
                  <w:tcBorders>
                    <w:tl2br w:val="nil"/>
                    <w:tr2bl w:val="nil"/>
                  </w:tcBorders>
                  <w:vAlign w:val="center"/>
                </w:tcPr>
                <w:p w14:paraId="108A6A35">
                  <w:pPr>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r>
            <w:tr w14:paraId="0CD4B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085" w:type="dxa"/>
                  <w:tcBorders>
                    <w:tl2br w:val="nil"/>
                    <w:tr2bl w:val="nil"/>
                  </w:tcBorders>
                  <w:shd w:val="clear" w:color="auto" w:fill="auto"/>
                  <w:vAlign w:val="center"/>
                </w:tcPr>
                <w:p w14:paraId="13951692">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跨西气东输3线</w:t>
                  </w:r>
                </w:p>
              </w:tc>
              <w:tc>
                <w:tcPr>
                  <w:tcW w:w="2085" w:type="dxa"/>
                  <w:tcBorders>
                    <w:tl2br w:val="nil"/>
                    <w:tr2bl w:val="nil"/>
                  </w:tcBorders>
                  <w:shd w:val="clear" w:color="auto" w:fill="auto"/>
                  <w:vAlign w:val="center"/>
                </w:tcPr>
                <w:p w14:paraId="598FA4A5">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t>2</w:t>
                  </w:r>
                </w:p>
              </w:tc>
              <w:tc>
                <w:tcPr>
                  <w:tcW w:w="2085" w:type="dxa"/>
                  <w:tcBorders>
                    <w:tl2br w:val="nil"/>
                    <w:tr2bl w:val="nil"/>
                  </w:tcBorders>
                  <w:shd w:val="clear" w:color="auto" w:fill="auto"/>
                  <w:vAlign w:val="center"/>
                </w:tcPr>
                <w:p w14:paraId="76AC445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c>
                <w:tcPr>
                  <w:tcW w:w="2085" w:type="dxa"/>
                  <w:tcBorders>
                    <w:tl2br w:val="nil"/>
                    <w:tr2bl w:val="nil"/>
                  </w:tcBorders>
                  <w:vAlign w:val="center"/>
                </w:tcPr>
                <w:p w14:paraId="21C7A4F1">
                  <w:pPr>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r>
            <w:tr w14:paraId="37EA2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085" w:type="dxa"/>
                  <w:tcBorders>
                    <w:tl2br w:val="nil"/>
                    <w:tr2bl w:val="nil"/>
                  </w:tcBorders>
                  <w:shd w:val="clear" w:color="auto" w:fill="auto"/>
                  <w:vAlign w:val="center"/>
                </w:tcPr>
                <w:p w14:paraId="104864BF">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跨低压线路</w:t>
                  </w:r>
                </w:p>
              </w:tc>
              <w:tc>
                <w:tcPr>
                  <w:tcW w:w="2085" w:type="dxa"/>
                  <w:tcBorders>
                    <w:tl2br w:val="nil"/>
                    <w:tr2bl w:val="nil"/>
                  </w:tcBorders>
                  <w:shd w:val="clear" w:color="auto" w:fill="auto"/>
                  <w:vAlign w:val="center"/>
                </w:tcPr>
                <w:p w14:paraId="7EACCD8A">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kern w:val="0"/>
                      <w:sz w:val="21"/>
                      <w:szCs w:val="24"/>
                      <w:highlight w:val="none"/>
                      <w:lang w:val="en-US" w:eastAsia="zh-CN" w:bidi="ar-SA"/>
                      <w14:textFill>
                        <w14:solidFill>
                          <w14:schemeClr w14:val="tx1"/>
                        </w14:solidFill>
                      </w14:textFill>
                    </w:rPr>
                    <w:t>5</w:t>
                  </w:r>
                </w:p>
              </w:tc>
              <w:tc>
                <w:tcPr>
                  <w:tcW w:w="2085" w:type="dxa"/>
                  <w:tcBorders>
                    <w:tl2br w:val="nil"/>
                    <w:tr2bl w:val="nil"/>
                  </w:tcBorders>
                  <w:vAlign w:val="center"/>
                </w:tcPr>
                <w:p w14:paraId="3CAB629A">
                  <w:pPr>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10</w:t>
                  </w:r>
                </w:p>
              </w:tc>
              <w:tc>
                <w:tcPr>
                  <w:tcW w:w="2085" w:type="dxa"/>
                  <w:tcBorders>
                    <w:tl2br w:val="nil"/>
                    <w:tr2bl w:val="nil"/>
                  </w:tcBorders>
                  <w:vAlign w:val="center"/>
                </w:tcPr>
                <w:p w14:paraId="76B49071">
                  <w:pPr>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r>
            <w:tr w14:paraId="04D35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085" w:type="dxa"/>
                  <w:tcBorders>
                    <w:tl2br w:val="nil"/>
                    <w:tr2bl w:val="nil"/>
                  </w:tcBorders>
                  <w:shd w:val="clear" w:color="auto" w:fill="auto"/>
                  <w:vAlign w:val="center"/>
                </w:tcPr>
                <w:p w14:paraId="33D23C7B">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跨华木林沟</w:t>
                  </w:r>
                </w:p>
              </w:tc>
              <w:tc>
                <w:tcPr>
                  <w:tcW w:w="2085" w:type="dxa"/>
                  <w:tcBorders>
                    <w:tl2br w:val="nil"/>
                    <w:tr2bl w:val="nil"/>
                  </w:tcBorders>
                  <w:shd w:val="clear" w:color="auto" w:fill="auto"/>
                  <w:vAlign w:val="center"/>
                </w:tcPr>
                <w:p w14:paraId="3592DAC8">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c>
                <w:tcPr>
                  <w:tcW w:w="2085" w:type="dxa"/>
                  <w:tcBorders>
                    <w:tl2br w:val="nil"/>
                    <w:tr2bl w:val="nil"/>
                  </w:tcBorders>
                  <w:vAlign w:val="center"/>
                </w:tcPr>
                <w:p w14:paraId="7B65815B">
                  <w:pPr>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1</w:t>
                  </w:r>
                </w:p>
              </w:tc>
              <w:tc>
                <w:tcPr>
                  <w:tcW w:w="2085" w:type="dxa"/>
                  <w:tcBorders>
                    <w:tl2br w:val="nil"/>
                    <w:tr2bl w:val="nil"/>
                  </w:tcBorders>
                  <w:vAlign w:val="center"/>
                </w:tcPr>
                <w:p w14:paraId="73F51572">
                  <w:pPr>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r>
            <w:tr w14:paraId="45F1C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085" w:type="dxa"/>
                  <w:tcBorders>
                    <w:tl2br w:val="nil"/>
                    <w:tr2bl w:val="nil"/>
                  </w:tcBorders>
                  <w:shd w:val="clear" w:color="auto" w:fill="auto"/>
                  <w:vAlign w:val="center"/>
                </w:tcPr>
                <w:p w14:paraId="01DE8382">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跨乡村道</w:t>
                  </w:r>
                </w:p>
              </w:tc>
              <w:tc>
                <w:tcPr>
                  <w:tcW w:w="2085" w:type="dxa"/>
                  <w:tcBorders>
                    <w:tl2br w:val="nil"/>
                    <w:tr2bl w:val="nil"/>
                  </w:tcBorders>
                  <w:shd w:val="clear" w:color="auto" w:fill="auto"/>
                  <w:vAlign w:val="center"/>
                </w:tcPr>
                <w:p w14:paraId="350CACEE">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c>
                <w:tcPr>
                  <w:tcW w:w="2085" w:type="dxa"/>
                  <w:tcBorders>
                    <w:tl2br w:val="nil"/>
                    <w:tr2bl w:val="nil"/>
                  </w:tcBorders>
                  <w:vAlign w:val="center"/>
                </w:tcPr>
                <w:p w14:paraId="78D3C219">
                  <w:pPr>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6</w:t>
                  </w:r>
                </w:p>
              </w:tc>
              <w:tc>
                <w:tcPr>
                  <w:tcW w:w="2085" w:type="dxa"/>
                  <w:tcBorders>
                    <w:tl2br w:val="nil"/>
                    <w:tr2bl w:val="nil"/>
                  </w:tcBorders>
                  <w:vAlign w:val="center"/>
                </w:tcPr>
                <w:p w14:paraId="21FEF205">
                  <w:pPr>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r>
            <w:tr w14:paraId="3198C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085" w:type="dxa"/>
                  <w:tcBorders>
                    <w:tl2br w:val="nil"/>
                    <w:tr2bl w:val="nil"/>
                  </w:tcBorders>
                  <w:shd w:val="clear" w:color="auto" w:fill="auto"/>
                  <w:vAlign w:val="center"/>
                </w:tcPr>
                <w:p w14:paraId="11899EDC">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电缆钻110kV及 330kV</w:t>
                  </w:r>
                </w:p>
              </w:tc>
              <w:tc>
                <w:tcPr>
                  <w:tcW w:w="2085" w:type="dxa"/>
                  <w:tcBorders>
                    <w:tl2br w:val="nil"/>
                    <w:tr2bl w:val="nil"/>
                  </w:tcBorders>
                  <w:shd w:val="clear" w:color="auto" w:fill="auto"/>
                  <w:vAlign w:val="center"/>
                </w:tcPr>
                <w:p w14:paraId="74396E16">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spacing w:val="0"/>
                      <w:kern w:val="0"/>
                      <w:sz w:val="21"/>
                      <w:highlight w:val="none"/>
                      <w:lang w:val="en-US" w:eastAsia="zh-CN"/>
                      <w14:textFill>
                        <w14:solidFill>
                          <w14:schemeClr w14:val="tx1"/>
                        </w14:solidFill>
                      </w14:textFill>
                    </w:rPr>
                    <w:t>/</w:t>
                  </w:r>
                </w:p>
              </w:tc>
              <w:tc>
                <w:tcPr>
                  <w:tcW w:w="2085" w:type="dxa"/>
                  <w:tcBorders>
                    <w:tl2br w:val="nil"/>
                    <w:tr2bl w:val="nil"/>
                  </w:tcBorders>
                  <w:vAlign w:val="center"/>
                </w:tcPr>
                <w:p w14:paraId="29DD6295">
                  <w:pPr>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18</w:t>
                  </w:r>
                </w:p>
              </w:tc>
              <w:tc>
                <w:tcPr>
                  <w:tcW w:w="2085" w:type="dxa"/>
                  <w:tcBorders>
                    <w:tl2br w:val="nil"/>
                    <w:tr2bl w:val="nil"/>
                  </w:tcBorders>
                  <w:vAlign w:val="center"/>
                </w:tcPr>
                <w:p w14:paraId="5F6DA4DD">
                  <w:pPr>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15</w:t>
                  </w:r>
                </w:p>
              </w:tc>
            </w:tr>
          </w:tbl>
          <w:p w14:paraId="28B6C05E">
            <w:pPr>
              <w:spacing w:line="360" w:lineRule="auto"/>
              <w:ind w:firstLine="482" w:firstLineChars="200"/>
              <w:outlineLvl w:val="9"/>
              <w:rPr>
                <w:rFonts w:ascii="Times New Roman" w:hAnsi="Times New Roman" w:eastAsia="宋体"/>
                <w:b/>
                <w:color w:val="000000" w:themeColor="text1"/>
                <w:spacing w:val="0"/>
                <w:sz w:val="24"/>
                <w:highlight w:val="none"/>
                <w14:textFill>
                  <w14:solidFill>
                    <w14:schemeClr w14:val="tx1"/>
                  </w14:solidFill>
                </w14:textFill>
              </w:rPr>
            </w:pP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5</w:t>
            </w:r>
            <w:r>
              <w:rPr>
                <w:rFonts w:ascii="Times New Roman" w:hAnsi="Times New Roman" w:eastAsia="宋体"/>
                <w:b/>
                <w:color w:val="000000" w:themeColor="text1"/>
                <w:spacing w:val="0"/>
                <w:sz w:val="24"/>
                <w:highlight w:val="none"/>
                <w14:textFill>
                  <w14:solidFill>
                    <w14:schemeClr w14:val="tx1"/>
                  </w14:solidFill>
                </w14:textFill>
              </w:rPr>
              <w:t>、导线和地线</w:t>
            </w:r>
          </w:p>
          <w:p w14:paraId="20E332CF">
            <w:pPr>
              <w:spacing w:line="360" w:lineRule="auto"/>
              <w:ind w:firstLine="482" w:firstLineChars="200"/>
              <w:outlineLvl w:val="9"/>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（1）申铎线π入三岔变110kV线路：</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导线推荐选用1×JL3/G1A-300/25钢芯高导电率铝绞线，两回线路地线 1 根采用 48 芯 OPGW 光纤复合架空地线，另 1 根采用 JLB40-80 铝包钢绞线</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w:t>
            </w:r>
          </w:p>
          <w:p w14:paraId="677EC38F">
            <w:pPr>
              <w:spacing w:line="360" w:lineRule="auto"/>
              <w:ind w:firstLine="482" w:firstLineChars="200"/>
              <w:outlineLvl w:val="9"/>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（2）</w:t>
            </w:r>
            <w:r>
              <w:rPr>
                <w:rFonts w:hint="eastAsia"/>
                <w:b/>
                <w:bCs w:val="0"/>
                <w:color w:val="000000" w:themeColor="text1"/>
                <w:spacing w:val="0"/>
                <w:sz w:val="24"/>
                <w:highlight w:val="none"/>
                <w:lang w:val="en-US" w:eastAsia="zh-CN"/>
                <w14:textFill>
                  <w14:solidFill>
                    <w14:schemeClr w14:val="tx1"/>
                  </w14:solidFill>
                </w14:textFill>
              </w:rPr>
              <w:t>申庄～黄铎堡改接清水河变电站110kV线路</w:t>
            </w: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导线推荐选用 1×JL3/G1A-300/25钢芯高导电率铝绞线，地线 2 根采用 48 芯 OPGW 光纤复合架空地线；电缆推荐选用 YJLW03-64/110-1×630mm2交联聚乙烯绝缘皱纹铝护套聚乙烯外护套电力电缆</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随电缆各敷设 1 根 48 芯非金属阻燃光缆</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w:t>
            </w:r>
          </w:p>
          <w:p w14:paraId="6515A393">
            <w:pPr>
              <w:spacing w:line="360" w:lineRule="auto"/>
              <w:ind w:firstLine="482" w:firstLineChars="200"/>
              <w:outlineLvl w:val="9"/>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（3）</w:t>
            </w:r>
            <w:r>
              <w:rPr>
                <w:rFonts w:hint="eastAsia"/>
                <w:b/>
                <w:bCs w:val="0"/>
                <w:color w:val="000000" w:themeColor="text1"/>
                <w:spacing w:val="0"/>
                <w:sz w:val="24"/>
                <w:highlight w:val="none"/>
                <w:lang w:val="en-US" w:eastAsia="zh-CN"/>
                <w14:textFill>
                  <w14:solidFill>
                    <w14:schemeClr w14:val="tx1"/>
                  </w14:solidFill>
                </w14:textFill>
              </w:rPr>
              <w:t>清水河~申庄改接绿塬变电站110kV线路</w:t>
            </w: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导线推荐选用 JL3/G1A-300/25 钢芯高导电率铝绞线。</w:t>
            </w:r>
          </w:p>
          <w:p w14:paraId="15B559F7">
            <w:pPr>
              <w:spacing w:line="360" w:lineRule="auto"/>
              <w:ind w:firstLine="482" w:firstLineChars="200"/>
              <w:jc w:val="left"/>
              <w:outlineLvl w:val="9"/>
              <w:rPr>
                <w:rFonts w:ascii="Times New Roman" w:hAnsi="Times New Roman" w:eastAsia="宋体"/>
                <w:b/>
                <w:color w:val="000000" w:themeColor="text1"/>
                <w:spacing w:val="0"/>
                <w:sz w:val="24"/>
                <w:highlight w:val="none"/>
                <w14:textFill>
                  <w14:solidFill>
                    <w14:schemeClr w14:val="tx1"/>
                  </w14:solidFill>
                </w14:textFill>
              </w:rPr>
            </w:pP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6</w:t>
            </w:r>
            <w:r>
              <w:rPr>
                <w:rFonts w:ascii="Times New Roman" w:hAnsi="Times New Roman" w:eastAsia="宋体"/>
                <w:b/>
                <w:color w:val="000000" w:themeColor="text1"/>
                <w:spacing w:val="0"/>
                <w:sz w:val="24"/>
                <w:highlight w:val="none"/>
                <w14:textFill>
                  <w14:solidFill>
                    <w14:schemeClr w14:val="tx1"/>
                  </w14:solidFill>
                </w14:textFill>
              </w:rPr>
              <w:t>、杆塔型式和基础型式</w:t>
            </w:r>
          </w:p>
          <w:p w14:paraId="3BCF19CE">
            <w:pPr>
              <w:spacing w:line="360" w:lineRule="auto"/>
              <w:ind w:firstLine="482" w:firstLineChars="200"/>
              <w:outlineLvl w:val="9"/>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（1）申铎线π入三岔变110kV线路：</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拟建铁塔</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14</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基，根据沿线地形地貌特征</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、环水保</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要求，本项目采用挖孔桩基础</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、板式直柱基础。</w:t>
            </w:r>
          </w:p>
          <w:p w14:paraId="1770B9EA">
            <w:pPr>
              <w:spacing w:line="360" w:lineRule="auto"/>
              <w:ind w:firstLine="482" w:firstLineChars="200"/>
              <w:outlineLvl w:val="9"/>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（2）</w:t>
            </w:r>
            <w:r>
              <w:rPr>
                <w:rFonts w:hint="eastAsia"/>
                <w:b/>
                <w:bCs w:val="0"/>
                <w:color w:val="000000" w:themeColor="text1"/>
                <w:spacing w:val="0"/>
                <w:sz w:val="24"/>
                <w:highlight w:val="none"/>
                <w:lang w:val="en-US" w:eastAsia="zh-CN"/>
                <w14:textFill>
                  <w14:solidFill>
                    <w14:schemeClr w14:val="tx1"/>
                  </w14:solidFill>
                </w14:textFill>
              </w:rPr>
              <w:t>申庄～黄铎堡改接清水河变电站110kV线路</w:t>
            </w: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拟建铁塔</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11</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基，根据沿线地形地貌特征</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、环水保</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要求，本项目采用挖孔桩基础</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灌注桩基础</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、板式直柱基础。</w:t>
            </w:r>
          </w:p>
          <w:p w14:paraId="04997D1C">
            <w:pPr>
              <w:spacing w:line="360" w:lineRule="auto"/>
              <w:ind w:firstLine="482" w:firstLineChars="200"/>
              <w:outlineLvl w:val="9"/>
              <w:rPr>
                <w:rFonts w:ascii="Times New Roman" w:hAnsi="Times New Roman" w:eastAsia="宋体"/>
                <w:bCs/>
                <w:color w:val="000000" w:themeColor="text1"/>
                <w:spacing w:val="0"/>
                <w:sz w:val="24"/>
                <w:highlight w:val="green"/>
                <w14:textFill>
                  <w14:solidFill>
                    <w14:schemeClr w14:val="tx1"/>
                  </w14:solidFill>
                </w14:textFill>
              </w:rPr>
            </w:pP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（3）</w:t>
            </w:r>
            <w:r>
              <w:rPr>
                <w:rFonts w:hint="eastAsia"/>
                <w:b/>
                <w:bCs w:val="0"/>
                <w:color w:val="000000" w:themeColor="text1"/>
                <w:spacing w:val="0"/>
                <w:sz w:val="24"/>
                <w:highlight w:val="none"/>
                <w:lang w:val="en-US" w:eastAsia="zh-CN"/>
                <w14:textFill>
                  <w14:solidFill>
                    <w14:schemeClr w14:val="tx1"/>
                  </w14:solidFill>
                </w14:textFill>
              </w:rPr>
              <w:t>清水河~申庄改接绿塬变电站110kV线路</w:t>
            </w: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拟建铁塔</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1</w:t>
            </w:r>
            <w:r>
              <w:rPr>
                <w:rFonts w:hint="default" w:ascii="Times New Roman" w:hAnsi="Times New Roman" w:eastAsia="宋体"/>
                <w:bCs/>
                <w:color w:val="000000" w:themeColor="text1"/>
                <w:spacing w:val="0"/>
                <w:sz w:val="24"/>
                <w:highlight w:val="none"/>
                <w:lang w:val="en-US" w:eastAsia="zh-CN"/>
                <w14:textFill>
                  <w14:solidFill>
                    <w14:schemeClr w14:val="tx1"/>
                  </w14:solidFill>
                </w14:textFill>
              </w:rPr>
              <w:t>基，灌注桩基础</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w:t>
            </w:r>
          </w:p>
          <w:p w14:paraId="34EFC1B3">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本项目杆塔型式详见表2-</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4</w:t>
            </w:r>
            <w:r>
              <w:rPr>
                <w:rFonts w:ascii="Times New Roman" w:hAnsi="Times New Roman" w:eastAsia="宋体"/>
                <w:bCs/>
                <w:color w:val="000000" w:themeColor="text1"/>
                <w:spacing w:val="0"/>
                <w:sz w:val="24"/>
                <w:highlight w:val="none"/>
                <w14:textFill>
                  <w14:solidFill>
                    <w14:schemeClr w14:val="tx1"/>
                  </w14:solidFill>
                </w14:textFill>
              </w:rPr>
              <w:t>，杆塔、基础</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分别</w:t>
            </w:r>
            <w:r>
              <w:rPr>
                <w:rFonts w:ascii="Times New Roman" w:hAnsi="Times New Roman" w:eastAsia="宋体"/>
                <w:bCs/>
                <w:color w:val="000000" w:themeColor="text1"/>
                <w:spacing w:val="0"/>
                <w:sz w:val="24"/>
                <w:highlight w:val="none"/>
                <w14:textFill>
                  <w14:solidFill>
                    <w14:schemeClr w14:val="tx1"/>
                  </w14:solidFill>
                </w14:textFill>
              </w:rPr>
              <w:t>见</w:t>
            </w:r>
            <w:r>
              <w:rPr>
                <w:rFonts w:ascii="Times New Roman" w:hAnsi="Times New Roman" w:eastAsia="宋体"/>
                <w:b/>
                <w:bCs w:val="0"/>
                <w:color w:val="000000" w:themeColor="text1"/>
                <w:spacing w:val="0"/>
                <w:sz w:val="24"/>
                <w:highlight w:val="none"/>
                <w14:textFill>
                  <w14:solidFill>
                    <w14:schemeClr w14:val="tx1"/>
                  </w14:solidFill>
                </w14:textFill>
              </w:rPr>
              <w:t>附图</w:t>
            </w: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8</w:t>
            </w:r>
            <w:r>
              <w:rPr>
                <w:rFonts w:hint="eastAsia" w:ascii="Times New Roman" w:hAnsi="Times New Roman" w:eastAsia="宋体"/>
                <w:bCs/>
                <w:color w:val="000000" w:themeColor="text1"/>
                <w:spacing w:val="0"/>
                <w:sz w:val="24"/>
                <w:highlight w:val="none"/>
                <w14:textFill>
                  <w14:solidFill>
                    <w14:schemeClr w14:val="tx1"/>
                  </w14:solidFill>
                </w14:textFill>
              </w:rPr>
              <w:t>、</w:t>
            </w:r>
            <w:r>
              <w:rPr>
                <w:rFonts w:hint="eastAsia" w:ascii="Times New Roman" w:hAnsi="Times New Roman" w:eastAsia="宋体"/>
                <w:b/>
                <w:bCs w:val="0"/>
                <w:color w:val="000000" w:themeColor="text1"/>
                <w:spacing w:val="0"/>
                <w:sz w:val="24"/>
                <w:highlight w:val="none"/>
                <w14:textFill>
                  <w14:solidFill>
                    <w14:schemeClr w14:val="tx1"/>
                  </w14:solidFill>
                </w14:textFill>
              </w:rPr>
              <w:t>附图</w:t>
            </w: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9</w:t>
            </w:r>
            <w:r>
              <w:rPr>
                <w:rFonts w:ascii="Times New Roman" w:hAnsi="Times New Roman" w:eastAsia="宋体"/>
                <w:bCs/>
                <w:color w:val="000000" w:themeColor="text1"/>
                <w:spacing w:val="0"/>
                <w:sz w:val="24"/>
                <w:highlight w:val="none"/>
                <w14:textFill>
                  <w14:solidFill>
                    <w14:schemeClr w14:val="tx1"/>
                  </w14:solidFill>
                </w14:textFill>
              </w:rPr>
              <w:t>。</w:t>
            </w:r>
          </w:p>
          <w:p w14:paraId="2645FEBF">
            <w:pPr>
              <w:spacing w:line="360" w:lineRule="auto"/>
              <w:jc w:val="center"/>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表2-</w:t>
            </w: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4</w:t>
            </w:r>
            <w:r>
              <w:rPr>
                <w:rFonts w:ascii="Times New Roman" w:hAnsi="Times New Roman" w:eastAsia="宋体"/>
                <w:b/>
                <w:color w:val="000000" w:themeColor="text1"/>
                <w:spacing w:val="0"/>
                <w:sz w:val="24"/>
                <w:highlight w:val="none"/>
                <w14:textFill>
                  <w14:solidFill>
                    <w14:schemeClr w14:val="tx1"/>
                  </w14:solidFill>
                </w14:textFill>
              </w:rPr>
              <w:t xml:space="preserve">  </w:t>
            </w: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项目</w:t>
            </w:r>
            <w:r>
              <w:rPr>
                <w:rFonts w:ascii="Times New Roman" w:hAnsi="Times New Roman" w:eastAsia="宋体"/>
                <w:b/>
                <w:color w:val="000000" w:themeColor="text1"/>
                <w:spacing w:val="0"/>
                <w:sz w:val="24"/>
                <w:highlight w:val="none"/>
                <w14:textFill>
                  <w14:solidFill>
                    <w14:schemeClr w14:val="tx1"/>
                  </w14:solidFill>
                </w14:textFill>
              </w:rPr>
              <w:t>杆塔型式及使用条件一览表</w:t>
            </w:r>
          </w:p>
          <w:tbl>
            <w:tblPr>
              <w:tblStyle w:val="26"/>
              <w:tblW w:w="84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41"/>
              <w:gridCol w:w="1770"/>
              <w:gridCol w:w="1214"/>
              <w:gridCol w:w="1268"/>
              <w:gridCol w:w="1399"/>
              <w:gridCol w:w="1146"/>
              <w:gridCol w:w="1179"/>
            </w:tblGrid>
            <w:tr w14:paraId="4D6F3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tblHeader/>
                <w:jc w:val="center"/>
              </w:trPr>
              <w:tc>
                <w:tcPr>
                  <w:tcW w:w="441" w:type="dxa"/>
                  <w:vMerge w:val="restart"/>
                  <w:shd w:val="clear" w:color="000000" w:fill="auto"/>
                  <w:vAlign w:val="center"/>
                </w:tcPr>
                <w:p w14:paraId="664AA00E">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r>
                    <w:rPr>
                      <w:rFonts w:ascii="Times New Roman" w:hAnsi="Times New Roman" w:eastAsia="宋体"/>
                      <w:b w:val="0"/>
                      <w:bCs/>
                      <w:color w:val="000000" w:themeColor="text1"/>
                      <w:spacing w:val="0"/>
                      <w:szCs w:val="21"/>
                      <w:highlight w:val="none"/>
                      <w14:textFill>
                        <w14:solidFill>
                          <w14:schemeClr w14:val="tx1"/>
                        </w14:solidFill>
                      </w14:textFill>
                    </w:rPr>
                    <w:t>序号</w:t>
                  </w:r>
                </w:p>
              </w:tc>
              <w:tc>
                <w:tcPr>
                  <w:tcW w:w="1770" w:type="dxa"/>
                  <w:vMerge w:val="restart"/>
                  <w:shd w:val="clear" w:color="000000" w:fill="auto"/>
                  <w:vAlign w:val="center"/>
                </w:tcPr>
                <w:p w14:paraId="57EB1B8A">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r>
                    <w:rPr>
                      <w:rFonts w:ascii="Times New Roman" w:hAnsi="Times New Roman" w:eastAsia="宋体"/>
                      <w:b w:val="0"/>
                      <w:bCs/>
                      <w:color w:val="000000" w:themeColor="text1"/>
                      <w:spacing w:val="0"/>
                      <w:szCs w:val="21"/>
                      <w:highlight w:val="none"/>
                      <w14:textFill>
                        <w14:solidFill>
                          <w14:schemeClr w14:val="tx1"/>
                        </w14:solidFill>
                      </w14:textFill>
                    </w:rPr>
                    <w:t>杆塔型式</w:t>
                  </w:r>
                </w:p>
              </w:tc>
              <w:tc>
                <w:tcPr>
                  <w:tcW w:w="1214" w:type="dxa"/>
                  <w:vMerge w:val="restart"/>
                  <w:shd w:val="clear" w:color="000000" w:fill="auto"/>
                  <w:vAlign w:val="center"/>
                </w:tcPr>
                <w:p w14:paraId="33D3F362">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r>
                    <w:rPr>
                      <w:rFonts w:ascii="Times New Roman" w:hAnsi="Times New Roman" w:eastAsia="宋体"/>
                      <w:b w:val="0"/>
                      <w:bCs/>
                      <w:color w:val="000000" w:themeColor="text1"/>
                      <w:spacing w:val="0"/>
                      <w:szCs w:val="21"/>
                      <w:highlight w:val="none"/>
                      <w14:textFill>
                        <w14:solidFill>
                          <w14:schemeClr w14:val="tx1"/>
                        </w14:solidFill>
                      </w14:textFill>
                    </w:rPr>
                    <w:t>数量（基）</w:t>
                  </w:r>
                </w:p>
              </w:tc>
              <w:tc>
                <w:tcPr>
                  <w:tcW w:w="1268" w:type="dxa"/>
                  <w:vMerge w:val="restart"/>
                  <w:shd w:val="clear" w:color="000000" w:fill="auto"/>
                  <w:vAlign w:val="center"/>
                </w:tcPr>
                <w:p w14:paraId="023CDCA0">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r>
                    <w:rPr>
                      <w:rFonts w:ascii="Times New Roman" w:hAnsi="Times New Roman" w:eastAsia="宋体"/>
                      <w:b w:val="0"/>
                      <w:bCs/>
                      <w:color w:val="000000" w:themeColor="text1"/>
                      <w:spacing w:val="0"/>
                      <w:szCs w:val="21"/>
                      <w:highlight w:val="none"/>
                      <w14:textFill>
                        <w14:solidFill>
                          <w14:schemeClr w14:val="tx1"/>
                        </w14:solidFill>
                      </w14:textFill>
                    </w:rPr>
                    <w:t>呼称高（m）</w:t>
                  </w:r>
                </w:p>
              </w:tc>
              <w:tc>
                <w:tcPr>
                  <w:tcW w:w="1399" w:type="dxa"/>
                  <w:vMerge w:val="restart"/>
                  <w:shd w:val="clear" w:color="000000" w:fill="auto"/>
                  <w:vAlign w:val="center"/>
                </w:tcPr>
                <w:p w14:paraId="3C9BC328">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r>
                    <w:rPr>
                      <w:rFonts w:ascii="Times New Roman" w:hAnsi="Times New Roman" w:eastAsia="宋体"/>
                      <w:b w:val="0"/>
                      <w:bCs/>
                      <w:color w:val="000000" w:themeColor="text1"/>
                      <w:spacing w:val="0"/>
                      <w:szCs w:val="21"/>
                      <w:highlight w:val="none"/>
                      <w14:textFill>
                        <w14:solidFill>
                          <w14:schemeClr w14:val="tx1"/>
                        </w14:solidFill>
                      </w14:textFill>
                    </w:rPr>
                    <w:t>转角度数（°）</w:t>
                  </w:r>
                </w:p>
              </w:tc>
              <w:tc>
                <w:tcPr>
                  <w:tcW w:w="2325" w:type="dxa"/>
                  <w:gridSpan w:val="2"/>
                  <w:shd w:val="clear" w:color="000000" w:fill="auto"/>
                  <w:vAlign w:val="center"/>
                </w:tcPr>
                <w:p w14:paraId="3E9AA315">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r>
                    <w:rPr>
                      <w:rFonts w:ascii="Times New Roman" w:hAnsi="Times New Roman" w:eastAsia="宋体"/>
                      <w:b w:val="0"/>
                      <w:bCs/>
                      <w:color w:val="000000" w:themeColor="text1"/>
                      <w:spacing w:val="0"/>
                      <w:szCs w:val="21"/>
                      <w:highlight w:val="none"/>
                      <w14:textFill>
                        <w14:solidFill>
                          <w14:schemeClr w14:val="tx1"/>
                        </w14:solidFill>
                      </w14:textFill>
                    </w:rPr>
                    <w:t>设计条件（m）</w:t>
                  </w:r>
                </w:p>
              </w:tc>
            </w:tr>
            <w:tr w14:paraId="564C60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441" w:type="dxa"/>
                  <w:vMerge w:val="continue"/>
                  <w:shd w:val="clear" w:color="000000" w:fill="auto"/>
                  <w:vAlign w:val="center"/>
                </w:tcPr>
                <w:p w14:paraId="3E868B65">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p>
              </w:tc>
              <w:tc>
                <w:tcPr>
                  <w:tcW w:w="1770" w:type="dxa"/>
                  <w:vMerge w:val="continue"/>
                  <w:shd w:val="clear" w:color="000000" w:fill="auto"/>
                  <w:vAlign w:val="center"/>
                </w:tcPr>
                <w:p w14:paraId="4A9E7F34">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p>
              </w:tc>
              <w:tc>
                <w:tcPr>
                  <w:tcW w:w="1214" w:type="dxa"/>
                  <w:vMerge w:val="continue"/>
                  <w:shd w:val="clear" w:color="000000" w:fill="auto"/>
                  <w:vAlign w:val="center"/>
                </w:tcPr>
                <w:p w14:paraId="3D82BBBE">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p>
              </w:tc>
              <w:tc>
                <w:tcPr>
                  <w:tcW w:w="1268" w:type="dxa"/>
                  <w:vMerge w:val="continue"/>
                  <w:shd w:val="clear" w:color="000000" w:fill="auto"/>
                  <w:vAlign w:val="center"/>
                </w:tcPr>
                <w:p w14:paraId="5B69374C">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p>
              </w:tc>
              <w:tc>
                <w:tcPr>
                  <w:tcW w:w="1399" w:type="dxa"/>
                  <w:vMerge w:val="continue"/>
                  <w:shd w:val="clear" w:color="000000" w:fill="auto"/>
                  <w:vAlign w:val="center"/>
                </w:tcPr>
                <w:p w14:paraId="6E7B3F30">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p>
              </w:tc>
              <w:tc>
                <w:tcPr>
                  <w:tcW w:w="1146" w:type="dxa"/>
                  <w:shd w:val="clear" w:color="000000" w:fill="auto"/>
                  <w:vAlign w:val="center"/>
                </w:tcPr>
                <w:p w14:paraId="093419D0">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r>
                    <w:rPr>
                      <w:rFonts w:ascii="Times New Roman" w:hAnsi="Times New Roman" w:eastAsia="宋体"/>
                      <w:b w:val="0"/>
                      <w:bCs/>
                      <w:color w:val="000000" w:themeColor="text1"/>
                      <w:spacing w:val="0"/>
                      <w:szCs w:val="21"/>
                      <w:highlight w:val="none"/>
                      <w14:textFill>
                        <w14:solidFill>
                          <w14:schemeClr w14:val="tx1"/>
                        </w14:solidFill>
                      </w14:textFill>
                    </w:rPr>
                    <w:t>水平档距</w:t>
                  </w:r>
                </w:p>
              </w:tc>
              <w:tc>
                <w:tcPr>
                  <w:tcW w:w="1179" w:type="dxa"/>
                  <w:shd w:val="clear" w:color="000000" w:fill="auto"/>
                  <w:vAlign w:val="center"/>
                </w:tcPr>
                <w:p w14:paraId="2ECF0054">
                  <w:pPr>
                    <w:snapToGrid w:val="0"/>
                    <w:jc w:val="center"/>
                    <w:outlineLvl w:val="9"/>
                    <w:rPr>
                      <w:rFonts w:ascii="Times New Roman" w:hAnsi="Times New Roman" w:eastAsia="宋体"/>
                      <w:b w:val="0"/>
                      <w:bCs/>
                      <w:color w:val="000000" w:themeColor="text1"/>
                      <w:spacing w:val="0"/>
                      <w:szCs w:val="21"/>
                      <w:highlight w:val="none"/>
                      <w14:textFill>
                        <w14:solidFill>
                          <w14:schemeClr w14:val="tx1"/>
                        </w14:solidFill>
                      </w14:textFill>
                    </w:rPr>
                  </w:pPr>
                  <w:r>
                    <w:rPr>
                      <w:rFonts w:ascii="Times New Roman" w:hAnsi="Times New Roman" w:eastAsia="宋体"/>
                      <w:b w:val="0"/>
                      <w:bCs/>
                      <w:color w:val="000000" w:themeColor="text1"/>
                      <w:spacing w:val="0"/>
                      <w:szCs w:val="21"/>
                      <w:highlight w:val="none"/>
                      <w14:textFill>
                        <w14:solidFill>
                          <w14:schemeClr w14:val="tx1"/>
                        </w14:solidFill>
                      </w14:textFill>
                    </w:rPr>
                    <w:t>垂直档距</w:t>
                  </w:r>
                </w:p>
              </w:tc>
            </w:tr>
            <w:tr w14:paraId="2131F4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417" w:type="dxa"/>
                  <w:gridSpan w:val="7"/>
                  <w:shd w:val="clear" w:color="000000" w:fill="auto"/>
                  <w:vAlign w:val="center"/>
                </w:tcPr>
                <w:p w14:paraId="5CD7CC20">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Times New Roman" w:hAnsi="Times New Roman" w:eastAsia="宋体"/>
                      <w:b w:val="0"/>
                      <w:bCs/>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14:textFill>
                        <w14:solidFill>
                          <w14:schemeClr w14:val="tx1"/>
                        </w14:solidFill>
                      </w14:textFill>
                    </w:rPr>
                    <w:t>申铎线</w:t>
                  </w:r>
                  <w:r>
                    <w:rPr>
                      <w:rFonts w:hint="eastAsia" w:ascii="Times New Roman" w:hAnsi="Times New Roman" w:eastAsia="宋体"/>
                      <w:b w:val="0"/>
                      <w:bCs/>
                      <w:color w:val="000000" w:themeColor="text1"/>
                      <w:spacing w:val="0"/>
                      <w:sz w:val="21"/>
                      <w:szCs w:val="21"/>
                      <w:highlight w:val="none"/>
                      <w:lang w:eastAsia="zh-CN"/>
                      <w14:textFill>
                        <w14:solidFill>
                          <w14:schemeClr w14:val="tx1"/>
                        </w14:solidFill>
                      </w14:textFill>
                    </w:rPr>
                    <w:t>π</w:t>
                  </w:r>
                  <w:r>
                    <w:rPr>
                      <w:rFonts w:hint="eastAsia" w:ascii="Times New Roman" w:hAnsi="Times New Roman" w:eastAsia="宋体"/>
                      <w:b w:val="0"/>
                      <w:bCs/>
                      <w:color w:val="000000" w:themeColor="text1"/>
                      <w:spacing w:val="0"/>
                      <w:sz w:val="21"/>
                      <w:szCs w:val="21"/>
                      <w:highlight w:val="none"/>
                      <w14:textFill>
                        <w14:solidFill>
                          <w14:schemeClr w14:val="tx1"/>
                        </w14:solidFill>
                      </w14:textFill>
                    </w:rPr>
                    <w:t>入三岔变110kV线路</w:t>
                  </w:r>
                </w:p>
              </w:tc>
            </w:tr>
            <w:tr w14:paraId="0F17B5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vAlign w:val="center"/>
                </w:tcPr>
                <w:p w14:paraId="4B0F60CB">
                  <w:pPr>
                    <w:keepNext w:val="0"/>
                    <w:keepLines w:val="0"/>
                    <w:pageBreakBefore w:val="0"/>
                    <w:widowControl w:val="0"/>
                    <w:kinsoku/>
                    <w:wordWrap/>
                    <w:overflowPunct/>
                    <w:topLinePunct w:val="0"/>
                    <w:autoSpaceDE/>
                    <w:autoSpaceDN/>
                    <w:bidi w:val="0"/>
                    <w:adjustRightInd/>
                    <w:jc w:val="center"/>
                    <w:textAlignment w:val="auto"/>
                    <w:outlineLvl w:val="9"/>
                    <w:rPr>
                      <w:rFonts w:ascii="Times New Roman" w:hAnsi="Times New Roman" w:eastAsia="宋体"/>
                      <w:b w:val="0"/>
                      <w:bCs/>
                      <w:color w:val="000000" w:themeColor="text1"/>
                      <w:spacing w:val="0"/>
                      <w:sz w:val="21"/>
                      <w:szCs w:val="21"/>
                      <w:highlight w:val="none"/>
                      <w14:textFill>
                        <w14:solidFill>
                          <w14:schemeClr w14:val="tx1"/>
                        </w14:solidFill>
                      </w14:textFill>
                    </w:rPr>
                  </w:pPr>
                  <w:r>
                    <w:rPr>
                      <w:rFonts w:ascii="Times New Roman" w:hAnsi="Times New Roman" w:eastAsia="宋体"/>
                      <w:b w:val="0"/>
                      <w:bCs/>
                      <w:color w:val="000000" w:themeColor="text1"/>
                      <w:spacing w:val="0"/>
                      <w:sz w:val="21"/>
                      <w:szCs w:val="21"/>
                      <w:highlight w:val="none"/>
                      <w14:textFill>
                        <w14:solidFill>
                          <w14:schemeClr w14:val="tx1"/>
                        </w14:solidFill>
                      </w14:textFill>
                    </w:rPr>
                    <w:t>1</w:t>
                  </w:r>
                </w:p>
              </w:tc>
              <w:tc>
                <w:tcPr>
                  <w:tcW w:w="1770" w:type="dxa"/>
                  <w:shd w:val="clear" w:color="auto" w:fill="auto"/>
                  <w:vAlign w:val="center"/>
                </w:tcPr>
                <w:p w14:paraId="2801310D">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110-DC32D-ZM2</w:t>
                  </w:r>
                </w:p>
              </w:tc>
              <w:tc>
                <w:tcPr>
                  <w:tcW w:w="1214" w:type="dxa"/>
                  <w:shd w:val="clear" w:color="auto" w:fill="auto"/>
                  <w:vAlign w:val="center"/>
                </w:tcPr>
                <w:p w14:paraId="50C38960">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w:t>
                  </w:r>
                </w:p>
              </w:tc>
              <w:tc>
                <w:tcPr>
                  <w:tcW w:w="1268" w:type="dxa"/>
                  <w:shd w:val="clear" w:color="auto" w:fill="auto"/>
                  <w:vAlign w:val="center"/>
                </w:tcPr>
                <w:p w14:paraId="787A16EA">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27</w:t>
                  </w:r>
                </w:p>
              </w:tc>
              <w:tc>
                <w:tcPr>
                  <w:tcW w:w="1399" w:type="dxa"/>
                  <w:shd w:val="clear" w:color="auto" w:fill="auto"/>
                  <w:vAlign w:val="center"/>
                </w:tcPr>
                <w:p w14:paraId="7ECE168D">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w:t>
                  </w:r>
                </w:p>
              </w:tc>
              <w:tc>
                <w:tcPr>
                  <w:tcW w:w="1146" w:type="dxa"/>
                  <w:shd w:val="clear" w:color="auto" w:fill="auto"/>
                  <w:vAlign w:val="center"/>
                </w:tcPr>
                <w:p w14:paraId="43440FB1">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400</w:t>
                  </w:r>
                </w:p>
              </w:tc>
              <w:tc>
                <w:tcPr>
                  <w:tcW w:w="1179" w:type="dxa"/>
                  <w:shd w:val="clear" w:color="auto" w:fill="auto"/>
                  <w:vAlign w:val="center"/>
                </w:tcPr>
                <w:p w14:paraId="251AC581">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600</w:t>
                  </w:r>
                </w:p>
              </w:tc>
            </w:tr>
            <w:tr w14:paraId="33C6F2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vAlign w:val="center"/>
                </w:tcPr>
                <w:p w14:paraId="76467007">
                  <w:pPr>
                    <w:keepNext w:val="0"/>
                    <w:keepLines w:val="0"/>
                    <w:pageBreakBefore w:val="0"/>
                    <w:widowControl w:val="0"/>
                    <w:kinsoku/>
                    <w:wordWrap/>
                    <w:overflowPunct/>
                    <w:topLinePunct w:val="0"/>
                    <w:autoSpaceDE/>
                    <w:autoSpaceDN/>
                    <w:bidi w:val="0"/>
                    <w:adjustRightInd/>
                    <w:jc w:val="center"/>
                    <w:textAlignment w:val="auto"/>
                    <w:outlineLvl w:val="9"/>
                    <w:rPr>
                      <w:rFonts w:ascii="Times New Roman" w:hAnsi="Times New Roman" w:eastAsia="宋体"/>
                      <w:b w:val="0"/>
                      <w:bCs/>
                      <w:color w:val="000000" w:themeColor="text1"/>
                      <w:spacing w:val="0"/>
                      <w:sz w:val="21"/>
                      <w:szCs w:val="21"/>
                      <w:highlight w:val="none"/>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14:textFill>
                        <w14:solidFill>
                          <w14:schemeClr w14:val="tx1"/>
                        </w14:solidFill>
                      </w14:textFill>
                    </w:rPr>
                    <w:t>2</w:t>
                  </w:r>
                </w:p>
              </w:tc>
              <w:tc>
                <w:tcPr>
                  <w:tcW w:w="1770" w:type="dxa"/>
                  <w:shd w:val="clear" w:color="auto" w:fill="auto"/>
                  <w:vAlign w:val="center"/>
                </w:tcPr>
                <w:p w14:paraId="0B0CC190">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110-DC32D-ZM2</w:t>
                  </w:r>
                </w:p>
              </w:tc>
              <w:tc>
                <w:tcPr>
                  <w:tcW w:w="1214" w:type="dxa"/>
                  <w:shd w:val="clear" w:color="auto" w:fill="auto"/>
                  <w:vAlign w:val="center"/>
                </w:tcPr>
                <w:p w14:paraId="191B5A5C">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w:t>
                  </w:r>
                </w:p>
              </w:tc>
              <w:tc>
                <w:tcPr>
                  <w:tcW w:w="1268" w:type="dxa"/>
                  <w:shd w:val="clear" w:color="auto" w:fill="auto"/>
                  <w:vAlign w:val="center"/>
                </w:tcPr>
                <w:p w14:paraId="2307D4E0">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30</w:t>
                  </w:r>
                </w:p>
              </w:tc>
              <w:tc>
                <w:tcPr>
                  <w:tcW w:w="1399" w:type="dxa"/>
                  <w:shd w:val="clear" w:color="auto" w:fill="auto"/>
                  <w:vAlign w:val="center"/>
                </w:tcPr>
                <w:p w14:paraId="5069A33B">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0-20</w:t>
                  </w:r>
                </w:p>
              </w:tc>
              <w:tc>
                <w:tcPr>
                  <w:tcW w:w="1146" w:type="dxa"/>
                  <w:shd w:val="clear" w:color="auto" w:fill="auto"/>
                  <w:vAlign w:val="center"/>
                </w:tcPr>
                <w:p w14:paraId="3A1C478E">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400</w:t>
                  </w:r>
                </w:p>
              </w:tc>
              <w:tc>
                <w:tcPr>
                  <w:tcW w:w="1179" w:type="dxa"/>
                  <w:shd w:val="clear" w:color="auto" w:fill="auto"/>
                  <w:vAlign w:val="center"/>
                </w:tcPr>
                <w:p w14:paraId="1AB30CE5">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600</w:t>
                  </w:r>
                </w:p>
              </w:tc>
            </w:tr>
            <w:tr w14:paraId="7D8CFC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45C218E4">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3</w:t>
                  </w:r>
                </w:p>
              </w:tc>
              <w:tc>
                <w:tcPr>
                  <w:tcW w:w="1770" w:type="dxa"/>
                  <w:shd w:val="clear" w:color="auto" w:fill="auto"/>
                  <w:vAlign w:val="center"/>
                </w:tcPr>
                <w:p w14:paraId="498741DA">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110-DC22D-J1</w:t>
                  </w:r>
                </w:p>
              </w:tc>
              <w:tc>
                <w:tcPr>
                  <w:tcW w:w="1214" w:type="dxa"/>
                  <w:shd w:val="clear" w:color="auto" w:fill="auto"/>
                  <w:vAlign w:val="center"/>
                </w:tcPr>
                <w:p w14:paraId="73754D14">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w:t>
                  </w:r>
                </w:p>
              </w:tc>
              <w:tc>
                <w:tcPr>
                  <w:tcW w:w="1268" w:type="dxa"/>
                  <w:shd w:val="clear" w:color="auto" w:fill="auto"/>
                  <w:vAlign w:val="center"/>
                </w:tcPr>
                <w:p w14:paraId="40D52CB9">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24</w:t>
                  </w:r>
                </w:p>
              </w:tc>
              <w:tc>
                <w:tcPr>
                  <w:tcW w:w="1399" w:type="dxa"/>
                  <w:shd w:val="clear" w:color="auto" w:fill="auto"/>
                  <w:vAlign w:val="center"/>
                </w:tcPr>
                <w:p w14:paraId="6A2CB3C2">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0-20</w:t>
                  </w:r>
                </w:p>
              </w:tc>
              <w:tc>
                <w:tcPr>
                  <w:tcW w:w="1146" w:type="dxa"/>
                  <w:shd w:val="clear" w:color="auto" w:fill="auto"/>
                  <w:vAlign w:val="center"/>
                </w:tcPr>
                <w:p w14:paraId="3E8E9DD9">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450</w:t>
                  </w:r>
                </w:p>
              </w:tc>
              <w:tc>
                <w:tcPr>
                  <w:tcW w:w="1179" w:type="dxa"/>
                  <w:shd w:val="clear" w:color="auto" w:fill="auto"/>
                  <w:vAlign w:val="center"/>
                </w:tcPr>
                <w:p w14:paraId="4A6FDBA9">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700</w:t>
                  </w:r>
                </w:p>
              </w:tc>
            </w:tr>
            <w:tr w14:paraId="533F59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4D99EC68">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4</w:t>
                  </w:r>
                </w:p>
              </w:tc>
              <w:tc>
                <w:tcPr>
                  <w:tcW w:w="1770" w:type="dxa"/>
                  <w:shd w:val="clear" w:color="auto" w:fill="auto"/>
                  <w:vAlign w:val="center"/>
                </w:tcPr>
                <w:p w14:paraId="16321F64">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110-DC22D-DJ</w:t>
                  </w:r>
                </w:p>
              </w:tc>
              <w:tc>
                <w:tcPr>
                  <w:tcW w:w="1214" w:type="dxa"/>
                  <w:shd w:val="clear" w:color="auto" w:fill="auto"/>
                  <w:vAlign w:val="center"/>
                </w:tcPr>
                <w:p w14:paraId="7AB23672">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w:t>
                  </w:r>
                </w:p>
              </w:tc>
              <w:tc>
                <w:tcPr>
                  <w:tcW w:w="1268" w:type="dxa"/>
                  <w:shd w:val="clear" w:color="auto" w:fill="auto"/>
                  <w:vAlign w:val="center"/>
                </w:tcPr>
                <w:p w14:paraId="1180BE85">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21</w:t>
                  </w:r>
                </w:p>
              </w:tc>
              <w:tc>
                <w:tcPr>
                  <w:tcW w:w="1399" w:type="dxa"/>
                  <w:shd w:val="clear" w:color="auto" w:fill="auto"/>
                  <w:vAlign w:val="center"/>
                </w:tcPr>
                <w:p w14:paraId="3629B536">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0-20</w:t>
                  </w:r>
                </w:p>
              </w:tc>
              <w:tc>
                <w:tcPr>
                  <w:tcW w:w="1146" w:type="dxa"/>
                  <w:shd w:val="clear" w:color="auto" w:fill="auto"/>
                  <w:vAlign w:val="center"/>
                </w:tcPr>
                <w:p w14:paraId="47BE63AC">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450</w:t>
                  </w:r>
                </w:p>
              </w:tc>
              <w:tc>
                <w:tcPr>
                  <w:tcW w:w="1179" w:type="dxa"/>
                  <w:shd w:val="clear" w:color="auto" w:fill="auto"/>
                  <w:vAlign w:val="center"/>
                </w:tcPr>
                <w:p w14:paraId="3591AB38">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700</w:t>
                  </w:r>
                </w:p>
              </w:tc>
            </w:tr>
            <w:tr w14:paraId="104F0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113244DB">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5</w:t>
                  </w:r>
                </w:p>
              </w:tc>
              <w:tc>
                <w:tcPr>
                  <w:tcW w:w="1770" w:type="dxa"/>
                  <w:shd w:val="clear" w:color="auto" w:fill="auto"/>
                  <w:vAlign w:val="center"/>
                </w:tcPr>
                <w:p w14:paraId="5C938C47">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110-DC22S-DJ</w:t>
                  </w:r>
                </w:p>
              </w:tc>
              <w:tc>
                <w:tcPr>
                  <w:tcW w:w="1214" w:type="dxa"/>
                  <w:shd w:val="clear" w:color="auto" w:fill="auto"/>
                  <w:vAlign w:val="center"/>
                </w:tcPr>
                <w:p w14:paraId="7A0A63F9">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w:t>
                  </w:r>
                </w:p>
              </w:tc>
              <w:tc>
                <w:tcPr>
                  <w:tcW w:w="1268" w:type="dxa"/>
                  <w:shd w:val="clear" w:color="auto" w:fill="auto"/>
                  <w:vAlign w:val="center"/>
                </w:tcPr>
                <w:p w14:paraId="7B04FAF2">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18</w:t>
                  </w:r>
                </w:p>
              </w:tc>
              <w:tc>
                <w:tcPr>
                  <w:tcW w:w="1399" w:type="dxa"/>
                  <w:shd w:val="clear" w:color="auto" w:fill="auto"/>
                  <w:vAlign w:val="center"/>
                </w:tcPr>
                <w:p w14:paraId="41A6A002">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0-90</w:t>
                  </w:r>
                </w:p>
              </w:tc>
              <w:tc>
                <w:tcPr>
                  <w:tcW w:w="1146" w:type="dxa"/>
                  <w:shd w:val="clear" w:color="auto" w:fill="auto"/>
                  <w:vAlign w:val="center"/>
                </w:tcPr>
                <w:p w14:paraId="165BAE02">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450</w:t>
                  </w:r>
                </w:p>
              </w:tc>
              <w:tc>
                <w:tcPr>
                  <w:tcW w:w="1179" w:type="dxa"/>
                  <w:shd w:val="clear" w:color="auto" w:fill="auto"/>
                  <w:vAlign w:val="center"/>
                </w:tcPr>
                <w:p w14:paraId="1C87C5AC">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700</w:t>
                  </w:r>
                </w:p>
              </w:tc>
            </w:tr>
            <w:tr w14:paraId="70766B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211" w:type="dxa"/>
                  <w:gridSpan w:val="2"/>
                  <w:shd w:val="clear" w:color="auto" w:fill="auto"/>
                  <w:vAlign w:val="center"/>
                </w:tcPr>
                <w:p w14:paraId="6689CACA">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小</w:t>
                  </w:r>
                  <w:r>
                    <w:rPr>
                      <w:rFonts w:ascii="Times New Roman" w:hAnsi="Times New Roman" w:eastAsia="宋体"/>
                      <w:b w:val="0"/>
                      <w:bCs/>
                      <w:color w:val="000000" w:themeColor="text1"/>
                      <w:spacing w:val="0"/>
                      <w:sz w:val="21"/>
                      <w:szCs w:val="21"/>
                      <w:highlight w:val="none"/>
                      <w14:textFill>
                        <w14:solidFill>
                          <w14:schemeClr w14:val="tx1"/>
                        </w14:solidFill>
                      </w14:textFill>
                    </w:rPr>
                    <w:t>计</w:t>
                  </w:r>
                </w:p>
              </w:tc>
              <w:tc>
                <w:tcPr>
                  <w:tcW w:w="1214" w:type="dxa"/>
                  <w:shd w:val="clear" w:color="auto" w:fill="auto"/>
                  <w:vAlign w:val="center"/>
                </w:tcPr>
                <w:p w14:paraId="06E2BB1C">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14</w:t>
                  </w:r>
                  <w:r>
                    <w:rPr>
                      <w:rFonts w:ascii="Times New Roman" w:hAnsi="Times New Roman" w:eastAsia="宋体"/>
                      <w:b w:val="0"/>
                      <w:bCs/>
                      <w:color w:val="000000" w:themeColor="text1"/>
                      <w:spacing w:val="0"/>
                      <w:sz w:val="21"/>
                      <w:szCs w:val="21"/>
                      <w:highlight w:val="none"/>
                      <w14:textFill>
                        <w14:solidFill>
                          <w14:schemeClr w14:val="tx1"/>
                        </w14:solidFill>
                      </w14:textFill>
                    </w:rPr>
                    <w:t>基</w:t>
                  </w:r>
                </w:p>
              </w:tc>
              <w:tc>
                <w:tcPr>
                  <w:tcW w:w="1268" w:type="dxa"/>
                  <w:shd w:val="clear" w:color="auto" w:fill="auto"/>
                  <w:vAlign w:val="center"/>
                </w:tcPr>
                <w:p w14:paraId="48966C5F">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w:t>
                  </w:r>
                </w:p>
              </w:tc>
              <w:tc>
                <w:tcPr>
                  <w:tcW w:w="1399" w:type="dxa"/>
                  <w:shd w:val="clear" w:color="auto" w:fill="auto"/>
                  <w:vAlign w:val="center"/>
                </w:tcPr>
                <w:p w14:paraId="7924CB7D">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w:t>
                  </w:r>
                </w:p>
              </w:tc>
              <w:tc>
                <w:tcPr>
                  <w:tcW w:w="1146" w:type="dxa"/>
                  <w:shd w:val="clear" w:color="auto" w:fill="auto"/>
                  <w:vAlign w:val="center"/>
                </w:tcPr>
                <w:p w14:paraId="3B09602C">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w:t>
                  </w:r>
                </w:p>
              </w:tc>
              <w:tc>
                <w:tcPr>
                  <w:tcW w:w="1179" w:type="dxa"/>
                  <w:shd w:val="clear" w:color="auto" w:fill="auto"/>
                  <w:vAlign w:val="center"/>
                </w:tcPr>
                <w:p w14:paraId="5D252312">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w:t>
                  </w:r>
                </w:p>
              </w:tc>
            </w:tr>
            <w:tr w14:paraId="7CF1C7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417" w:type="dxa"/>
                  <w:gridSpan w:val="7"/>
                  <w:shd w:val="clear" w:color="auto" w:fill="auto"/>
                  <w:vAlign w:val="center"/>
                </w:tcPr>
                <w:p w14:paraId="5C746397">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b w:val="0"/>
                      <w:bCs/>
                      <w:color w:val="000000" w:themeColor="text1"/>
                      <w:spacing w:val="0"/>
                      <w:sz w:val="21"/>
                      <w:szCs w:val="21"/>
                      <w:highlight w:val="none"/>
                      <w:lang w:val="en-US" w:eastAsia="zh-CN"/>
                      <w14:textFill>
                        <w14:solidFill>
                          <w14:schemeClr w14:val="tx1"/>
                        </w14:solidFill>
                      </w14:textFill>
                    </w:rPr>
                    <w:t>申庄～黄铎堡改接清水河变电站110kV线路</w:t>
                  </w:r>
                </w:p>
              </w:tc>
            </w:tr>
            <w:tr w14:paraId="37D4BC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0F5987D4">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highlight w:val="none"/>
                      <w:lang w:val="en-US" w:eastAsia="zh-CN" w:bidi="ar-SA"/>
                      <w14:textFill>
                        <w14:solidFill>
                          <w14:schemeClr w14:val="tx1"/>
                        </w14:solidFill>
                      </w14:textFill>
                    </w:rPr>
                  </w:pPr>
                  <w:r>
                    <w:rPr>
                      <w:rFonts w:ascii="Times New Roman" w:hAnsi="Times New Roman" w:eastAsia="宋体"/>
                      <w:b w:val="0"/>
                      <w:bCs/>
                      <w:color w:val="000000" w:themeColor="text1"/>
                      <w:spacing w:val="0"/>
                      <w:sz w:val="21"/>
                      <w:szCs w:val="21"/>
                      <w:highlight w:val="none"/>
                      <w14:textFill>
                        <w14:solidFill>
                          <w14:schemeClr w14:val="tx1"/>
                        </w14:solidFill>
                      </w14:textFill>
                    </w:rPr>
                    <w:t>1</w:t>
                  </w:r>
                </w:p>
              </w:tc>
              <w:tc>
                <w:tcPr>
                  <w:tcW w:w="1770" w:type="dxa"/>
                  <w:shd w:val="clear" w:color="auto" w:fill="auto"/>
                  <w:vAlign w:val="center"/>
                </w:tcPr>
                <w:p w14:paraId="5E77E230">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110-DC22S-Z2</w:t>
                  </w:r>
                </w:p>
              </w:tc>
              <w:tc>
                <w:tcPr>
                  <w:tcW w:w="1214" w:type="dxa"/>
                  <w:shd w:val="clear" w:color="auto" w:fill="auto"/>
                  <w:vAlign w:val="center"/>
                </w:tcPr>
                <w:p w14:paraId="29C8E4C1">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3</w:t>
                  </w:r>
                </w:p>
              </w:tc>
              <w:tc>
                <w:tcPr>
                  <w:tcW w:w="1268" w:type="dxa"/>
                  <w:shd w:val="clear" w:color="auto" w:fill="auto"/>
                  <w:vAlign w:val="center"/>
                </w:tcPr>
                <w:p w14:paraId="34B9EA4F">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27</w:t>
                  </w:r>
                </w:p>
              </w:tc>
              <w:tc>
                <w:tcPr>
                  <w:tcW w:w="1399" w:type="dxa"/>
                  <w:shd w:val="clear" w:color="auto" w:fill="auto"/>
                  <w:vAlign w:val="center"/>
                </w:tcPr>
                <w:p w14:paraId="1BC884FF">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w:t>
                  </w:r>
                </w:p>
              </w:tc>
              <w:tc>
                <w:tcPr>
                  <w:tcW w:w="1146" w:type="dxa"/>
                  <w:shd w:val="clear" w:color="auto" w:fill="auto"/>
                  <w:vAlign w:val="center"/>
                </w:tcPr>
                <w:p w14:paraId="74B24147">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380</w:t>
                  </w:r>
                </w:p>
              </w:tc>
              <w:tc>
                <w:tcPr>
                  <w:tcW w:w="1179" w:type="dxa"/>
                  <w:shd w:val="clear" w:color="auto" w:fill="auto"/>
                  <w:vAlign w:val="center"/>
                </w:tcPr>
                <w:p w14:paraId="3064D8CF">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600</w:t>
                  </w:r>
                </w:p>
              </w:tc>
            </w:tr>
            <w:tr w14:paraId="797E90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1C02950C">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14:textFill>
                        <w14:solidFill>
                          <w14:schemeClr w14:val="tx1"/>
                        </w14:solidFill>
                      </w14:textFill>
                    </w:rPr>
                    <w:t>2</w:t>
                  </w:r>
                </w:p>
              </w:tc>
              <w:tc>
                <w:tcPr>
                  <w:tcW w:w="1770" w:type="dxa"/>
                  <w:shd w:val="clear" w:color="auto" w:fill="auto"/>
                  <w:vAlign w:val="center"/>
                </w:tcPr>
                <w:p w14:paraId="4A538605">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110-DC22S-J2</w:t>
                  </w:r>
                </w:p>
              </w:tc>
              <w:tc>
                <w:tcPr>
                  <w:tcW w:w="1214" w:type="dxa"/>
                  <w:shd w:val="clear" w:color="auto" w:fill="auto"/>
                  <w:vAlign w:val="center"/>
                </w:tcPr>
                <w:p w14:paraId="090A36A7">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w:t>
                  </w:r>
                </w:p>
              </w:tc>
              <w:tc>
                <w:tcPr>
                  <w:tcW w:w="1268" w:type="dxa"/>
                  <w:shd w:val="clear" w:color="auto" w:fill="auto"/>
                  <w:vAlign w:val="center"/>
                </w:tcPr>
                <w:p w14:paraId="54CC50A4">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24</w:t>
                  </w:r>
                </w:p>
              </w:tc>
              <w:tc>
                <w:tcPr>
                  <w:tcW w:w="1399" w:type="dxa"/>
                  <w:shd w:val="clear" w:color="auto" w:fill="auto"/>
                  <w:vAlign w:val="center"/>
                </w:tcPr>
                <w:p w14:paraId="2228A241">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20-40</w:t>
                  </w:r>
                </w:p>
              </w:tc>
              <w:tc>
                <w:tcPr>
                  <w:tcW w:w="1146" w:type="dxa"/>
                  <w:shd w:val="clear" w:color="auto" w:fill="auto"/>
                  <w:vAlign w:val="center"/>
                </w:tcPr>
                <w:p w14:paraId="0FCA5CCA">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450</w:t>
                  </w:r>
                </w:p>
              </w:tc>
              <w:tc>
                <w:tcPr>
                  <w:tcW w:w="1179" w:type="dxa"/>
                  <w:shd w:val="clear" w:color="auto" w:fill="auto"/>
                  <w:vAlign w:val="center"/>
                </w:tcPr>
                <w:p w14:paraId="6937D7F7">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700</w:t>
                  </w:r>
                </w:p>
              </w:tc>
            </w:tr>
            <w:tr w14:paraId="711603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19DE6D6D">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3</w:t>
                  </w:r>
                </w:p>
              </w:tc>
              <w:tc>
                <w:tcPr>
                  <w:tcW w:w="1770" w:type="dxa"/>
                  <w:shd w:val="clear" w:color="auto" w:fill="auto"/>
                  <w:vAlign w:val="center"/>
                </w:tcPr>
                <w:p w14:paraId="7B46A21A">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110-DC22S-J3</w:t>
                  </w:r>
                </w:p>
              </w:tc>
              <w:tc>
                <w:tcPr>
                  <w:tcW w:w="1214" w:type="dxa"/>
                  <w:shd w:val="clear" w:color="auto" w:fill="auto"/>
                  <w:vAlign w:val="center"/>
                </w:tcPr>
                <w:p w14:paraId="29E112A7">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w:t>
                  </w:r>
                </w:p>
              </w:tc>
              <w:tc>
                <w:tcPr>
                  <w:tcW w:w="1268" w:type="dxa"/>
                  <w:shd w:val="clear" w:color="auto" w:fill="auto"/>
                  <w:vAlign w:val="center"/>
                </w:tcPr>
                <w:p w14:paraId="466B77CF">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24</w:t>
                  </w:r>
                </w:p>
              </w:tc>
              <w:tc>
                <w:tcPr>
                  <w:tcW w:w="1399" w:type="dxa"/>
                  <w:shd w:val="clear" w:color="auto" w:fill="auto"/>
                  <w:vAlign w:val="center"/>
                </w:tcPr>
                <w:p w14:paraId="4BE0DD42">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40-60</w:t>
                  </w:r>
                </w:p>
              </w:tc>
              <w:tc>
                <w:tcPr>
                  <w:tcW w:w="1146" w:type="dxa"/>
                  <w:shd w:val="clear" w:color="auto" w:fill="auto"/>
                  <w:vAlign w:val="center"/>
                </w:tcPr>
                <w:p w14:paraId="7291A726">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450</w:t>
                  </w:r>
                </w:p>
              </w:tc>
              <w:tc>
                <w:tcPr>
                  <w:tcW w:w="1179" w:type="dxa"/>
                  <w:shd w:val="clear" w:color="auto" w:fill="auto"/>
                  <w:vAlign w:val="center"/>
                </w:tcPr>
                <w:p w14:paraId="2959EE9C">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700</w:t>
                  </w:r>
                </w:p>
              </w:tc>
            </w:tr>
            <w:tr w14:paraId="63F9F7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5A637777">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4</w:t>
                  </w:r>
                </w:p>
              </w:tc>
              <w:tc>
                <w:tcPr>
                  <w:tcW w:w="1770" w:type="dxa"/>
                  <w:shd w:val="clear" w:color="auto" w:fill="auto"/>
                  <w:vAlign w:val="center"/>
                </w:tcPr>
                <w:p w14:paraId="693E892F">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110-DC22S-J4</w:t>
                  </w:r>
                </w:p>
              </w:tc>
              <w:tc>
                <w:tcPr>
                  <w:tcW w:w="1214" w:type="dxa"/>
                  <w:shd w:val="clear" w:color="auto" w:fill="auto"/>
                  <w:vAlign w:val="center"/>
                </w:tcPr>
                <w:p w14:paraId="1321E56D">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w:t>
                  </w:r>
                </w:p>
              </w:tc>
              <w:tc>
                <w:tcPr>
                  <w:tcW w:w="1268" w:type="dxa"/>
                  <w:shd w:val="clear" w:color="auto" w:fill="auto"/>
                  <w:vAlign w:val="center"/>
                </w:tcPr>
                <w:p w14:paraId="76BF1022">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24</w:t>
                  </w:r>
                </w:p>
              </w:tc>
              <w:tc>
                <w:tcPr>
                  <w:tcW w:w="1399" w:type="dxa"/>
                  <w:shd w:val="clear" w:color="auto" w:fill="auto"/>
                  <w:vAlign w:val="center"/>
                </w:tcPr>
                <w:p w14:paraId="48759F97">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60-90</w:t>
                  </w:r>
                </w:p>
              </w:tc>
              <w:tc>
                <w:tcPr>
                  <w:tcW w:w="1146" w:type="dxa"/>
                  <w:shd w:val="clear" w:color="auto" w:fill="auto"/>
                  <w:vAlign w:val="center"/>
                </w:tcPr>
                <w:p w14:paraId="3B195A43">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450</w:t>
                  </w:r>
                </w:p>
              </w:tc>
              <w:tc>
                <w:tcPr>
                  <w:tcW w:w="1179" w:type="dxa"/>
                  <w:shd w:val="clear" w:color="auto" w:fill="auto"/>
                  <w:vAlign w:val="center"/>
                </w:tcPr>
                <w:p w14:paraId="115898A8">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700</w:t>
                  </w:r>
                </w:p>
              </w:tc>
            </w:tr>
            <w:tr w14:paraId="3BFA7D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5C050C38">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5</w:t>
                  </w:r>
                </w:p>
              </w:tc>
              <w:tc>
                <w:tcPr>
                  <w:tcW w:w="1770" w:type="dxa"/>
                  <w:shd w:val="clear" w:color="auto" w:fill="auto"/>
                  <w:vAlign w:val="center"/>
                </w:tcPr>
                <w:p w14:paraId="372B62B8">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110-DC22S-DJ</w:t>
                  </w:r>
                </w:p>
              </w:tc>
              <w:tc>
                <w:tcPr>
                  <w:tcW w:w="1214" w:type="dxa"/>
                  <w:shd w:val="clear" w:color="auto" w:fill="auto"/>
                  <w:vAlign w:val="center"/>
                </w:tcPr>
                <w:p w14:paraId="382CC59F">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w:t>
                  </w:r>
                </w:p>
              </w:tc>
              <w:tc>
                <w:tcPr>
                  <w:tcW w:w="1268" w:type="dxa"/>
                  <w:shd w:val="clear" w:color="auto" w:fill="auto"/>
                  <w:vAlign w:val="center"/>
                </w:tcPr>
                <w:p w14:paraId="684D0CFF">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18</w:t>
                  </w:r>
                </w:p>
              </w:tc>
              <w:tc>
                <w:tcPr>
                  <w:tcW w:w="1399" w:type="dxa"/>
                  <w:shd w:val="clear" w:color="auto" w:fill="auto"/>
                  <w:vAlign w:val="center"/>
                </w:tcPr>
                <w:p w14:paraId="6B1912F7">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0-90</w:t>
                  </w:r>
                </w:p>
              </w:tc>
              <w:tc>
                <w:tcPr>
                  <w:tcW w:w="1146" w:type="dxa"/>
                  <w:shd w:val="clear" w:color="auto" w:fill="auto"/>
                  <w:vAlign w:val="center"/>
                </w:tcPr>
                <w:p w14:paraId="6EBEB07C">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450</w:t>
                  </w:r>
                </w:p>
              </w:tc>
              <w:tc>
                <w:tcPr>
                  <w:tcW w:w="1179" w:type="dxa"/>
                  <w:shd w:val="clear" w:color="auto" w:fill="auto"/>
                  <w:vAlign w:val="center"/>
                </w:tcPr>
                <w:p w14:paraId="7BC3800A">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700</w:t>
                  </w:r>
                </w:p>
              </w:tc>
            </w:tr>
            <w:tr w14:paraId="087D9F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756EFC43">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6</w:t>
                  </w:r>
                </w:p>
              </w:tc>
              <w:tc>
                <w:tcPr>
                  <w:tcW w:w="1770" w:type="dxa"/>
                  <w:shd w:val="clear" w:color="auto" w:fill="auto"/>
                  <w:vAlign w:val="center"/>
                </w:tcPr>
                <w:p w14:paraId="4B0D1FF9">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110-DC22S-DJ</w:t>
                  </w:r>
                </w:p>
              </w:tc>
              <w:tc>
                <w:tcPr>
                  <w:tcW w:w="1214" w:type="dxa"/>
                  <w:shd w:val="clear" w:color="auto" w:fill="auto"/>
                  <w:vAlign w:val="center"/>
                </w:tcPr>
                <w:p w14:paraId="5379ECC8">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w:t>
                  </w:r>
                </w:p>
              </w:tc>
              <w:tc>
                <w:tcPr>
                  <w:tcW w:w="1268" w:type="dxa"/>
                  <w:shd w:val="clear" w:color="auto" w:fill="auto"/>
                  <w:vAlign w:val="center"/>
                </w:tcPr>
                <w:p w14:paraId="4074DCC4">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24</w:t>
                  </w:r>
                </w:p>
              </w:tc>
              <w:tc>
                <w:tcPr>
                  <w:tcW w:w="1399" w:type="dxa"/>
                  <w:shd w:val="clear" w:color="auto" w:fill="auto"/>
                  <w:vAlign w:val="center"/>
                </w:tcPr>
                <w:p w14:paraId="6B4370EE">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0-90</w:t>
                  </w:r>
                </w:p>
              </w:tc>
              <w:tc>
                <w:tcPr>
                  <w:tcW w:w="1146" w:type="dxa"/>
                  <w:shd w:val="clear" w:color="auto" w:fill="auto"/>
                  <w:vAlign w:val="center"/>
                </w:tcPr>
                <w:p w14:paraId="53D201D4">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450</w:t>
                  </w:r>
                </w:p>
              </w:tc>
              <w:tc>
                <w:tcPr>
                  <w:tcW w:w="1179" w:type="dxa"/>
                  <w:shd w:val="clear" w:color="auto" w:fill="auto"/>
                  <w:vAlign w:val="center"/>
                </w:tcPr>
                <w:p w14:paraId="2C4C8299">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700</w:t>
                  </w:r>
                </w:p>
              </w:tc>
            </w:tr>
            <w:tr w14:paraId="3B8F0C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08488455">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7</w:t>
                  </w:r>
                </w:p>
              </w:tc>
              <w:tc>
                <w:tcPr>
                  <w:tcW w:w="1770" w:type="dxa"/>
                  <w:shd w:val="clear" w:color="auto" w:fill="auto"/>
                  <w:vAlign w:val="center"/>
                </w:tcPr>
                <w:p w14:paraId="30AA16BF">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110-DC22GD-DJ</w:t>
                  </w:r>
                </w:p>
              </w:tc>
              <w:tc>
                <w:tcPr>
                  <w:tcW w:w="1214" w:type="dxa"/>
                  <w:shd w:val="clear" w:color="auto" w:fill="auto"/>
                  <w:vAlign w:val="center"/>
                </w:tcPr>
                <w:p w14:paraId="2BCE6B36">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t>1</w:t>
                  </w:r>
                </w:p>
              </w:tc>
              <w:tc>
                <w:tcPr>
                  <w:tcW w:w="1268" w:type="dxa"/>
                  <w:shd w:val="clear" w:color="auto" w:fill="auto"/>
                  <w:vAlign w:val="center"/>
                </w:tcPr>
                <w:p w14:paraId="0D2D3EB4">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15</w:t>
                  </w:r>
                </w:p>
              </w:tc>
              <w:tc>
                <w:tcPr>
                  <w:tcW w:w="1399" w:type="dxa"/>
                  <w:shd w:val="clear" w:color="auto" w:fill="auto"/>
                  <w:vAlign w:val="center"/>
                </w:tcPr>
                <w:p w14:paraId="7CFE5468">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0-90</w:t>
                  </w:r>
                </w:p>
              </w:tc>
              <w:tc>
                <w:tcPr>
                  <w:tcW w:w="1146" w:type="dxa"/>
                  <w:shd w:val="clear" w:color="auto" w:fill="auto"/>
                  <w:vAlign w:val="center"/>
                </w:tcPr>
                <w:p w14:paraId="014430A7">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200</w:t>
                  </w:r>
                </w:p>
              </w:tc>
              <w:tc>
                <w:tcPr>
                  <w:tcW w:w="1179" w:type="dxa"/>
                  <w:shd w:val="clear" w:color="auto" w:fill="auto"/>
                  <w:vAlign w:val="center"/>
                </w:tcPr>
                <w:p w14:paraId="25B1A5BB">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300</w:t>
                  </w:r>
                </w:p>
              </w:tc>
            </w:tr>
            <w:tr w14:paraId="71D508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4F6796E8">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8</w:t>
                  </w:r>
                </w:p>
              </w:tc>
              <w:tc>
                <w:tcPr>
                  <w:tcW w:w="1770" w:type="dxa"/>
                  <w:shd w:val="clear" w:color="auto" w:fill="auto"/>
                  <w:vAlign w:val="center"/>
                </w:tcPr>
                <w:p w14:paraId="17DB6614">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110-DC22GS-DJ</w:t>
                  </w:r>
                </w:p>
              </w:tc>
              <w:tc>
                <w:tcPr>
                  <w:tcW w:w="1214" w:type="dxa"/>
                  <w:shd w:val="clear" w:color="auto" w:fill="auto"/>
                  <w:vAlign w:val="center"/>
                </w:tcPr>
                <w:p w14:paraId="036A29D7">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t>1</w:t>
                  </w:r>
                </w:p>
              </w:tc>
              <w:tc>
                <w:tcPr>
                  <w:tcW w:w="1268" w:type="dxa"/>
                  <w:shd w:val="clear" w:color="auto" w:fill="auto"/>
                  <w:vAlign w:val="center"/>
                </w:tcPr>
                <w:p w14:paraId="6C0DE024">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18</w:t>
                  </w:r>
                </w:p>
              </w:tc>
              <w:tc>
                <w:tcPr>
                  <w:tcW w:w="1399" w:type="dxa"/>
                  <w:shd w:val="clear" w:color="auto" w:fill="auto"/>
                  <w:vAlign w:val="center"/>
                </w:tcPr>
                <w:p w14:paraId="1A7950B9">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0-90</w:t>
                  </w:r>
                </w:p>
              </w:tc>
              <w:tc>
                <w:tcPr>
                  <w:tcW w:w="1146" w:type="dxa"/>
                  <w:shd w:val="clear" w:color="auto" w:fill="auto"/>
                  <w:vAlign w:val="center"/>
                </w:tcPr>
                <w:p w14:paraId="60D5E8B4">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200</w:t>
                  </w:r>
                </w:p>
              </w:tc>
              <w:tc>
                <w:tcPr>
                  <w:tcW w:w="1179" w:type="dxa"/>
                  <w:shd w:val="clear" w:color="auto" w:fill="auto"/>
                  <w:vAlign w:val="center"/>
                </w:tcPr>
                <w:p w14:paraId="7C7E5788">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300</w:t>
                  </w:r>
                </w:p>
              </w:tc>
            </w:tr>
            <w:tr w14:paraId="478B2A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211" w:type="dxa"/>
                  <w:gridSpan w:val="2"/>
                  <w:shd w:val="clear" w:color="auto" w:fill="auto"/>
                  <w:vAlign w:val="center"/>
                </w:tcPr>
                <w:p w14:paraId="408ECA6A">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小计</w:t>
                  </w:r>
                </w:p>
              </w:tc>
              <w:tc>
                <w:tcPr>
                  <w:tcW w:w="1214" w:type="dxa"/>
                  <w:shd w:val="clear" w:color="auto" w:fill="auto"/>
                  <w:vAlign w:val="center"/>
                </w:tcPr>
                <w:p w14:paraId="03635E98">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highlight w:val="none"/>
                      <w:lang w:val="en-US" w:eastAsia="zh-CN"/>
                      <w14:textFill>
                        <w14:solidFill>
                          <w14:schemeClr w14:val="tx1"/>
                        </w14:solidFill>
                      </w14:textFill>
                    </w:rPr>
                    <w:t>11</w:t>
                  </w:r>
                  <w:r>
                    <w:rPr>
                      <w:rFonts w:ascii="Times New Roman" w:hAnsi="Times New Roman" w:eastAsia="宋体"/>
                      <w:b w:val="0"/>
                      <w:bCs/>
                      <w:color w:val="000000" w:themeColor="text1"/>
                      <w:spacing w:val="0"/>
                      <w:sz w:val="21"/>
                      <w:szCs w:val="21"/>
                      <w:highlight w:val="none"/>
                      <w14:textFill>
                        <w14:solidFill>
                          <w14:schemeClr w14:val="tx1"/>
                        </w14:solidFill>
                      </w14:textFill>
                    </w:rPr>
                    <w:t>基</w:t>
                  </w:r>
                </w:p>
              </w:tc>
              <w:tc>
                <w:tcPr>
                  <w:tcW w:w="1268" w:type="dxa"/>
                  <w:shd w:val="clear" w:color="auto" w:fill="auto"/>
                  <w:vAlign w:val="center"/>
                </w:tcPr>
                <w:p w14:paraId="5981DDDC">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w:t>
                  </w:r>
                </w:p>
              </w:tc>
              <w:tc>
                <w:tcPr>
                  <w:tcW w:w="1399" w:type="dxa"/>
                  <w:shd w:val="clear" w:color="auto" w:fill="auto"/>
                  <w:vAlign w:val="center"/>
                </w:tcPr>
                <w:p w14:paraId="1D6EE05D">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w:t>
                  </w:r>
                </w:p>
              </w:tc>
              <w:tc>
                <w:tcPr>
                  <w:tcW w:w="1146" w:type="dxa"/>
                  <w:shd w:val="clear" w:color="auto" w:fill="auto"/>
                  <w:vAlign w:val="center"/>
                </w:tcPr>
                <w:p w14:paraId="51DED734">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w:t>
                  </w:r>
                </w:p>
              </w:tc>
              <w:tc>
                <w:tcPr>
                  <w:tcW w:w="1179" w:type="dxa"/>
                  <w:shd w:val="clear" w:color="auto" w:fill="auto"/>
                  <w:vAlign w:val="center"/>
                </w:tcPr>
                <w:p w14:paraId="745873EB">
                  <w:pPr>
                    <w:keepNext w:val="0"/>
                    <w:keepLines w:val="0"/>
                    <w:pageBreakBefore w:val="0"/>
                    <w:widowControl w:val="0"/>
                    <w:kinsoku/>
                    <w:wordWrap/>
                    <w:overflowPunct/>
                    <w:topLinePunct w:val="0"/>
                    <w:autoSpaceDE/>
                    <w:autoSpaceDN/>
                    <w:bidi w:val="0"/>
                    <w:adjustRightInd/>
                    <w:jc w:val="center"/>
                    <w:textAlignment w:val="auto"/>
                    <w:outlineLvl w:val="9"/>
                    <w:rPr>
                      <w:rFonts w:hint="default"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t>/</w:t>
                  </w:r>
                </w:p>
              </w:tc>
            </w:tr>
            <w:tr w14:paraId="201E35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8417" w:type="dxa"/>
                  <w:gridSpan w:val="7"/>
                  <w:shd w:val="clear" w:color="auto" w:fill="auto"/>
                  <w:vAlign w:val="center"/>
                </w:tcPr>
                <w:p w14:paraId="5B91A7FB">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b w:val="0"/>
                      <w:bCs/>
                      <w:color w:val="000000" w:themeColor="text1"/>
                      <w:spacing w:val="0"/>
                      <w:sz w:val="21"/>
                      <w:szCs w:val="21"/>
                      <w14:textFill>
                        <w14:solidFill>
                          <w14:schemeClr w14:val="tx1"/>
                        </w14:solidFill>
                      </w14:textFill>
                    </w:rPr>
                  </w:pPr>
                  <w:r>
                    <w:rPr>
                      <w:rFonts w:hint="eastAsia"/>
                      <w:b w:val="0"/>
                      <w:bCs/>
                      <w:color w:val="000000" w:themeColor="text1"/>
                      <w:spacing w:val="0"/>
                      <w:sz w:val="21"/>
                      <w:szCs w:val="21"/>
                      <w:highlight w:val="none"/>
                      <w:lang w:val="en-US" w:eastAsia="zh-CN"/>
                      <w14:textFill>
                        <w14:solidFill>
                          <w14:schemeClr w14:val="tx1"/>
                        </w14:solidFill>
                      </w14:textFill>
                    </w:rPr>
                    <w:t>清水河~申庄改接绿塬变电站110kV线路</w:t>
                  </w:r>
                </w:p>
              </w:tc>
            </w:tr>
            <w:tr w14:paraId="1D8333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441" w:type="dxa"/>
                  <w:shd w:val="clear" w:color="auto" w:fill="auto"/>
                  <w:vAlign w:val="center"/>
                </w:tcPr>
                <w:p w14:paraId="70718633">
                  <w:pPr>
                    <w:jc w:val="center"/>
                    <w:outlineLvl w:val="9"/>
                    <w:rPr>
                      <w:rFonts w:hint="default" w:ascii="Times New Roman" w:hAnsi="Times New Roman" w:eastAsia="宋体"/>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1</w:t>
                  </w:r>
                </w:p>
              </w:tc>
              <w:tc>
                <w:tcPr>
                  <w:tcW w:w="1770" w:type="dxa"/>
                  <w:shd w:val="clear" w:color="auto" w:fill="auto"/>
                  <w:vAlign w:val="center"/>
                </w:tcPr>
                <w:p w14:paraId="10F0DCB6">
                  <w:pPr>
                    <w:jc w:val="both"/>
                    <w:outlineLvl w:val="9"/>
                    <w:rPr>
                      <w:rFonts w:hint="eastAsia" w:ascii="Times New Roman" w:hAnsi="Times New Roman" w:eastAsia="宋体"/>
                      <w:b w:val="0"/>
                      <w:bCs/>
                      <w:color w:val="000000" w:themeColor="text1"/>
                      <w:spacing w:val="0"/>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110-DC22GD-DJ</w:t>
                  </w:r>
                </w:p>
              </w:tc>
              <w:tc>
                <w:tcPr>
                  <w:tcW w:w="1214" w:type="dxa"/>
                  <w:shd w:val="clear" w:color="auto" w:fill="auto"/>
                  <w:vAlign w:val="center"/>
                </w:tcPr>
                <w:p w14:paraId="7DDE0258">
                  <w:pPr>
                    <w:jc w:val="center"/>
                    <w:outlineLvl w:val="9"/>
                    <w:rPr>
                      <w:rFonts w:hint="default" w:ascii="Times New Roman" w:hAnsi="Times New Roman" w:eastAsia="宋体"/>
                      <w:b w:val="0"/>
                      <w:bCs/>
                      <w:color w:val="000000" w:themeColor="text1"/>
                      <w:spacing w:val="0"/>
                      <w:lang w:val="en-US" w:eastAsia="zh-CN"/>
                      <w14:textFill>
                        <w14:solidFill>
                          <w14:schemeClr w14:val="tx1"/>
                        </w14:solidFill>
                      </w14:textFill>
                    </w:rPr>
                  </w:pPr>
                  <w:r>
                    <w:rPr>
                      <w:rFonts w:hint="eastAsia" w:ascii="Times New Roman" w:hAnsi="Times New Roman" w:eastAsia="宋体"/>
                      <w:b w:val="0"/>
                      <w:bCs/>
                      <w:color w:val="000000" w:themeColor="text1"/>
                      <w:spacing w:val="0"/>
                      <w:lang w:val="en-US" w:eastAsia="zh-CN"/>
                      <w14:textFill>
                        <w14:solidFill>
                          <w14:schemeClr w14:val="tx1"/>
                        </w14:solidFill>
                      </w14:textFill>
                    </w:rPr>
                    <w:t>1</w:t>
                  </w:r>
                </w:p>
              </w:tc>
              <w:tc>
                <w:tcPr>
                  <w:tcW w:w="1268" w:type="dxa"/>
                  <w:shd w:val="clear" w:color="auto" w:fill="auto"/>
                  <w:vAlign w:val="center"/>
                </w:tcPr>
                <w:p w14:paraId="61D8F9AE">
                  <w:pPr>
                    <w:jc w:val="center"/>
                    <w:outlineLvl w:val="9"/>
                    <w:rPr>
                      <w:rFonts w:hint="default" w:ascii="Times New Roman" w:hAnsi="Times New Roman" w:eastAsia="宋体"/>
                      <w:b w:val="0"/>
                      <w:bCs/>
                      <w:color w:val="000000" w:themeColor="text1"/>
                      <w:spacing w:val="0"/>
                      <w:lang w:val="en-US" w:eastAsia="zh-CN"/>
                      <w14:textFill>
                        <w14:solidFill>
                          <w14:schemeClr w14:val="tx1"/>
                        </w14:solidFill>
                      </w14:textFill>
                    </w:rPr>
                  </w:pPr>
                  <w:r>
                    <w:rPr>
                      <w:rFonts w:hint="eastAsia" w:ascii="Times New Roman" w:hAnsi="Times New Roman" w:eastAsia="宋体"/>
                      <w:b w:val="0"/>
                      <w:bCs/>
                      <w:color w:val="000000" w:themeColor="text1"/>
                      <w:spacing w:val="0"/>
                      <w:lang w:val="en-US" w:eastAsia="zh-CN"/>
                      <w14:textFill>
                        <w14:solidFill>
                          <w14:schemeClr w14:val="tx1"/>
                        </w14:solidFill>
                      </w14:textFill>
                    </w:rPr>
                    <w:t>15</w:t>
                  </w:r>
                </w:p>
              </w:tc>
              <w:tc>
                <w:tcPr>
                  <w:tcW w:w="1399" w:type="dxa"/>
                  <w:shd w:val="clear" w:color="auto" w:fill="auto"/>
                  <w:vAlign w:val="center"/>
                </w:tcPr>
                <w:p w14:paraId="7D6A6DAE">
                  <w:pPr>
                    <w:jc w:val="center"/>
                    <w:outlineLvl w:val="9"/>
                    <w:rPr>
                      <w:rFonts w:hint="eastAsia" w:ascii="Times New Roman" w:hAnsi="Times New Roman" w:eastAsia="宋体"/>
                      <w:b w:val="0"/>
                      <w:bCs/>
                      <w:color w:val="000000" w:themeColor="text1"/>
                      <w:spacing w:val="0"/>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0-90</w:t>
                  </w:r>
                </w:p>
              </w:tc>
              <w:tc>
                <w:tcPr>
                  <w:tcW w:w="1146" w:type="dxa"/>
                  <w:shd w:val="clear" w:color="auto" w:fill="auto"/>
                  <w:vAlign w:val="center"/>
                </w:tcPr>
                <w:p w14:paraId="751A4793">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200</w:t>
                  </w:r>
                </w:p>
              </w:tc>
              <w:tc>
                <w:tcPr>
                  <w:tcW w:w="1179" w:type="dxa"/>
                  <w:shd w:val="clear" w:color="auto" w:fill="auto"/>
                  <w:vAlign w:val="center"/>
                </w:tcPr>
                <w:p w14:paraId="70344D76">
                  <w:pPr>
                    <w:keepNext w:val="0"/>
                    <w:keepLines w:val="0"/>
                    <w:pageBreakBefore w:val="0"/>
                    <w:widowControl w:val="0"/>
                    <w:kinsoku/>
                    <w:wordWrap/>
                    <w:overflowPunct/>
                    <w:topLinePunct w:val="0"/>
                    <w:autoSpaceDE/>
                    <w:autoSpaceDN/>
                    <w:bidi w:val="0"/>
                    <w:adjustRightInd/>
                    <w:jc w:val="center"/>
                    <w:textAlignment w:val="auto"/>
                    <w:outlineLvl w:val="9"/>
                    <w:rPr>
                      <w:rFonts w:hint="eastAsia" w:ascii="Times New Roman" w:hAnsi="Times New Roman" w:eastAsia="宋体" w:cs="Times New Roman"/>
                      <w:b w:val="0"/>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300</w:t>
                  </w:r>
                </w:p>
              </w:tc>
            </w:tr>
            <w:tr w14:paraId="14EBA3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211" w:type="dxa"/>
                  <w:gridSpan w:val="2"/>
                  <w:shd w:val="clear" w:color="auto" w:fill="auto"/>
                  <w:vAlign w:val="center"/>
                </w:tcPr>
                <w:p w14:paraId="4E4D4D91">
                  <w:pPr>
                    <w:jc w:val="center"/>
                    <w:outlineLvl w:val="9"/>
                    <w:rPr>
                      <w:rFonts w:hint="eastAsia" w:ascii="Times New Roman" w:hAnsi="Times New Roman" w:eastAsia="宋体"/>
                      <w:b w:val="0"/>
                      <w:bCs/>
                      <w:color w:val="000000" w:themeColor="text1"/>
                      <w:spacing w:val="0"/>
                      <w:lang w:val="en-US" w:eastAsia="zh-CN"/>
                      <w14:textFill>
                        <w14:solidFill>
                          <w14:schemeClr w14:val="tx1"/>
                        </w14:solidFill>
                      </w14:textFill>
                    </w:rPr>
                  </w:pPr>
                  <w:r>
                    <w:rPr>
                      <w:rFonts w:hint="eastAsia" w:ascii="Times New Roman" w:hAnsi="Times New Roman" w:eastAsia="宋体"/>
                      <w:b w:val="0"/>
                      <w:bCs/>
                      <w:color w:val="000000" w:themeColor="text1"/>
                      <w:spacing w:val="0"/>
                      <w:lang w:val="en-US" w:eastAsia="zh-CN"/>
                      <w14:textFill>
                        <w14:solidFill>
                          <w14:schemeClr w14:val="tx1"/>
                        </w14:solidFill>
                      </w14:textFill>
                    </w:rPr>
                    <w:t>小计</w:t>
                  </w:r>
                </w:p>
              </w:tc>
              <w:tc>
                <w:tcPr>
                  <w:tcW w:w="1214" w:type="dxa"/>
                  <w:shd w:val="clear" w:color="auto" w:fill="auto"/>
                  <w:vAlign w:val="center"/>
                </w:tcPr>
                <w:p w14:paraId="5BD831C3">
                  <w:pPr>
                    <w:jc w:val="center"/>
                    <w:outlineLvl w:val="9"/>
                    <w:rPr>
                      <w:rFonts w:hint="eastAsia" w:ascii="Times New Roman" w:hAnsi="Times New Roman" w:eastAsia="宋体" w:cs="Times New Roman"/>
                      <w:b w:val="0"/>
                      <w:bCs/>
                      <w:color w:val="000000" w:themeColor="text1"/>
                      <w:spacing w:val="0"/>
                      <w:kern w:val="2"/>
                      <w:sz w:val="21"/>
                      <w:szCs w:val="24"/>
                      <w:lang w:val="en-US" w:eastAsia="zh-CN" w:bidi="ar-SA"/>
                      <w14:textFill>
                        <w14:solidFill>
                          <w14:schemeClr w14:val="tx1"/>
                        </w14:solidFill>
                      </w14:textFill>
                    </w:rPr>
                  </w:pPr>
                  <w:r>
                    <w:rPr>
                      <w:rFonts w:hint="eastAsia" w:ascii="Times New Roman" w:hAnsi="Times New Roman" w:eastAsia="宋体"/>
                      <w:b w:val="0"/>
                      <w:bCs/>
                      <w:color w:val="000000" w:themeColor="text1"/>
                      <w:spacing w:val="0"/>
                      <w:szCs w:val="21"/>
                      <w:highlight w:val="none"/>
                      <w:lang w:val="en-US" w:eastAsia="zh-CN"/>
                      <w14:textFill>
                        <w14:solidFill>
                          <w14:schemeClr w14:val="tx1"/>
                        </w14:solidFill>
                      </w14:textFill>
                    </w:rPr>
                    <w:t>1</w:t>
                  </w:r>
                  <w:r>
                    <w:rPr>
                      <w:rFonts w:ascii="Times New Roman" w:hAnsi="Times New Roman" w:eastAsia="宋体"/>
                      <w:b w:val="0"/>
                      <w:bCs/>
                      <w:color w:val="000000" w:themeColor="text1"/>
                      <w:spacing w:val="0"/>
                      <w:szCs w:val="21"/>
                      <w:highlight w:val="none"/>
                      <w14:textFill>
                        <w14:solidFill>
                          <w14:schemeClr w14:val="tx1"/>
                        </w14:solidFill>
                      </w14:textFill>
                    </w:rPr>
                    <w:t>基</w:t>
                  </w:r>
                </w:p>
              </w:tc>
              <w:tc>
                <w:tcPr>
                  <w:tcW w:w="1268" w:type="dxa"/>
                  <w:shd w:val="clear" w:color="auto" w:fill="auto"/>
                  <w:vAlign w:val="center"/>
                </w:tcPr>
                <w:p w14:paraId="268DC73D">
                  <w:pPr>
                    <w:jc w:val="center"/>
                    <w:outlineLvl w:val="9"/>
                    <w:rPr>
                      <w:rFonts w:hint="eastAsia" w:ascii="Times New Roman" w:hAnsi="Times New Roman" w:eastAsia="宋体" w:cs="Times New Roman"/>
                      <w:b w:val="0"/>
                      <w:bCs/>
                      <w:color w:val="000000" w:themeColor="text1"/>
                      <w:spacing w:val="0"/>
                      <w:kern w:val="2"/>
                      <w:sz w:val="21"/>
                      <w:szCs w:val="24"/>
                      <w:lang w:val="en-US" w:eastAsia="zh-CN" w:bidi="ar-SA"/>
                      <w14:textFill>
                        <w14:solidFill>
                          <w14:schemeClr w14:val="tx1"/>
                        </w14:solidFill>
                      </w14:textFill>
                    </w:rPr>
                  </w:pPr>
                  <w:r>
                    <w:rPr>
                      <w:rFonts w:hint="eastAsia" w:ascii="Times New Roman" w:hAnsi="Times New Roman" w:eastAsia="宋体"/>
                      <w:b w:val="0"/>
                      <w:bCs/>
                      <w:color w:val="000000" w:themeColor="text1"/>
                      <w:spacing w:val="0"/>
                      <w:lang w:val="en-US" w:eastAsia="zh-CN"/>
                      <w14:textFill>
                        <w14:solidFill>
                          <w14:schemeClr w14:val="tx1"/>
                        </w14:solidFill>
                      </w14:textFill>
                    </w:rPr>
                    <w:t>/</w:t>
                  </w:r>
                </w:p>
              </w:tc>
              <w:tc>
                <w:tcPr>
                  <w:tcW w:w="1399" w:type="dxa"/>
                  <w:shd w:val="clear" w:color="auto" w:fill="auto"/>
                  <w:vAlign w:val="center"/>
                </w:tcPr>
                <w:p w14:paraId="118AAB61">
                  <w:pPr>
                    <w:jc w:val="center"/>
                    <w:outlineLvl w:val="9"/>
                    <w:rPr>
                      <w:rFonts w:hint="eastAsia" w:ascii="Times New Roman" w:hAnsi="Times New Roman" w:eastAsia="宋体" w:cs="Times New Roman"/>
                      <w:b w:val="0"/>
                      <w:bCs/>
                      <w:color w:val="000000" w:themeColor="text1"/>
                      <w:spacing w:val="0"/>
                      <w:kern w:val="2"/>
                      <w:sz w:val="21"/>
                      <w:szCs w:val="24"/>
                      <w:lang w:val="en-US" w:eastAsia="zh-CN" w:bidi="ar-SA"/>
                      <w14:textFill>
                        <w14:solidFill>
                          <w14:schemeClr w14:val="tx1"/>
                        </w14:solidFill>
                      </w14:textFill>
                    </w:rPr>
                  </w:pPr>
                  <w:r>
                    <w:rPr>
                      <w:rFonts w:hint="eastAsia" w:ascii="Times New Roman" w:hAnsi="Times New Roman" w:eastAsia="宋体"/>
                      <w:b w:val="0"/>
                      <w:bCs/>
                      <w:color w:val="000000" w:themeColor="text1"/>
                      <w:spacing w:val="0"/>
                      <w:lang w:val="en-US" w:eastAsia="zh-CN"/>
                      <w14:textFill>
                        <w14:solidFill>
                          <w14:schemeClr w14:val="tx1"/>
                        </w14:solidFill>
                      </w14:textFill>
                    </w:rPr>
                    <w:t>/</w:t>
                  </w:r>
                </w:p>
              </w:tc>
              <w:tc>
                <w:tcPr>
                  <w:tcW w:w="1146" w:type="dxa"/>
                  <w:shd w:val="clear" w:color="auto" w:fill="auto"/>
                  <w:vAlign w:val="center"/>
                </w:tcPr>
                <w:p w14:paraId="28E6C506">
                  <w:pPr>
                    <w:jc w:val="center"/>
                    <w:outlineLvl w:val="9"/>
                    <w:rPr>
                      <w:rFonts w:hint="eastAsia" w:ascii="Times New Roman" w:hAnsi="Times New Roman" w:eastAsia="宋体" w:cs="Times New Roman"/>
                      <w:b w:val="0"/>
                      <w:bCs/>
                      <w:color w:val="000000" w:themeColor="text1"/>
                      <w:spacing w:val="0"/>
                      <w:kern w:val="2"/>
                      <w:sz w:val="21"/>
                      <w:szCs w:val="24"/>
                      <w:lang w:val="en-US" w:eastAsia="zh-CN" w:bidi="ar-SA"/>
                      <w14:textFill>
                        <w14:solidFill>
                          <w14:schemeClr w14:val="tx1"/>
                        </w14:solidFill>
                      </w14:textFill>
                    </w:rPr>
                  </w:pPr>
                  <w:r>
                    <w:rPr>
                      <w:rFonts w:hint="eastAsia" w:ascii="Times New Roman" w:hAnsi="Times New Roman" w:eastAsia="宋体"/>
                      <w:b w:val="0"/>
                      <w:bCs/>
                      <w:color w:val="000000" w:themeColor="text1"/>
                      <w:spacing w:val="0"/>
                      <w:lang w:val="en-US" w:eastAsia="zh-CN"/>
                      <w14:textFill>
                        <w14:solidFill>
                          <w14:schemeClr w14:val="tx1"/>
                        </w14:solidFill>
                      </w14:textFill>
                    </w:rPr>
                    <w:t>/</w:t>
                  </w:r>
                </w:p>
              </w:tc>
              <w:tc>
                <w:tcPr>
                  <w:tcW w:w="1179" w:type="dxa"/>
                  <w:shd w:val="clear" w:color="auto" w:fill="auto"/>
                  <w:vAlign w:val="center"/>
                </w:tcPr>
                <w:p w14:paraId="363AE759">
                  <w:pPr>
                    <w:jc w:val="center"/>
                    <w:outlineLvl w:val="9"/>
                    <w:rPr>
                      <w:rFonts w:hint="eastAsia" w:ascii="Times New Roman" w:hAnsi="Times New Roman" w:eastAsia="宋体" w:cs="Times New Roman"/>
                      <w:b w:val="0"/>
                      <w:bCs/>
                      <w:color w:val="000000" w:themeColor="text1"/>
                      <w:spacing w:val="0"/>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pacing w:val="0"/>
                      <w:kern w:val="2"/>
                      <w:sz w:val="21"/>
                      <w:szCs w:val="24"/>
                      <w:lang w:val="en-US" w:eastAsia="zh-CN" w:bidi="ar-SA"/>
                      <w14:textFill>
                        <w14:solidFill>
                          <w14:schemeClr w14:val="tx1"/>
                        </w14:solidFill>
                      </w14:textFill>
                    </w:rPr>
                    <w:t>/</w:t>
                  </w:r>
                </w:p>
              </w:tc>
            </w:tr>
            <w:tr w14:paraId="43A975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2211" w:type="dxa"/>
                  <w:gridSpan w:val="2"/>
                  <w:shd w:val="clear" w:color="auto" w:fill="auto"/>
                  <w:vAlign w:val="center"/>
                </w:tcPr>
                <w:p w14:paraId="57A6E79E">
                  <w:pPr>
                    <w:jc w:val="center"/>
                    <w:outlineLvl w:val="9"/>
                    <w:rPr>
                      <w:rFonts w:hint="default" w:ascii="Times New Roman" w:hAnsi="Times New Roman" w:eastAsia="宋体"/>
                      <w:b/>
                      <w:bCs w:val="0"/>
                      <w:color w:val="000000" w:themeColor="text1"/>
                      <w:spacing w:val="0"/>
                      <w:lang w:val="en-US" w:eastAsia="zh-CN"/>
                      <w14:textFill>
                        <w14:solidFill>
                          <w14:schemeClr w14:val="tx1"/>
                        </w14:solidFill>
                      </w14:textFill>
                    </w:rPr>
                  </w:pPr>
                  <w:r>
                    <w:rPr>
                      <w:rFonts w:hint="eastAsia" w:ascii="Times New Roman" w:hAnsi="Times New Roman" w:eastAsia="宋体"/>
                      <w:b/>
                      <w:bCs w:val="0"/>
                      <w:color w:val="000000" w:themeColor="text1"/>
                      <w:spacing w:val="0"/>
                      <w:lang w:val="en-US" w:eastAsia="zh-CN"/>
                      <w14:textFill>
                        <w14:solidFill>
                          <w14:schemeClr w14:val="tx1"/>
                        </w14:solidFill>
                      </w14:textFill>
                    </w:rPr>
                    <w:t>合计</w:t>
                  </w:r>
                </w:p>
              </w:tc>
              <w:tc>
                <w:tcPr>
                  <w:tcW w:w="1214" w:type="dxa"/>
                  <w:shd w:val="clear" w:color="auto" w:fill="auto"/>
                  <w:vAlign w:val="center"/>
                </w:tcPr>
                <w:p w14:paraId="61BE564C">
                  <w:pPr>
                    <w:jc w:val="center"/>
                    <w:outlineLvl w:val="9"/>
                    <w:rPr>
                      <w:rFonts w:hint="default" w:ascii="Times New Roman" w:hAnsi="Times New Roman" w:eastAsia="宋体"/>
                      <w:b/>
                      <w:bCs w:val="0"/>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b/>
                      <w:bCs w:val="0"/>
                      <w:color w:val="000000" w:themeColor="text1"/>
                      <w:spacing w:val="0"/>
                      <w:szCs w:val="21"/>
                      <w:highlight w:val="none"/>
                      <w:lang w:val="en-US" w:eastAsia="zh-CN"/>
                      <w14:textFill>
                        <w14:solidFill>
                          <w14:schemeClr w14:val="tx1"/>
                        </w14:solidFill>
                      </w14:textFill>
                    </w:rPr>
                    <w:t>26基</w:t>
                  </w:r>
                </w:p>
              </w:tc>
              <w:tc>
                <w:tcPr>
                  <w:tcW w:w="1268" w:type="dxa"/>
                  <w:shd w:val="clear" w:color="auto" w:fill="auto"/>
                  <w:vAlign w:val="center"/>
                </w:tcPr>
                <w:p w14:paraId="23528D11">
                  <w:pPr>
                    <w:jc w:val="center"/>
                    <w:outlineLvl w:val="9"/>
                    <w:rPr>
                      <w:rFonts w:hint="eastAsia" w:ascii="Times New Roman" w:hAnsi="Times New Roman" w:eastAsia="宋体" w:cs="Times New Roman"/>
                      <w:b/>
                      <w:bCs w:val="0"/>
                      <w:color w:val="000000" w:themeColor="text1"/>
                      <w:spacing w:val="0"/>
                      <w:kern w:val="2"/>
                      <w:sz w:val="21"/>
                      <w:szCs w:val="24"/>
                      <w:lang w:val="en-US" w:eastAsia="zh-CN" w:bidi="ar-SA"/>
                      <w14:textFill>
                        <w14:solidFill>
                          <w14:schemeClr w14:val="tx1"/>
                        </w14:solidFill>
                      </w14:textFill>
                    </w:rPr>
                  </w:pPr>
                  <w:r>
                    <w:rPr>
                      <w:rFonts w:hint="eastAsia" w:ascii="Times New Roman" w:hAnsi="Times New Roman" w:eastAsia="宋体"/>
                      <w:b/>
                      <w:bCs w:val="0"/>
                      <w:color w:val="000000" w:themeColor="text1"/>
                      <w:spacing w:val="0"/>
                      <w:lang w:val="en-US" w:eastAsia="zh-CN"/>
                      <w14:textFill>
                        <w14:solidFill>
                          <w14:schemeClr w14:val="tx1"/>
                        </w14:solidFill>
                      </w14:textFill>
                    </w:rPr>
                    <w:t>/</w:t>
                  </w:r>
                </w:p>
              </w:tc>
              <w:tc>
                <w:tcPr>
                  <w:tcW w:w="1399" w:type="dxa"/>
                  <w:shd w:val="clear" w:color="auto" w:fill="auto"/>
                  <w:vAlign w:val="center"/>
                </w:tcPr>
                <w:p w14:paraId="76C50EF3">
                  <w:pPr>
                    <w:jc w:val="center"/>
                    <w:outlineLvl w:val="9"/>
                    <w:rPr>
                      <w:rFonts w:hint="eastAsia" w:ascii="Times New Roman" w:hAnsi="Times New Roman" w:eastAsia="宋体" w:cs="Times New Roman"/>
                      <w:b/>
                      <w:bCs w:val="0"/>
                      <w:color w:val="000000" w:themeColor="text1"/>
                      <w:spacing w:val="0"/>
                      <w:kern w:val="2"/>
                      <w:sz w:val="21"/>
                      <w:szCs w:val="24"/>
                      <w:lang w:val="en-US" w:eastAsia="zh-CN" w:bidi="ar-SA"/>
                      <w14:textFill>
                        <w14:solidFill>
                          <w14:schemeClr w14:val="tx1"/>
                        </w14:solidFill>
                      </w14:textFill>
                    </w:rPr>
                  </w:pPr>
                  <w:r>
                    <w:rPr>
                      <w:rFonts w:hint="eastAsia" w:ascii="Times New Roman" w:hAnsi="Times New Roman" w:eastAsia="宋体"/>
                      <w:b/>
                      <w:bCs w:val="0"/>
                      <w:color w:val="000000" w:themeColor="text1"/>
                      <w:spacing w:val="0"/>
                      <w:lang w:val="en-US" w:eastAsia="zh-CN"/>
                      <w14:textFill>
                        <w14:solidFill>
                          <w14:schemeClr w14:val="tx1"/>
                        </w14:solidFill>
                      </w14:textFill>
                    </w:rPr>
                    <w:t>/</w:t>
                  </w:r>
                </w:p>
              </w:tc>
              <w:tc>
                <w:tcPr>
                  <w:tcW w:w="1146" w:type="dxa"/>
                  <w:shd w:val="clear" w:color="auto" w:fill="auto"/>
                  <w:vAlign w:val="center"/>
                </w:tcPr>
                <w:p w14:paraId="342391D6">
                  <w:pPr>
                    <w:jc w:val="center"/>
                    <w:outlineLvl w:val="9"/>
                    <w:rPr>
                      <w:rFonts w:hint="eastAsia" w:ascii="Times New Roman" w:hAnsi="Times New Roman" w:eastAsia="宋体" w:cs="Times New Roman"/>
                      <w:b/>
                      <w:bCs w:val="0"/>
                      <w:color w:val="000000" w:themeColor="text1"/>
                      <w:spacing w:val="0"/>
                      <w:kern w:val="2"/>
                      <w:sz w:val="21"/>
                      <w:szCs w:val="24"/>
                      <w:lang w:val="en-US" w:eastAsia="zh-CN" w:bidi="ar-SA"/>
                      <w14:textFill>
                        <w14:solidFill>
                          <w14:schemeClr w14:val="tx1"/>
                        </w14:solidFill>
                      </w14:textFill>
                    </w:rPr>
                  </w:pPr>
                  <w:r>
                    <w:rPr>
                      <w:rFonts w:hint="eastAsia" w:ascii="Times New Roman" w:hAnsi="Times New Roman" w:eastAsia="宋体"/>
                      <w:b/>
                      <w:bCs w:val="0"/>
                      <w:color w:val="000000" w:themeColor="text1"/>
                      <w:spacing w:val="0"/>
                      <w:lang w:val="en-US" w:eastAsia="zh-CN"/>
                      <w14:textFill>
                        <w14:solidFill>
                          <w14:schemeClr w14:val="tx1"/>
                        </w14:solidFill>
                      </w14:textFill>
                    </w:rPr>
                    <w:t>/</w:t>
                  </w:r>
                </w:p>
              </w:tc>
              <w:tc>
                <w:tcPr>
                  <w:tcW w:w="1179" w:type="dxa"/>
                  <w:shd w:val="clear" w:color="auto" w:fill="auto"/>
                  <w:vAlign w:val="center"/>
                </w:tcPr>
                <w:p w14:paraId="7D5172EB">
                  <w:pPr>
                    <w:jc w:val="center"/>
                    <w:outlineLvl w:val="9"/>
                    <w:rPr>
                      <w:rFonts w:hint="eastAsia" w:ascii="Times New Roman" w:hAnsi="Times New Roman" w:eastAsia="宋体" w:cs="Times New Roman"/>
                      <w:b/>
                      <w:bCs w:val="0"/>
                      <w:color w:val="000000" w:themeColor="text1"/>
                      <w:spacing w:val="0"/>
                      <w:kern w:val="2"/>
                      <w:sz w:val="21"/>
                      <w:szCs w:val="24"/>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spacing w:val="0"/>
                      <w:kern w:val="2"/>
                      <w:sz w:val="21"/>
                      <w:szCs w:val="24"/>
                      <w:lang w:val="en-US" w:eastAsia="zh-CN" w:bidi="ar-SA"/>
                      <w14:textFill>
                        <w14:solidFill>
                          <w14:schemeClr w14:val="tx1"/>
                        </w14:solidFill>
                      </w14:textFill>
                    </w:rPr>
                    <w:t>/</w:t>
                  </w:r>
                </w:p>
              </w:tc>
            </w:tr>
          </w:tbl>
          <w:p w14:paraId="39451568">
            <w:pPr>
              <w:spacing w:line="360" w:lineRule="auto"/>
              <w:ind w:firstLine="482" w:firstLineChars="200"/>
              <w:outlineLvl w:val="9"/>
              <w:rPr>
                <w:rFonts w:hint="eastAsia" w:ascii="Times New Roman" w:hAnsi="Times New Roman" w:eastAsia="宋体"/>
                <w:bCs/>
                <w:color w:val="000000" w:themeColor="text1"/>
                <w:spacing w:val="0"/>
                <w:sz w:val="24"/>
                <w:highlight w:val="none"/>
                <w:lang w:eastAsia="zh-CN"/>
                <w14:textFill>
                  <w14:solidFill>
                    <w14:schemeClr w14:val="tx1"/>
                  </w14:solidFill>
                </w14:textFill>
              </w:rPr>
            </w:pP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7</w:t>
            </w:r>
            <w:r>
              <w:rPr>
                <w:rFonts w:hint="eastAsia" w:ascii="Times New Roman" w:hAnsi="Times New Roman" w:eastAsia="宋体"/>
                <w:b/>
                <w:color w:val="000000" w:themeColor="text1"/>
                <w:spacing w:val="0"/>
                <w:sz w:val="24"/>
                <w:highlight w:val="none"/>
                <w14:textFill>
                  <w14:solidFill>
                    <w14:schemeClr w14:val="tx1"/>
                  </w14:solidFill>
                </w14:textFill>
              </w:rPr>
              <w:t>、项目占地</w:t>
            </w:r>
          </w:p>
          <w:p w14:paraId="7D4FDBC9">
            <w:pPr>
              <w:spacing w:line="360" w:lineRule="auto"/>
              <w:ind w:firstLine="480" w:firstLineChars="200"/>
              <w:outlineLvl w:val="9"/>
              <w:rPr>
                <w:rFonts w:hint="eastAsia" w:ascii="Times New Roman" w:hAnsi="Times New Roman" w:eastAsia="宋体"/>
                <w:b/>
                <w:color w:val="000000" w:themeColor="text1"/>
                <w:spacing w:val="0"/>
                <w:sz w:val="24"/>
                <w:highlight w:val="none"/>
                <w14:textFill>
                  <w14:solidFill>
                    <w14:schemeClr w14:val="tx1"/>
                  </w14:solidFill>
                </w14:textFill>
              </w:rPr>
            </w:pPr>
            <w:r>
              <w:rPr>
                <w:rFonts w:hint="eastAsia" w:ascii="Times New Roman" w:hAnsi="Times New Roman" w:eastAsia="宋体"/>
                <w:bCs/>
                <w:color w:val="000000" w:themeColor="text1"/>
                <w:spacing w:val="0"/>
                <w:sz w:val="24"/>
                <w:highlight w:val="none"/>
                <w14:textFill>
                  <w14:solidFill>
                    <w14:schemeClr w14:val="tx1"/>
                  </w14:solidFill>
                </w14:textFill>
              </w:rPr>
              <w:t>本</w:t>
            </w:r>
            <w:bookmarkStart w:id="6" w:name="_Toc32402"/>
            <w:r>
              <w:rPr>
                <w:rFonts w:hint="default" w:ascii="Times New Roman" w:hAnsi="Times New Roman" w:eastAsia="宋体" w:cs="Times New Roman"/>
                <w:color w:val="000000" w:themeColor="text1"/>
                <w:spacing w:val="0"/>
                <w:sz w:val="24"/>
                <w14:textFill>
                  <w14:solidFill>
                    <w14:schemeClr w14:val="tx1"/>
                  </w14:solidFill>
                </w14:textFill>
              </w:rPr>
              <w:t>项目建设区占地包括永久占地和临时占地，永久占地包括新建变电站站区</w:t>
            </w:r>
            <w:r>
              <w:rPr>
                <w:rFonts w:hint="eastAsia" w:ascii="Times New Roman" w:hAnsi="Times New Roman" w:eastAsia="宋体" w:cs="Times New Roman"/>
                <w:color w:val="000000" w:themeColor="text1"/>
                <w:spacing w:val="0"/>
                <w:sz w:val="24"/>
                <w:lang w:eastAsia="zh-CN"/>
                <w14:textFill>
                  <w14:solidFill>
                    <w14:schemeClr w14:val="tx1"/>
                  </w14:solidFill>
                </w14:textFill>
              </w:rPr>
              <w:t>（</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含</w:t>
            </w:r>
            <w:r>
              <w:rPr>
                <w:rFonts w:hint="default" w:ascii="Times New Roman" w:hAnsi="Times New Roman" w:eastAsia="宋体" w:cs="Times New Roman"/>
                <w:color w:val="000000" w:themeColor="text1"/>
                <w:spacing w:val="0"/>
                <w:sz w:val="24"/>
                <w14:textFill>
                  <w14:solidFill>
                    <w14:schemeClr w14:val="tx1"/>
                  </w14:solidFill>
                </w14:textFill>
              </w:rPr>
              <w:t>进站道路</w:t>
            </w:r>
            <w:r>
              <w:rPr>
                <w:rFonts w:hint="eastAsia" w:ascii="Times New Roman" w:hAnsi="Times New Roman" w:eastAsia="宋体" w:cs="Times New Roman"/>
                <w:color w:val="000000" w:themeColor="text1"/>
                <w:spacing w:val="0"/>
                <w:sz w:val="24"/>
                <w:lang w:eastAsia="zh-CN"/>
                <w14:textFill>
                  <w14:solidFill>
                    <w14:schemeClr w14:val="tx1"/>
                  </w14:solidFill>
                </w14:textFill>
              </w:rPr>
              <w:t>）</w:t>
            </w:r>
            <w:r>
              <w:rPr>
                <w:rFonts w:hint="default" w:ascii="Times New Roman" w:hAnsi="Times New Roman" w:eastAsia="宋体" w:cs="Times New Roman"/>
                <w:color w:val="000000" w:themeColor="text1"/>
                <w:spacing w:val="0"/>
                <w:sz w:val="24"/>
                <w14:textFill>
                  <w14:solidFill>
                    <w14:schemeClr w14:val="tx1"/>
                  </w14:solidFill>
                </w14:textFill>
              </w:rPr>
              <w:t>、</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110千伏</w:t>
            </w:r>
            <w:r>
              <w:rPr>
                <w:rFonts w:hint="default" w:ascii="Times New Roman" w:hAnsi="Times New Roman" w:eastAsia="宋体" w:cs="Times New Roman"/>
                <w:color w:val="000000" w:themeColor="text1"/>
                <w:spacing w:val="0"/>
                <w:sz w:val="24"/>
                <w14:textFill>
                  <w14:solidFill>
                    <w14:schemeClr w14:val="tx1"/>
                  </w14:solidFill>
                </w14:textFill>
              </w:rPr>
              <w:t>输电线路塔基</w:t>
            </w:r>
            <w:r>
              <w:rPr>
                <w:rFonts w:hint="eastAsia" w:cs="Times New Roman"/>
                <w:color w:val="000000" w:themeColor="text1"/>
                <w:spacing w:val="0"/>
                <w:sz w:val="24"/>
                <w:lang w:val="en-US" w:eastAsia="zh-CN"/>
                <w14:textFill>
                  <w14:solidFill>
                    <w14:schemeClr w14:val="tx1"/>
                  </w14:solidFill>
                </w14:textFill>
              </w:rPr>
              <w:t>等</w:t>
            </w:r>
            <w:r>
              <w:rPr>
                <w:rFonts w:hint="default" w:ascii="Times New Roman" w:hAnsi="Times New Roman" w:eastAsia="宋体" w:cs="Times New Roman"/>
                <w:color w:val="000000" w:themeColor="text1"/>
                <w:spacing w:val="0"/>
                <w:sz w:val="24"/>
                <w14:textFill>
                  <w14:solidFill>
                    <w14:schemeClr w14:val="tx1"/>
                  </w14:solidFill>
                </w14:textFill>
              </w:rPr>
              <w:t>；临时占地包括施工</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营地</w:t>
            </w:r>
            <w:r>
              <w:rPr>
                <w:rFonts w:hint="eastAsia" w:ascii="Times New Roman" w:hAnsi="Times New Roman" w:eastAsia="宋体" w:cs="Times New Roman"/>
                <w:color w:val="000000" w:themeColor="text1"/>
                <w:spacing w:val="0"/>
                <w:sz w:val="24"/>
                <w:lang w:eastAsia="zh-CN"/>
                <w14:textFill>
                  <w14:solidFill>
                    <w14:schemeClr w14:val="tx1"/>
                  </w14:solidFill>
                </w14:textFill>
              </w:rPr>
              <w:t>，</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110千伏</w:t>
            </w:r>
            <w:r>
              <w:rPr>
                <w:rFonts w:hint="default" w:ascii="Times New Roman" w:hAnsi="Times New Roman" w:eastAsia="宋体" w:cs="Times New Roman"/>
                <w:color w:val="000000" w:themeColor="text1"/>
                <w:spacing w:val="0"/>
                <w:sz w:val="24"/>
                <w14:textFill>
                  <w14:solidFill>
                    <w14:schemeClr w14:val="tx1"/>
                  </w14:solidFill>
                </w14:textFill>
              </w:rPr>
              <w:t>输电线路塔基</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临时</w:t>
            </w:r>
            <w:r>
              <w:rPr>
                <w:rFonts w:hint="default" w:ascii="Times New Roman" w:hAnsi="Times New Roman" w:eastAsia="宋体" w:cs="Times New Roman"/>
                <w:color w:val="000000" w:themeColor="text1"/>
                <w:spacing w:val="0"/>
                <w:sz w:val="24"/>
                <w14:textFill>
                  <w14:solidFill>
                    <w14:schemeClr w14:val="tx1"/>
                  </w14:solidFill>
                </w14:textFill>
              </w:rPr>
              <w:t>施工</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区域</w:t>
            </w:r>
            <w:r>
              <w:rPr>
                <w:rFonts w:hint="default" w:ascii="Times New Roman" w:hAnsi="Times New Roman" w:eastAsia="宋体" w:cs="Times New Roman"/>
                <w:color w:val="000000" w:themeColor="text1"/>
                <w:spacing w:val="0"/>
                <w:sz w:val="24"/>
                <w14:textFill>
                  <w14:solidFill>
                    <w14:schemeClr w14:val="tx1"/>
                  </w14:solidFill>
                </w14:textFill>
              </w:rPr>
              <w:t>、牵张场、跨越场</w:t>
            </w:r>
            <w:r>
              <w:rPr>
                <w:rFonts w:hint="eastAsia" w:ascii="Times New Roman" w:hAnsi="Times New Roman" w:eastAsia="宋体" w:cs="Times New Roman"/>
                <w:color w:val="000000" w:themeColor="text1"/>
                <w:spacing w:val="0"/>
                <w:sz w:val="24"/>
                <w:lang w:eastAsia="zh-CN"/>
                <w14:textFill>
                  <w14:solidFill>
                    <w14:schemeClr w14:val="tx1"/>
                  </w14:solidFill>
                </w14:textFill>
              </w:rPr>
              <w:t>、</w:t>
            </w:r>
            <w:r>
              <w:rPr>
                <w:rFonts w:hint="default" w:ascii="Times New Roman" w:hAnsi="Times New Roman" w:eastAsia="宋体" w:cs="Times New Roman"/>
                <w:color w:val="000000" w:themeColor="text1"/>
                <w:spacing w:val="0"/>
                <w:sz w:val="24"/>
                <w14:textFill>
                  <w14:solidFill>
                    <w14:schemeClr w14:val="tx1"/>
                  </w14:solidFill>
                </w14:textFill>
              </w:rPr>
              <w:t>施工</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便道</w:t>
            </w:r>
            <w:r>
              <w:rPr>
                <w:rFonts w:hint="default" w:ascii="Times New Roman" w:hAnsi="Times New Roman" w:eastAsia="宋体" w:cs="Times New Roman"/>
                <w:color w:val="000000" w:themeColor="text1"/>
                <w:spacing w:val="0"/>
                <w:sz w:val="24"/>
                <w14:textFill>
                  <w14:solidFill>
                    <w14:schemeClr w14:val="tx1"/>
                  </w14:solidFill>
                </w14:textFill>
              </w:rPr>
              <w:t>等。</w:t>
            </w:r>
            <w:r>
              <w:rPr>
                <w:rFonts w:hint="default" w:ascii="Times New Roman" w:hAnsi="Times New Roman" w:eastAsia="宋体" w:cs="Times New Roman"/>
                <w:color w:val="000000" w:themeColor="text1"/>
                <w:spacing w:val="0"/>
                <w:sz w:val="24"/>
                <w:highlight w:val="none"/>
                <w14:textFill>
                  <w14:solidFill>
                    <w14:schemeClr w14:val="tx1"/>
                  </w14:solidFill>
                </w14:textFill>
              </w:rPr>
              <w:t>本</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pacing w:val="0"/>
                <w:sz w:val="24"/>
                <w:highlight w:val="none"/>
                <w14:textFill>
                  <w14:solidFill>
                    <w14:schemeClr w14:val="tx1"/>
                  </w14:solidFill>
                </w14:textFill>
              </w:rPr>
              <w:t>占地面积为</w:t>
            </w:r>
            <w:r>
              <w:rPr>
                <w:rFonts w:hint="eastAsia" w:cs="Times New Roman"/>
                <w:color w:val="000000" w:themeColor="text1"/>
                <w:spacing w:val="0"/>
                <w:sz w:val="24"/>
                <w:highlight w:val="none"/>
                <w:lang w:val="en-US" w:eastAsia="zh-CN"/>
                <w14:textFill>
                  <w14:solidFill>
                    <w14:schemeClr w14:val="tx1"/>
                  </w14:solidFill>
                </w14:textFill>
              </w:rPr>
              <w:t>4.2556</w:t>
            </w:r>
            <w:r>
              <w:rPr>
                <w:rFonts w:hint="default" w:ascii="Times New Roman" w:hAnsi="Times New Roman" w:eastAsia="宋体" w:cs="Times New Roman"/>
                <w:color w:val="000000" w:themeColor="text1"/>
                <w:spacing w:val="0"/>
                <w:sz w:val="24"/>
                <w:highlight w:val="none"/>
                <w14:textFill>
                  <w14:solidFill>
                    <w14:schemeClr w14:val="tx1"/>
                  </w14:solidFill>
                </w14:textFill>
              </w:rPr>
              <w:t>hm</w:t>
            </w:r>
            <w:r>
              <w:rPr>
                <w:rFonts w:hint="default" w:ascii="Times New Roman" w:hAnsi="Times New Roman" w:eastAsia="宋体" w:cs="Times New Roman"/>
                <w:color w:val="000000" w:themeColor="text1"/>
                <w:spacing w:val="0"/>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0"/>
                <w:sz w:val="24"/>
                <w:highlight w:val="none"/>
                <w14:textFill>
                  <w14:solidFill>
                    <w14:schemeClr w14:val="tx1"/>
                  </w14:solidFill>
                </w14:textFill>
              </w:rPr>
              <w:t>，其中永久占地</w:t>
            </w:r>
            <w:r>
              <w:rPr>
                <w:rFonts w:hint="eastAsia" w:cs="Times New Roman"/>
                <w:color w:val="000000" w:themeColor="text1"/>
                <w:spacing w:val="0"/>
                <w:w w:val="100"/>
                <w:position w:val="0"/>
                <w:sz w:val="24"/>
                <w:szCs w:val="24"/>
                <w:highlight w:val="none"/>
                <w:lang w:val="en-US" w:eastAsia="zh-CN"/>
                <w14:textFill>
                  <w14:solidFill>
                    <w14:schemeClr w14:val="tx1"/>
                  </w14:solidFill>
                </w14:textFill>
              </w:rPr>
              <w:t>0.7688</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hm</w:t>
            </w:r>
            <w:r>
              <w:rPr>
                <w:rFonts w:hint="default" w:ascii="Times New Roman" w:hAnsi="Times New Roman" w:eastAsia="宋体" w:cs="Times New Roman"/>
                <w:color w:val="000000" w:themeColor="text1"/>
                <w:spacing w:val="0"/>
                <w:w w:val="100"/>
                <w:position w:val="0"/>
                <w:sz w:val="24"/>
                <w:szCs w:val="24"/>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pacing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highlight w:val="none"/>
                <w14:textFill>
                  <w14:solidFill>
                    <w14:schemeClr w14:val="tx1"/>
                  </w14:solidFill>
                </w14:textFill>
              </w:rPr>
              <w:t>临时占地</w:t>
            </w:r>
            <w:r>
              <w:rPr>
                <w:rFonts w:hint="eastAsia" w:cs="Times New Roman"/>
                <w:color w:val="000000" w:themeColor="text1"/>
                <w:spacing w:val="0"/>
                <w:sz w:val="24"/>
                <w:highlight w:val="none"/>
                <w:lang w:val="en-US" w:eastAsia="zh-CN"/>
                <w14:textFill>
                  <w14:solidFill>
                    <w14:schemeClr w14:val="tx1"/>
                  </w14:solidFill>
                </w14:textFill>
              </w:rPr>
              <w:t>3.4868</w:t>
            </w:r>
            <w:r>
              <w:rPr>
                <w:rFonts w:hint="default" w:ascii="Times New Roman" w:hAnsi="Times New Roman" w:eastAsia="宋体" w:cs="Times New Roman"/>
                <w:color w:val="000000" w:themeColor="text1"/>
                <w:spacing w:val="0"/>
                <w:sz w:val="24"/>
                <w:highlight w:val="none"/>
                <w14:textFill>
                  <w14:solidFill>
                    <w14:schemeClr w14:val="tx1"/>
                  </w14:solidFill>
                </w14:textFill>
              </w:rPr>
              <w:t>hm</w:t>
            </w:r>
            <w:r>
              <w:rPr>
                <w:rFonts w:hint="default" w:ascii="Times New Roman" w:hAnsi="Times New Roman" w:eastAsia="宋体" w:cs="Times New Roman"/>
                <w:color w:val="000000" w:themeColor="text1"/>
                <w:spacing w:val="0"/>
                <w:sz w:val="24"/>
                <w:highlight w:val="none"/>
                <w:vertAlign w:val="superscript"/>
                <w14:textFill>
                  <w14:solidFill>
                    <w14:schemeClr w14:val="tx1"/>
                  </w14:solidFill>
                </w14:textFill>
              </w:rPr>
              <w:t>2</w:t>
            </w:r>
            <w:bookmarkEnd w:id="6"/>
            <w:r>
              <w:rPr>
                <w:rFonts w:hint="eastAsia" w:ascii="Times New Roman" w:hAnsi="Times New Roman" w:eastAsia="宋体" w:cs="Times New Roman"/>
                <w:color w:val="000000" w:themeColor="text1"/>
                <w:spacing w:val="0"/>
                <w:sz w:val="24"/>
                <w:highlight w:val="none"/>
                <w:lang w:eastAsia="zh-CN"/>
                <w14:textFill>
                  <w14:solidFill>
                    <w14:schemeClr w14:val="tx1"/>
                  </w14:solidFill>
                </w14:textFill>
              </w:rPr>
              <w:t>；</w:t>
            </w:r>
            <w:r>
              <w:rPr>
                <w:rFonts w:hint="eastAsia" w:ascii="Times New Roman" w:hAnsi="Times New Roman" w:eastAsia="宋体"/>
                <w:bCs/>
                <w:color w:val="000000" w:themeColor="text1"/>
                <w:spacing w:val="0"/>
                <w:sz w:val="24"/>
                <w:highlight w:val="none"/>
                <w14:textFill>
                  <w14:solidFill>
                    <w14:schemeClr w14:val="tx1"/>
                  </w14:solidFill>
                </w14:textFill>
              </w:rPr>
              <w:t>占地类型为</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旱地</w:t>
            </w:r>
            <w:r>
              <w:rPr>
                <w:rFonts w:hint="eastAsia" w:ascii="Times New Roman" w:hAnsi="Times New Roman" w:eastAsia="宋体"/>
                <w:bCs/>
                <w:color w:val="000000" w:themeColor="text1"/>
                <w:spacing w:val="0"/>
                <w:sz w:val="24"/>
                <w:highlight w:val="none"/>
                <w14:textFill>
                  <w14:solidFill>
                    <w14:schemeClr w14:val="tx1"/>
                  </w14:solidFill>
                </w14:textFill>
              </w:rPr>
              <w:t>、</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果园、</w:t>
            </w:r>
            <w:r>
              <w:rPr>
                <w:rFonts w:hint="eastAsia"/>
                <w:bCs/>
                <w:color w:val="000000" w:themeColor="text1"/>
                <w:spacing w:val="0"/>
                <w:sz w:val="24"/>
                <w:highlight w:val="none"/>
                <w:lang w:val="en-US" w:eastAsia="zh-CN"/>
                <w14:textFill>
                  <w14:solidFill>
                    <w14:schemeClr w14:val="tx1"/>
                  </w14:solidFill>
                </w14:textFill>
              </w:rPr>
              <w:t>农村道路</w:t>
            </w:r>
            <w:r>
              <w:rPr>
                <w:rFonts w:hint="eastAsia" w:ascii="Times New Roman" w:hAnsi="Times New Roman" w:eastAsia="宋体"/>
                <w:bCs/>
                <w:color w:val="000000" w:themeColor="text1"/>
                <w:spacing w:val="0"/>
                <w:sz w:val="24"/>
                <w:highlight w:val="none"/>
                <w14:textFill>
                  <w14:solidFill>
                    <w14:schemeClr w14:val="tx1"/>
                  </w14:solidFill>
                </w14:textFill>
              </w:rPr>
              <w:t>。本项目占地情况见表2-</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5</w:t>
            </w:r>
            <w:r>
              <w:rPr>
                <w:rFonts w:hint="eastAsia" w:ascii="Times New Roman" w:hAnsi="Times New Roman" w:eastAsia="宋体"/>
                <w:bCs/>
                <w:color w:val="000000" w:themeColor="text1"/>
                <w:spacing w:val="0"/>
                <w:sz w:val="24"/>
                <w:highlight w:val="none"/>
                <w14:textFill>
                  <w14:solidFill>
                    <w14:schemeClr w14:val="tx1"/>
                  </w14:solidFill>
                </w14:textFill>
              </w:rPr>
              <w:t>。</w:t>
            </w:r>
          </w:p>
          <w:p w14:paraId="50412EF7">
            <w:pPr>
              <w:spacing w:line="360" w:lineRule="auto"/>
              <w:jc w:val="right"/>
              <w:outlineLvl w:val="9"/>
              <w:rPr>
                <w:rFonts w:ascii="Times New Roman" w:hAnsi="Times New Roman" w:eastAsia="宋体"/>
                <w:b/>
                <w:color w:val="000000" w:themeColor="text1"/>
                <w:spacing w:val="0"/>
                <w:sz w:val="24"/>
                <w:highlight w:val="none"/>
                <w:vertAlign w:val="superscript"/>
                <w14:textFill>
                  <w14:solidFill>
                    <w14:schemeClr w14:val="tx1"/>
                  </w14:solidFill>
                </w14:textFill>
              </w:rPr>
            </w:pPr>
            <w:r>
              <w:rPr>
                <w:rFonts w:hint="eastAsia" w:ascii="Times New Roman" w:hAnsi="Times New Roman" w:eastAsia="宋体"/>
                <w:b/>
                <w:color w:val="000000" w:themeColor="text1"/>
                <w:spacing w:val="0"/>
                <w:sz w:val="24"/>
                <w:highlight w:val="none"/>
                <w14:textFill>
                  <w14:solidFill>
                    <w14:schemeClr w14:val="tx1"/>
                  </w14:solidFill>
                </w14:textFill>
              </w:rPr>
              <w:t xml:space="preserve"> </w:t>
            </w:r>
            <w:r>
              <w:rPr>
                <w:rFonts w:ascii="Times New Roman" w:hAnsi="Times New Roman" w:eastAsia="宋体"/>
                <w:b/>
                <w:color w:val="000000" w:themeColor="text1"/>
                <w:spacing w:val="0"/>
                <w:sz w:val="24"/>
                <w:highlight w:val="none"/>
                <w14:textFill>
                  <w14:solidFill>
                    <w14:schemeClr w14:val="tx1"/>
                  </w14:solidFill>
                </w14:textFill>
              </w:rPr>
              <w:t xml:space="preserve"> 表2-</w:t>
            </w: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5</w:t>
            </w:r>
            <w:r>
              <w:rPr>
                <w:rFonts w:ascii="Times New Roman" w:hAnsi="Times New Roman" w:eastAsia="宋体"/>
                <w:b/>
                <w:color w:val="000000" w:themeColor="text1"/>
                <w:spacing w:val="0"/>
                <w:sz w:val="24"/>
                <w:highlight w:val="none"/>
                <w14:textFill>
                  <w14:solidFill>
                    <w14:schemeClr w14:val="tx1"/>
                  </w14:solidFill>
                </w14:textFill>
              </w:rPr>
              <w:t xml:space="preserve">  本项目占地情况一览表 </w:t>
            </w: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 xml:space="preserve"> </w:t>
            </w:r>
            <w:r>
              <w:rPr>
                <w:rFonts w:ascii="Times New Roman" w:hAnsi="Times New Roman" w:eastAsia="宋体"/>
                <w:b/>
                <w:color w:val="000000" w:themeColor="text1"/>
                <w:spacing w:val="0"/>
                <w:sz w:val="24"/>
                <w:highlight w:val="none"/>
                <w14:textFill>
                  <w14:solidFill>
                    <w14:schemeClr w14:val="tx1"/>
                  </w14:solidFill>
                </w14:textFill>
              </w:rPr>
              <w:t xml:space="preserve">         </w:t>
            </w:r>
            <w:r>
              <w:rPr>
                <w:rFonts w:ascii="Times New Roman" w:hAnsi="Times New Roman" w:eastAsia="宋体"/>
                <w:b w:val="0"/>
                <w:bCs/>
                <w:color w:val="000000" w:themeColor="text1"/>
                <w:spacing w:val="0"/>
                <w:sz w:val="24"/>
                <w:highlight w:val="none"/>
                <w14:textFill>
                  <w14:solidFill>
                    <w14:schemeClr w14:val="tx1"/>
                  </w14:solidFill>
                </w14:textFill>
              </w:rPr>
              <w:t>单位：hm</w:t>
            </w:r>
            <w:r>
              <w:rPr>
                <w:rFonts w:ascii="Times New Roman" w:hAnsi="Times New Roman" w:eastAsia="宋体"/>
                <w:b w:val="0"/>
                <w:bCs/>
                <w:color w:val="000000" w:themeColor="text1"/>
                <w:spacing w:val="0"/>
                <w:sz w:val="24"/>
                <w:highlight w:val="none"/>
                <w:vertAlign w:val="superscript"/>
                <w14:textFill>
                  <w14:solidFill>
                    <w14:schemeClr w14:val="tx1"/>
                  </w14:solidFill>
                </w14:textFill>
              </w:rPr>
              <w:t>2</w:t>
            </w:r>
          </w:p>
          <w:tbl>
            <w:tblPr>
              <w:tblStyle w:val="26"/>
              <w:tblW w:w="821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04"/>
              <w:gridCol w:w="2359"/>
              <w:gridCol w:w="1270"/>
              <w:gridCol w:w="987"/>
              <w:gridCol w:w="1567"/>
              <w:gridCol w:w="1229"/>
            </w:tblGrid>
            <w:tr w14:paraId="6B0A02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5" w:hRule="atLeast"/>
                <w:tblHeader/>
                <w:jc w:val="center"/>
              </w:trPr>
              <w:tc>
                <w:tcPr>
                  <w:tcW w:w="804" w:type="dxa"/>
                  <w:vMerge w:val="restart"/>
                  <w:shd w:val="clear" w:color="000000" w:fill="auto"/>
                  <w:vAlign w:val="center"/>
                </w:tcPr>
                <w:p w14:paraId="6FB3AB3F">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hint="eastAsia" w:ascii="Times New Roman" w:hAnsi="Times New Roman" w:eastAsia="宋体"/>
                      <w:b/>
                      <w:color w:val="000000" w:themeColor="text1"/>
                      <w:spacing w:val="0"/>
                      <w:sz w:val="21"/>
                      <w:szCs w:val="21"/>
                      <w:highlight w:val="none"/>
                      <w14:textFill>
                        <w14:solidFill>
                          <w14:schemeClr w14:val="tx1"/>
                        </w14:solidFill>
                      </w14:textFill>
                    </w:rPr>
                    <w:t>类型</w:t>
                  </w:r>
                </w:p>
              </w:tc>
              <w:tc>
                <w:tcPr>
                  <w:tcW w:w="2359" w:type="dxa"/>
                  <w:vMerge w:val="restart"/>
                  <w:shd w:val="clear" w:color="000000" w:fill="auto"/>
                  <w:vAlign w:val="center"/>
                </w:tcPr>
                <w:p w14:paraId="5ABD70D8">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hint="eastAsia" w:ascii="Times New Roman" w:hAnsi="Times New Roman" w:eastAsia="宋体"/>
                      <w:b/>
                      <w:color w:val="000000" w:themeColor="text1"/>
                      <w:spacing w:val="0"/>
                      <w:sz w:val="21"/>
                      <w:szCs w:val="21"/>
                      <w:highlight w:val="none"/>
                      <w14:textFill>
                        <w14:solidFill>
                          <w14:schemeClr w14:val="tx1"/>
                        </w14:solidFill>
                      </w14:textFill>
                    </w:rPr>
                    <w:t>工程类型</w:t>
                  </w:r>
                </w:p>
              </w:tc>
              <w:tc>
                <w:tcPr>
                  <w:tcW w:w="1270" w:type="dxa"/>
                  <w:tcBorders>
                    <w:right w:val="single" w:color="auto" w:sz="4" w:space="0"/>
                  </w:tcBorders>
                  <w:shd w:val="clear" w:color="000000" w:fill="auto"/>
                  <w:vAlign w:val="center"/>
                </w:tcPr>
                <w:p w14:paraId="309EEA1B">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hint="eastAsia" w:ascii="Times New Roman" w:hAnsi="Times New Roman" w:eastAsia="宋体"/>
                      <w:b/>
                      <w:color w:val="000000" w:themeColor="text1"/>
                      <w:spacing w:val="0"/>
                      <w:sz w:val="21"/>
                      <w:szCs w:val="21"/>
                      <w:highlight w:val="none"/>
                      <w14:textFill>
                        <w14:solidFill>
                          <w14:schemeClr w14:val="tx1"/>
                        </w14:solidFill>
                      </w14:textFill>
                    </w:rPr>
                    <w:t>耕地</w:t>
                  </w:r>
                </w:p>
              </w:tc>
              <w:tc>
                <w:tcPr>
                  <w:tcW w:w="987" w:type="dxa"/>
                  <w:tcBorders>
                    <w:left w:val="single" w:color="auto" w:sz="4" w:space="0"/>
                  </w:tcBorders>
                  <w:shd w:val="clear" w:color="000000" w:fill="auto"/>
                  <w:vAlign w:val="center"/>
                </w:tcPr>
                <w:p w14:paraId="37B1CB58">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b/>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pacing w:val="0"/>
                      <w:sz w:val="21"/>
                      <w:szCs w:val="21"/>
                      <w:highlight w:val="none"/>
                      <w:lang w:val="en-US" w:eastAsia="zh-CN"/>
                      <w14:textFill>
                        <w14:solidFill>
                          <w14:schemeClr w14:val="tx1"/>
                        </w14:solidFill>
                      </w14:textFill>
                    </w:rPr>
                    <w:t>园地</w:t>
                  </w:r>
                </w:p>
              </w:tc>
              <w:tc>
                <w:tcPr>
                  <w:tcW w:w="1567" w:type="dxa"/>
                  <w:shd w:val="clear" w:color="000000" w:fill="auto"/>
                  <w:vAlign w:val="center"/>
                </w:tcPr>
                <w:p w14:paraId="5C86A382">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b/>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pacing w:val="0"/>
                      <w:sz w:val="21"/>
                      <w:szCs w:val="21"/>
                      <w:highlight w:val="none"/>
                      <w:lang w:val="en-US" w:eastAsia="zh-CN"/>
                      <w14:textFill>
                        <w14:solidFill>
                          <w14:schemeClr w14:val="tx1"/>
                        </w14:solidFill>
                      </w14:textFill>
                    </w:rPr>
                    <w:t>交通运输用地</w:t>
                  </w:r>
                </w:p>
              </w:tc>
              <w:tc>
                <w:tcPr>
                  <w:tcW w:w="1229" w:type="dxa"/>
                  <w:vMerge w:val="restart"/>
                  <w:shd w:val="clear" w:color="000000" w:fill="auto"/>
                  <w:vAlign w:val="center"/>
                </w:tcPr>
                <w:p w14:paraId="08A63348">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hint="eastAsia" w:ascii="Times New Roman" w:hAnsi="Times New Roman" w:eastAsia="宋体"/>
                      <w:b/>
                      <w:color w:val="000000" w:themeColor="text1"/>
                      <w:spacing w:val="0"/>
                      <w:sz w:val="21"/>
                      <w:szCs w:val="21"/>
                      <w:highlight w:val="none"/>
                      <w14:textFill>
                        <w14:solidFill>
                          <w14:schemeClr w14:val="tx1"/>
                        </w14:solidFill>
                      </w14:textFill>
                    </w:rPr>
                    <w:t>总计</w:t>
                  </w:r>
                </w:p>
              </w:tc>
            </w:tr>
            <w:tr w14:paraId="79D1FE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tblHeader/>
                <w:jc w:val="center"/>
              </w:trPr>
              <w:tc>
                <w:tcPr>
                  <w:tcW w:w="804" w:type="dxa"/>
                  <w:vMerge w:val="continue"/>
                  <w:shd w:val="clear" w:color="000000" w:fill="auto"/>
                  <w:vAlign w:val="center"/>
                </w:tcPr>
                <w:p w14:paraId="79FBF10C">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b/>
                      <w:color w:val="000000" w:themeColor="text1"/>
                      <w:spacing w:val="0"/>
                      <w:sz w:val="21"/>
                      <w:szCs w:val="21"/>
                      <w:highlight w:val="none"/>
                      <w14:textFill>
                        <w14:solidFill>
                          <w14:schemeClr w14:val="tx1"/>
                        </w14:solidFill>
                      </w14:textFill>
                    </w:rPr>
                  </w:pPr>
                </w:p>
              </w:tc>
              <w:tc>
                <w:tcPr>
                  <w:tcW w:w="2359" w:type="dxa"/>
                  <w:vMerge w:val="continue"/>
                  <w:shd w:val="clear" w:color="000000" w:fill="auto"/>
                  <w:vAlign w:val="center"/>
                </w:tcPr>
                <w:p w14:paraId="515B4FF8">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b/>
                      <w:color w:val="000000" w:themeColor="text1"/>
                      <w:spacing w:val="0"/>
                      <w:sz w:val="21"/>
                      <w:szCs w:val="21"/>
                      <w:highlight w:val="none"/>
                      <w14:textFill>
                        <w14:solidFill>
                          <w14:schemeClr w14:val="tx1"/>
                        </w14:solidFill>
                      </w14:textFill>
                    </w:rPr>
                  </w:pPr>
                </w:p>
              </w:tc>
              <w:tc>
                <w:tcPr>
                  <w:tcW w:w="1270" w:type="dxa"/>
                  <w:tcBorders>
                    <w:right w:val="single" w:color="auto" w:sz="4" w:space="0"/>
                  </w:tcBorders>
                  <w:shd w:val="clear" w:color="000000" w:fill="auto"/>
                  <w:vAlign w:val="center"/>
                </w:tcPr>
                <w:p w14:paraId="3717CB9D">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b/>
                      <w:color w:val="000000" w:themeColor="text1"/>
                      <w:spacing w:val="0"/>
                      <w:sz w:val="21"/>
                      <w:szCs w:val="21"/>
                      <w:highlight w:val="none"/>
                      <w14:textFill>
                        <w14:solidFill>
                          <w14:schemeClr w14:val="tx1"/>
                        </w14:solidFill>
                      </w14:textFill>
                    </w:rPr>
                  </w:pPr>
                  <w:r>
                    <w:rPr>
                      <w:rFonts w:hint="eastAsia" w:ascii="Times New Roman" w:hAnsi="Times New Roman" w:eastAsia="宋体"/>
                      <w:b/>
                      <w:color w:val="000000" w:themeColor="text1"/>
                      <w:spacing w:val="0"/>
                      <w:sz w:val="21"/>
                      <w:szCs w:val="21"/>
                      <w:highlight w:val="none"/>
                      <w:lang w:val="en-US" w:eastAsia="zh-CN"/>
                      <w14:textFill>
                        <w14:solidFill>
                          <w14:schemeClr w14:val="tx1"/>
                        </w14:solidFill>
                      </w14:textFill>
                    </w:rPr>
                    <w:t>旱</w:t>
                  </w:r>
                  <w:r>
                    <w:rPr>
                      <w:rFonts w:hint="eastAsia" w:ascii="Times New Roman" w:hAnsi="Times New Roman" w:eastAsia="宋体"/>
                      <w:b/>
                      <w:color w:val="000000" w:themeColor="text1"/>
                      <w:spacing w:val="0"/>
                      <w:sz w:val="21"/>
                      <w:szCs w:val="21"/>
                      <w:highlight w:val="none"/>
                      <w14:textFill>
                        <w14:solidFill>
                          <w14:schemeClr w14:val="tx1"/>
                        </w14:solidFill>
                      </w14:textFill>
                    </w:rPr>
                    <w:t>地</w:t>
                  </w:r>
                </w:p>
              </w:tc>
              <w:tc>
                <w:tcPr>
                  <w:tcW w:w="987" w:type="dxa"/>
                  <w:tcBorders>
                    <w:left w:val="single" w:color="auto" w:sz="4" w:space="0"/>
                  </w:tcBorders>
                  <w:shd w:val="clear" w:color="000000" w:fill="auto"/>
                  <w:vAlign w:val="center"/>
                </w:tcPr>
                <w:p w14:paraId="0F7CCBBC">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b/>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pacing w:val="0"/>
                      <w:sz w:val="21"/>
                      <w:szCs w:val="21"/>
                      <w:highlight w:val="none"/>
                      <w:lang w:val="en-US" w:eastAsia="zh-CN"/>
                      <w14:textFill>
                        <w14:solidFill>
                          <w14:schemeClr w14:val="tx1"/>
                        </w14:solidFill>
                      </w14:textFill>
                    </w:rPr>
                    <w:t>果园</w:t>
                  </w:r>
                </w:p>
              </w:tc>
              <w:tc>
                <w:tcPr>
                  <w:tcW w:w="1567" w:type="dxa"/>
                  <w:shd w:val="clear" w:color="000000" w:fill="auto"/>
                  <w:vAlign w:val="center"/>
                </w:tcPr>
                <w:p w14:paraId="24BCCB5A">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b/>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pacing w:val="0"/>
                      <w:sz w:val="21"/>
                      <w:szCs w:val="21"/>
                      <w:highlight w:val="none"/>
                      <w:lang w:val="en-US" w:eastAsia="zh-CN"/>
                      <w14:textFill>
                        <w14:solidFill>
                          <w14:schemeClr w14:val="tx1"/>
                        </w14:solidFill>
                      </w14:textFill>
                    </w:rPr>
                    <w:t>农村道路</w:t>
                  </w:r>
                </w:p>
              </w:tc>
              <w:tc>
                <w:tcPr>
                  <w:tcW w:w="1229" w:type="dxa"/>
                  <w:vMerge w:val="continue"/>
                  <w:shd w:val="clear" w:color="000000" w:fill="auto"/>
                  <w:vAlign w:val="center"/>
                </w:tcPr>
                <w:p w14:paraId="0308C46E">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b/>
                      <w:color w:val="000000" w:themeColor="text1"/>
                      <w:spacing w:val="0"/>
                      <w:sz w:val="21"/>
                      <w:szCs w:val="21"/>
                      <w:highlight w:val="none"/>
                      <w14:textFill>
                        <w14:solidFill>
                          <w14:schemeClr w14:val="tx1"/>
                        </w14:solidFill>
                      </w14:textFill>
                    </w:rPr>
                  </w:pPr>
                </w:p>
              </w:tc>
            </w:tr>
            <w:tr w14:paraId="1F6EF0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restart"/>
                  <w:vAlign w:val="center"/>
                </w:tcPr>
                <w:p w14:paraId="081302AA">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永久占地</w:t>
                  </w:r>
                </w:p>
              </w:tc>
              <w:tc>
                <w:tcPr>
                  <w:tcW w:w="2359" w:type="dxa"/>
                  <w:vAlign w:val="center"/>
                </w:tcPr>
                <w:p w14:paraId="5C59F684">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变电站区（</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含</w:t>
                  </w:r>
                  <w:r>
                    <w:rPr>
                      <w:rFonts w:hint="eastAsia" w:ascii="Times New Roman" w:hAnsi="Times New Roman" w:eastAsia="宋体"/>
                      <w:color w:val="000000" w:themeColor="text1"/>
                      <w:spacing w:val="0"/>
                      <w:sz w:val="21"/>
                      <w:szCs w:val="21"/>
                      <w:highlight w:val="none"/>
                      <w14:textFill>
                        <w14:solidFill>
                          <w14:schemeClr w14:val="tx1"/>
                        </w14:solidFill>
                      </w14:textFill>
                    </w:rPr>
                    <w:t>进站道路）</w:t>
                  </w:r>
                </w:p>
              </w:tc>
              <w:tc>
                <w:tcPr>
                  <w:tcW w:w="1270" w:type="dxa"/>
                  <w:tcBorders>
                    <w:right w:val="single" w:color="auto" w:sz="4" w:space="0"/>
                  </w:tcBorders>
                  <w:vAlign w:val="center"/>
                </w:tcPr>
                <w:p w14:paraId="02532017">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0.6233</w:t>
                  </w:r>
                </w:p>
              </w:tc>
              <w:tc>
                <w:tcPr>
                  <w:tcW w:w="987" w:type="dxa"/>
                  <w:tcBorders>
                    <w:left w:val="single" w:color="auto" w:sz="4" w:space="0"/>
                  </w:tcBorders>
                  <w:vAlign w:val="center"/>
                </w:tcPr>
                <w:p w14:paraId="4EFE97A6">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w:t>
                  </w:r>
                </w:p>
              </w:tc>
              <w:tc>
                <w:tcPr>
                  <w:tcW w:w="1567" w:type="dxa"/>
                  <w:vAlign w:val="center"/>
                </w:tcPr>
                <w:p w14:paraId="5D002481">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0.0053</w:t>
                  </w:r>
                </w:p>
              </w:tc>
              <w:tc>
                <w:tcPr>
                  <w:tcW w:w="1229" w:type="dxa"/>
                  <w:vAlign w:val="center"/>
                </w:tcPr>
                <w:p w14:paraId="67D98923">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0.6286</w:t>
                  </w:r>
                </w:p>
              </w:tc>
            </w:tr>
            <w:tr w14:paraId="1C27AF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continue"/>
                  <w:vAlign w:val="center"/>
                </w:tcPr>
                <w:p w14:paraId="7E1EE0C2">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359" w:type="dxa"/>
                  <w:shd w:val="clear" w:color="auto" w:fill="auto"/>
                  <w:vAlign w:val="center"/>
                </w:tcPr>
                <w:p w14:paraId="01A1790D">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塔基</w:t>
                  </w:r>
                </w:p>
              </w:tc>
              <w:tc>
                <w:tcPr>
                  <w:tcW w:w="1270" w:type="dxa"/>
                  <w:tcBorders>
                    <w:right w:val="single" w:color="auto" w:sz="4" w:space="0"/>
                  </w:tcBorders>
                  <w:shd w:val="clear" w:color="auto" w:fill="auto"/>
                  <w:vAlign w:val="center"/>
                </w:tcPr>
                <w:p w14:paraId="2AADA3E4">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0.1176</w:t>
                  </w:r>
                </w:p>
              </w:tc>
              <w:tc>
                <w:tcPr>
                  <w:tcW w:w="987" w:type="dxa"/>
                  <w:tcBorders>
                    <w:left w:val="single" w:color="auto" w:sz="4" w:space="0"/>
                  </w:tcBorders>
                  <w:shd w:val="clear" w:color="auto" w:fill="auto"/>
                  <w:vAlign w:val="center"/>
                </w:tcPr>
                <w:p w14:paraId="7F74EA5C">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0.0098</w:t>
                  </w:r>
                </w:p>
              </w:tc>
              <w:tc>
                <w:tcPr>
                  <w:tcW w:w="1567" w:type="dxa"/>
                  <w:vAlign w:val="center"/>
                </w:tcPr>
                <w:p w14:paraId="0C769098">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14:textFill>
                        <w14:solidFill>
                          <w14:schemeClr w14:val="tx1"/>
                        </w14:solidFill>
                      </w14:textFill>
                    </w:rPr>
                  </w:pPr>
                </w:p>
              </w:tc>
              <w:tc>
                <w:tcPr>
                  <w:tcW w:w="1229" w:type="dxa"/>
                  <w:vAlign w:val="center"/>
                </w:tcPr>
                <w:p w14:paraId="45AD15BC">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0.1274</w:t>
                  </w:r>
                </w:p>
              </w:tc>
            </w:tr>
            <w:tr w14:paraId="130CED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continue"/>
                  <w:vAlign w:val="center"/>
                </w:tcPr>
                <w:p w14:paraId="7345953F">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359" w:type="dxa"/>
                  <w:shd w:val="clear" w:color="auto" w:fill="auto"/>
                  <w:vAlign w:val="center"/>
                </w:tcPr>
                <w:p w14:paraId="509692F1">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电缆盘井</w:t>
                  </w:r>
                </w:p>
              </w:tc>
              <w:tc>
                <w:tcPr>
                  <w:tcW w:w="1270" w:type="dxa"/>
                  <w:tcBorders>
                    <w:right w:val="single" w:color="auto" w:sz="4" w:space="0"/>
                  </w:tcBorders>
                  <w:shd w:val="clear" w:color="auto" w:fill="auto"/>
                  <w:vAlign w:val="center"/>
                </w:tcPr>
                <w:p w14:paraId="665AD963">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0.0032</w:t>
                  </w:r>
                </w:p>
              </w:tc>
              <w:tc>
                <w:tcPr>
                  <w:tcW w:w="987" w:type="dxa"/>
                  <w:tcBorders>
                    <w:left w:val="single" w:color="auto" w:sz="4" w:space="0"/>
                  </w:tcBorders>
                  <w:shd w:val="clear" w:color="auto" w:fill="auto"/>
                  <w:vAlign w:val="center"/>
                </w:tcPr>
                <w:p w14:paraId="6DD5D543">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0.0096</w:t>
                  </w:r>
                </w:p>
              </w:tc>
              <w:tc>
                <w:tcPr>
                  <w:tcW w:w="1567" w:type="dxa"/>
                  <w:vAlign w:val="center"/>
                </w:tcPr>
                <w:p w14:paraId="658911D0">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14:textFill>
                        <w14:solidFill>
                          <w14:schemeClr w14:val="tx1"/>
                        </w14:solidFill>
                      </w14:textFill>
                    </w:rPr>
                  </w:pPr>
                </w:p>
              </w:tc>
              <w:tc>
                <w:tcPr>
                  <w:tcW w:w="1229" w:type="dxa"/>
                  <w:vAlign w:val="center"/>
                </w:tcPr>
                <w:p w14:paraId="3BE7BF19">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0.0128</w:t>
                  </w:r>
                </w:p>
              </w:tc>
            </w:tr>
            <w:tr w14:paraId="44839B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continue"/>
                  <w:vAlign w:val="center"/>
                </w:tcPr>
                <w:p w14:paraId="54A47149">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359" w:type="dxa"/>
                  <w:shd w:val="clear" w:color="auto" w:fill="auto"/>
                  <w:vAlign w:val="center"/>
                </w:tcPr>
                <w:p w14:paraId="0D73B471">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小计</w:t>
                  </w:r>
                </w:p>
              </w:tc>
              <w:tc>
                <w:tcPr>
                  <w:tcW w:w="1270" w:type="dxa"/>
                  <w:tcBorders>
                    <w:right w:val="single" w:color="auto" w:sz="4" w:space="0"/>
                  </w:tcBorders>
                  <w:shd w:val="clear" w:color="auto" w:fill="auto"/>
                  <w:vAlign w:val="center"/>
                </w:tcPr>
                <w:p w14:paraId="2ADDFD63">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0.7409</w:t>
                  </w:r>
                </w:p>
              </w:tc>
              <w:tc>
                <w:tcPr>
                  <w:tcW w:w="987" w:type="dxa"/>
                  <w:tcBorders>
                    <w:left w:val="single" w:color="auto" w:sz="4" w:space="0"/>
                  </w:tcBorders>
                  <w:shd w:val="clear" w:color="auto" w:fill="auto"/>
                  <w:vAlign w:val="center"/>
                </w:tcPr>
                <w:p w14:paraId="5F0505FA">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0.0098</w:t>
                  </w:r>
                </w:p>
              </w:tc>
              <w:tc>
                <w:tcPr>
                  <w:tcW w:w="1567" w:type="dxa"/>
                  <w:shd w:val="clear" w:color="auto" w:fill="auto"/>
                  <w:vAlign w:val="center"/>
                </w:tcPr>
                <w:p w14:paraId="4F44991C">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0.0053</w:t>
                  </w:r>
                </w:p>
              </w:tc>
              <w:tc>
                <w:tcPr>
                  <w:tcW w:w="1229" w:type="dxa"/>
                  <w:shd w:val="clear" w:color="auto" w:fill="auto"/>
                  <w:vAlign w:val="center"/>
                </w:tcPr>
                <w:p w14:paraId="5D23E135">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0.7688</w:t>
                  </w:r>
                </w:p>
              </w:tc>
            </w:tr>
            <w:tr w14:paraId="15B53A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restart"/>
                  <w:vAlign w:val="center"/>
                </w:tcPr>
                <w:p w14:paraId="07F150E6">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临时占地</w:t>
                  </w:r>
                </w:p>
              </w:tc>
              <w:tc>
                <w:tcPr>
                  <w:tcW w:w="2359" w:type="dxa"/>
                  <w:vAlign w:val="center"/>
                </w:tcPr>
                <w:p w14:paraId="4FB94166">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施工营地</w:t>
                  </w:r>
                </w:p>
              </w:tc>
              <w:tc>
                <w:tcPr>
                  <w:tcW w:w="1270" w:type="dxa"/>
                  <w:tcBorders>
                    <w:right w:val="single" w:color="auto" w:sz="4" w:space="0"/>
                  </w:tcBorders>
                  <w:vAlign w:val="center"/>
                </w:tcPr>
                <w:p w14:paraId="110EC897">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0.3068</w:t>
                  </w:r>
                </w:p>
              </w:tc>
              <w:tc>
                <w:tcPr>
                  <w:tcW w:w="987" w:type="dxa"/>
                  <w:tcBorders>
                    <w:left w:val="single" w:color="auto" w:sz="4" w:space="0"/>
                  </w:tcBorders>
                  <w:vAlign w:val="center"/>
                </w:tcPr>
                <w:p w14:paraId="19EC2374">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w:t>
                  </w:r>
                </w:p>
              </w:tc>
              <w:tc>
                <w:tcPr>
                  <w:tcW w:w="1567" w:type="dxa"/>
                  <w:vAlign w:val="center"/>
                </w:tcPr>
                <w:p w14:paraId="3AD843FE">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w:t>
                  </w:r>
                </w:p>
              </w:tc>
              <w:tc>
                <w:tcPr>
                  <w:tcW w:w="1229" w:type="dxa"/>
                  <w:vAlign w:val="center"/>
                </w:tcPr>
                <w:p w14:paraId="417CE4EC">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0.3068</w:t>
                  </w:r>
                </w:p>
              </w:tc>
            </w:tr>
            <w:tr w14:paraId="7C4CEB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continue"/>
                  <w:vAlign w:val="center"/>
                </w:tcPr>
                <w:p w14:paraId="21F0E6B9">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14:textFill>
                        <w14:solidFill>
                          <w14:schemeClr w14:val="tx1"/>
                        </w14:solidFill>
                      </w14:textFill>
                    </w:rPr>
                  </w:pPr>
                </w:p>
              </w:tc>
              <w:tc>
                <w:tcPr>
                  <w:tcW w:w="2359" w:type="dxa"/>
                  <w:shd w:val="clear" w:color="auto" w:fill="auto"/>
                  <w:vAlign w:val="center"/>
                </w:tcPr>
                <w:p w14:paraId="3EBDEBE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站外供水、排水管线</w:t>
                  </w:r>
                </w:p>
              </w:tc>
              <w:tc>
                <w:tcPr>
                  <w:tcW w:w="1270" w:type="dxa"/>
                  <w:tcBorders>
                    <w:right w:val="single" w:color="auto" w:sz="4" w:space="0"/>
                  </w:tcBorders>
                  <w:vAlign w:val="center"/>
                </w:tcPr>
                <w:p w14:paraId="09889E0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0.0800</w:t>
                  </w:r>
                </w:p>
              </w:tc>
              <w:tc>
                <w:tcPr>
                  <w:tcW w:w="987" w:type="dxa"/>
                  <w:tcBorders>
                    <w:left w:val="single" w:color="auto" w:sz="4" w:space="0"/>
                  </w:tcBorders>
                  <w:vAlign w:val="center"/>
                </w:tcPr>
                <w:p w14:paraId="2DCD1FBC">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p>
              </w:tc>
              <w:tc>
                <w:tcPr>
                  <w:tcW w:w="1567" w:type="dxa"/>
                  <w:vAlign w:val="center"/>
                </w:tcPr>
                <w:p w14:paraId="1A790FF2">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p>
              </w:tc>
              <w:tc>
                <w:tcPr>
                  <w:tcW w:w="1229" w:type="dxa"/>
                  <w:vAlign w:val="center"/>
                </w:tcPr>
                <w:p w14:paraId="62E28AFE">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0.0800</w:t>
                  </w:r>
                </w:p>
              </w:tc>
            </w:tr>
            <w:tr w14:paraId="760C95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continue"/>
                  <w:vAlign w:val="center"/>
                </w:tcPr>
                <w:p w14:paraId="000318F1">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14:textFill>
                        <w14:solidFill>
                          <w14:schemeClr w14:val="tx1"/>
                        </w14:solidFill>
                      </w14:textFill>
                    </w:rPr>
                  </w:pPr>
                </w:p>
              </w:tc>
              <w:tc>
                <w:tcPr>
                  <w:tcW w:w="2359" w:type="dxa"/>
                  <w:shd w:val="clear" w:color="auto" w:fill="auto"/>
                  <w:vAlign w:val="center"/>
                </w:tcPr>
                <w:p w14:paraId="0E3D380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10千伏临时施工电源线路塔基扰动区域</w:t>
                  </w:r>
                </w:p>
              </w:tc>
              <w:tc>
                <w:tcPr>
                  <w:tcW w:w="1270" w:type="dxa"/>
                  <w:tcBorders>
                    <w:right w:val="single" w:color="auto" w:sz="4" w:space="0"/>
                  </w:tcBorders>
                  <w:vAlign w:val="center"/>
                </w:tcPr>
                <w:p w14:paraId="4879EC9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0.2000</w:t>
                  </w:r>
                </w:p>
              </w:tc>
              <w:tc>
                <w:tcPr>
                  <w:tcW w:w="987" w:type="dxa"/>
                  <w:tcBorders>
                    <w:left w:val="single" w:color="auto" w:sz="4" w:space="0"/>
                  </w:tcBorders>
                  <w:vAlign w:val="center"/>
                </w:tcPr>
                <w:p w14:paraId="55D395B1">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p>
              </w:tc>
              <w:tc>
                <w:tcPr>
                  <w:tcW w:w="1567" w:type="dxa"/>
                  <w:vAlign w:val="center"/>
                </w:tcPr>
                <w:p w14:paraId="0CA8EC76">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p>
              </w:tc>
              <w:tc>
                <w:tcPr>
                  <w:tcW w:w="1229" w:type="dxa"/>
                  <w:vAlign w:val="center"/>
                </w:tcPr>
                <w:p w14:paraId="0E5BA78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0.2000</w:t>
                  </w:r>
                </w:p>
              </w:tc>
            </w:tr>
            <w:tr w14:paraId="268666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04" w:type="dxa"/>
                  <w:vMerge w:val="continue"/>
                  <w:vAlign w:val="center"/>
                </w:tcPr>
                <w:p w14:paraId="2D818AFC">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359" w:type="dxa"/>
                  <w:vAlign w:val="center"/>
                </w:tcPr>
                <w:p w14:paraId="0BB96398">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塔基临时</w:t>
                  </w:r>
                  <w:r>
                    <w:rPr>
                      <w:rFonts w:hint="eastAsia" w:ascii="Times New Roman" w:hAnsi="Times New Roman" w:eastAsia="宋体"/>
                      <w:color w:val="000000" w:themeColor="text1"/>
                      <w:spacing w:val="0"/>
                      <w:sz w:val="21"/>
                      <w:szCs w:val="21"/>
                      <w:highlight w:val="none"/>
                      <w14:textFill>
                        <w14:solidFill>
                          <w14:schemeClr w14:val="tx1"/>
                        </w14:solidFill>
                      </w14:textFill>
                    </w:rPr>
                    <w:t>施工</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区域</w:t>
                  </w:r>
                </w:p>
              </w:tc>
              <w:tc>
                <w:tcPr>
                  <w:tcW w:w="1270" w:type="dxa"/>
                  <w:tcBorders>
                    <w:right w:val="single" w:color="auto" w:sz="4" w:space="0"/>
                  </w:tcBorders>
                  <w:vAlign w:val="center"/>
                </w:tcPr>
                <w:p w14:paraId="48DA37BA">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1.2600</w:t>
                  </w:r>
                </w:p>
              </w:tc>
              <w:tc>
                <w:tcPr>
                  <w:tcW w:w="987" w:type="dxa"/>
                  <w:tcBorders>
                    <w:left w:val="single" w:color="auto" w:sz="4" w:space="0"/>
                  </w:tcBorders>
                  <w:vAlign w:val="center"/>
                </w:tcPr>
                <w:p w14:paraId="0D21DEC2">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0.3000</w:t>
                  </w:r>
                </w:p>
              </w:tc>
              <w:tc>
                <w:tcPr>
                  <w:tcW w:w="1567" w:type="dxa"/>
                  <w:vAlign w:val="center"/>
                </w:tcPr>
                <w:p w14:paraId="5E560EE6">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w:t>
                  </w:r>
                </w:p>
              </w:tc>
              <w:tc>
                <w:tcPr>
                  <w:tcW w:w="1229" w:type="dxa"/>
                  <w:vAlign w:val="center"/>
                </w:tcPr>
                <w:p w14:paraId="48B9A74E">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1.5600</w:t>
                  </w:r>
                </w:p>
              </w:tc>
            </w:tr>
            <w:tr w14:paraId="3D404B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804" w:type="dxa"/>
                  <w:vMerge w:val="continue"/>
                  <w:vAlign w:val="center"/>
                </w:tcPr>
                <w:p w14:paraId="650DA7C0">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359" w:type="dxa"/>
                  <w:vAlign w:val="center"/>
                </w:tcPr>
                <w:p w14:paraId="4EFA9D72">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地下电缆临时占地</w:t>
                  </w:r>
                </w:p>
              </w:tc>
              <w:tc>
                <w:tcPr>
                  <w:tcW w:w="1270" w:type="dxa"/>
                  <w:tcBorders>
                    <w:right w:val="single" w:color="auto" w:sz="4" w:space="0"/>
                  </w:tcBorders>
                  <w:vAlign w:val="center"/>
                </w:tcPr>
                <w:p w14:paraId="33CA79EC">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0.0200</w:t>
                  </w:r>
                </w:p>
              </w:tc>
              <w:tc>
                <w:tcPr>
                  <w:tcW w:w="987" w:type="dxa"/>
                  <w:tcBorders>
                    <w:left w:val="single" w:color="auto" w:sz="4" w:space="0"/>
                  </w:tcBorders>
                  <w:vAlign w:val="center"/>
                </w:tcPr>
                <w:p w14:paraId="1C98D573">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0.0600</w:t>
                  </w:r>
                </w:p>
              </w:tc>
              <w:tc>
                <w:tcPr>
                  <w:tcW w:w="1567" w:type="dxa"/>
                  <w:vAlign w:val="center"/>
                </w:tcPr>
                <w:p w14:paraId="725E6A7D">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w:t>
                  </w:r>
                </w:p>
              </w:tc>
              <w:tc>
                <w:tcPr>
                  <w:tcW w:w="1229" w:type="dxa"/>
                  <w:vAlign w:val="center"/>
                </w:tcPr>
                <w:p w14:paraId="041181F2">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0.0800</w:t>
                  </w:r>
                </w:p>
              </w:tc>
            </w:tr>
            <w:tr w14:paraId="7C6A76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continue"/>
                  <w:vAlign w:val="center"/>
                </w:tcPr>
                <w:p w14:paraId="769A8580">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359" w:type="dxa"/>
                  <w:vAlign w:val="center"/>
                </w:tcPr>
                <w:p w14:paraId="33C194DB">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牵张场</w:t>
                  </w:r>
                </w:p>
              </w:tc>
              <w:tc>
                <w:tcPr>
                  <w:tcW w:w="1270" w:type="dxa"/>
                  <w:tcBorders>
                    <w:right w:val="single" w:color="auto" w:sz="4" w:space="0"/>
                  </w:tcBorders>
                  <w:vAlign w:val="center"/>
                </w:tcPr>
                <w:p w14:paraId="0851579A">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0.3600</w:t>
                  </w:r>
                </w:p>
              </w:tc>
              <w:tc>
                <w:tcPr>
                  <w:tcW w:w="987" w:type="dxa"/>
                  <w:tcBorders>
                    <w:left w:val="single" w:color="auto" w:sz="4" w:space="0"/>
                  </w:tcBorders>
                  <w:vAlign w:val="center"/>
                </w:tcPr>
                <w:p w14:paraId="3695ABC1">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w:t>
                  </w:r>
                </w:p>
              </w:tc>
              <w:tc>
                <w:tcPr>
                  <w:tcW w:w="1567" w:type="dxa"/>
                  <w:vAlign w:val="center"/>
                </w:tcPr>
                <w:p w14:paraId="227261E7">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w:t>
                  </w:r>
                </w:p>
              </w:tc>
              <w:tc>
                <w:tcPr>
                  <w:tcW w:w="1229" w:type="dxa"/>
                  <w:vAlign w:val="center"/>
                </w:tcPr>
                <w:p w14:paraId="4B5B23B8">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0.3600</w:t>
                  </w:r>
                </w:p>
              </w:tc>
            </w:tr>
            <w:tr w14:paraId="22E0D4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continue"/>
                  <w:vAlign w:val="center"/>
                </w:tcPr>
                <w:p w14:paraId="1F0DCE69">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359" w:type="dxa"/>
                  <w:vAlign w:val="center"/>
                </w:tcPr>
                <w:p w14:paraId="53D36F93">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跨越场</w:t>
                  </w:r>
                </w:p>
              </w:tc>
              <w:tc>
                <w:tcPr>
                  <w:tcW w:w="1270" w:type="dxa"/>
                  <w:tcBorders>
                    <w:right w:val="single" w:color="auto" w:sz="4" w:space="0"/>
                  </w:tcBorders>
                  <w:vAlign w:val="center"/>
                </w:tcPr>
                <w:p w14:paraId="3170BAA9">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0.1400</w:t>
                  </w:r>
                </w:p>
              </w:tc>
              <w:tc>
                <w:tcPr>
                  <w:tcW w:w="987" w:type="dxa"/>
                  <w:tcBorders>
                    <w:left w:val="single" w:color="auto" w:sz="4" w:space="0"/>
                  </w:tcBorders>
                  <w:vAlign w:val="center"/>
                </w:tcPr>
                <w:p w14:paraId="2D39C24F">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w:t>
                  </w:r>
                </w:p>
              </w:tc>
              <w:tc>
                <w:tcPr>
                  <w:tcW w:w="1567" w:type="dxa"/>
                  <w:vAlign w:val="center"/>
                </w:tcPr>
                <w:p w14:paraId="08F42518">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0.0600</w:t>
                  </w:r>
                </w:p>
              </w:tc>
              <w:tc>
                <w:tcPr>
                  <w:tcW w:w="1229" w:type="dxa"/>
                  <w:vAlign w:val="center"/>
                </w:tcPr>
                <w:p w14:paraId="3C6B3509">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0.2000</w:t>
                  </w:r>
                </w:p>
              </w:tc>
            </w:tr>
            <w:tr w14:paraId="79FAF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continue"/>
                  <w:vAlign w:val="center"/>
                </w:tcPr>
                <w:p w14:paraId="3EF03ECC">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359" w:type="dxa"/>
                  <w:vAlign w:val="center"/>
                </w:tcPr>
                <w:p w14:paraId="7D5124D6">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施工便道</w:t>
                  </w:r>
                </w:p>
              </w:tc>
              <w:tc>
                <w:tcPr>
                  <w:tcW w:w="1270" w:type="dxa"/>
                  <w:tcBorders>
                    <w:right w:val="single" w:color="auto" w:sz="4" w:space="0"/>
                  </w:tcBorders>
                  <w:vAlign w:val="center"/>
                </w:tcPr>
                <w:p w14:paraId="2CFF1C81">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0.4000</w:t>
                  </w:r>
                </w:p>
              </w:tc>
              <w:tc>
                <w:tcPr>
                  <w:tcW w:w="987" w:type="dxa"/>
                  <w:tcBorders>
                    <w:left w:val="single" w:color="auto" w:sz="4" w:space="0"/>
                  </w:tcBorders>
                  <w:vAlign w:val="center"/>
                </w:tcPr>
                <w:p w14:paraId="4845703F">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0.0050</w:t>
                  </w:r>
                </w:p>
              </w:tc>
              <w:tc>
                <w:tcPr>
                  <w:tcW w:w="1567" w:type="dxa"/>
                  <w:vAlign w:val="center"/>
                </w:tcPr>
                <w:p w14:paraId="4C15C387">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0.2950</w:t>
                  </w:r>
                </w:p>
              </w:tc>
              <w:tc>
                <w:tcPr>
                  <w:tcW w:w="1229" w:type="dxa"/>
                  <w:vAlign w:val="center"/>
                </w:tcPr>
                <w:p w14:paraId="3C122451">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0.7000</w:t>
                  </w:r>
                </w:p>
              </w:tc>
            </w:tr>
            <w:tr w14:paraId="1D917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804" w:type="dxa"/>
                  <w:vMerge w:val="continue"/>
                  <w:vAlign w:val="center"/>
                </w:tcPr>
                <w:p w14:paraId="2C48F6FB">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359" w:type="dxa"/>
                  <w:vAlign w:val="center"/>
                </w:tcPr>
                <w:p w14:paraId="0637B75B">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小计</w:t>
                  </w:r>
                </w:p>
              </w:tc>
              <w:tc>
                <w:tcPr>
                  <w:tcW w:w="1270" w:type="dxa"/>
                  <w:tcBorders>
                    <w:right w:val="single" w:color="auto" w:sz="4" w:space="0"/>
                  </w:tcBorders>
                  <w:shd w:val="clear" w:color="auto" w:fill="auto"/>
                  <w:vAlign w:val="center"/>
                </w:tcPr>
                <w:p w14:paraId="2281CC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2.7668</w:t>
                  </w:r>
                </w:p>
              </w:tc>
              <w:tc>
                <w:tcPr>
                  <w:tcW w:w="987" w:type="dxa"/>
                  <w:tcBorders>
                    <w:left w:val="single" w:color="auto" w:sz="4" w:space="0"/>
                  </w:tcBorders>
                  <w:shd w:val="clear" w:color="auto" w:fill="auto"/>
                  <w:vAlign w:val="center"/>
                </w:tcPr>
                <w:p w14:paraId="51D4A5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0.365</w:t>
                  </w:r>
                </w:p>
              </w:tc>
              <w:tc>
                <w:tcPr>
                  <w:tcW w:w="1567" w:type="dxa"/>
                  <w:shd w:val="clear" w:color="auto" w:fill="auto"/>
                  <w:vAlign w:val="center"/>
                </w:tcPr>
                <w:p w14:paraId="559704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0.355</w:t>
                  </w:r>
                </w:p>
              </w:tc>
              <w:tc>
                <w:tcPr>
                  <w:tcW w:w="1229" w:type="dxa"/>
                  <w:shd w:val="clear" w:color="auto" w:fill="auto"/>
                  <w:vAlign w:val="center"/>
                </w:tcPr>
                <w:p w14:paraId="1E652B1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3.4868</w:t>
                  </w:r>
                </w:p>
              </w:tc>
            </w:tr>
            <w:tr w14:paraId="15E50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3163" w:type="dxa"/>
                  <w:gridSpan w:val="2"/>
                  <w:vAlign w:val="center"/>
                </w:tcPr>
                <w:p w14:paraId="7161149B">
                  <w:pPr>
                    <w:keepNext w:val="0"/>
                    <w:keepLines w:val="0"/>
                    <w:pageBreakBefore w:val="0"/>
                    <w:kinsoku/>
                    <w:wordWrap/>
                    <w:overflowPunct/>
                    <w:topLinePunct w:val="0"/>
                    <w:autoSpaceDE/>
                    <w:autoSpaceDN/>
                    <w:bidi w:val="0"/>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总计</w:t>
                  </w:r>
                </w:p>
              </w:tc>
              <w:tc>
                <w:tcPr>
                  <w:tcW w:w="1270" w:type="dxa"/>
                  <w:tcBorders>
                    <w:right w:val="single" w:color="auto" w:sz="4" w:space="0"/>
                  </w:tcBorders>
                  <w:shd w:val="clear" w:color="auto" w:fill="auto"/>
                  <w:vAlign w:val="center"/>
                </w:tcPr>
                <w:p w14:paraId="346078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3.5077</w:t>
                  </w:r>
                </w:p>
              </w:tc>
              <w:tc>
                <w:tcPr>
                  <w:tcW w:w="987" w:type="dxa"/>
                  <w:tcBorders>
                    <w:left w:val="single" w:color="auto" w:sz="4" w:space="0"/>
                  </w:tcBorders>
                  <w:shd w:val="clear" w:color="auto" w:fill="auto"/>
                  <w:vAlign w:val="center"/>
                </w:tcPr>
                <w:p w14:paraId="06287F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0.3748</w:t>
                  </w:r>
                </w:p>
              </w:tc>
              <w:tc>
                <w:tcPr>
                  <w:tcW w:w="1567" w:type="dxa"/>
                  <w:shd w:val="clear" w:color="auto" w:fill="auto"/>
                  <w:vAlign w:val="center"/>
                </w:tcPr>
                <w:p w14:paraId="0C4A35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0.3603</w:t>
                  </w:r>
                </w:p>
              </w:tc>
              <w:tc>
                <w:tcPr>
                  <w:tcW w:w="1229" w:type="dxa"/>
                  <w:shd w:val="clear" w:color="auto" w:fill="auto"/>
                  <w:vAlign w:val="center"/>
                </w:tcPr>
                <w:p w14:paraId="1FB3F0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4.2556</w:t>
                  </w:r>
                </w:p>
              </w:tc>
            </w:tr>
          </w:tbl>
          <w:p w14:paraId="6F1BBCF2">
            <w:pPr>
              <w:spacing w:line="360" w:lineRule="auto"/>
              <w:ind w:firstLine="482" w:firstLineChars="200"/>
              <w:outlineLvl w:val="9"/>
              <w:rPr>
                <w:rFonts w:ascii="Times New Roman" w:hAnsi="Times New Roman" w:eastAsia="宋体"/>
                <w:b/>
                <w:color w:val="000000" w:themeColor="text1"/>
                <w:spacing w:val="0"/>
                <w:sz w:val="24"/>
                <w:highlight w:val="none"/>
                <w14:textFill>
                  <w14:solidFill>
                    <w14:schemeClr w14:val="tx1"/>
                  </w14:solidFill>
                </w14:textFill>
              </w:rPr>
            </w:pP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8</w:t>
            </w:r>
            <w:r>
              <w:rPr>
                <w:rFonts w:hint="eastAsia" w:ascii="Times New Roman" w:hAnsi="Times New Roman" w:eastAsia="宋体"/>
                <w:b/>
                <w:color w:val="000000" w:themeColor="text1"/>
                <w:spacing w:val="0"/>
                <w:sz w:val="24"/>
                <w:highlight w:val="none"/>
                <w14:textFill>
                  <w14:solidFill>
                    <w14:schemeClr w14:val="tx1"/>
                  </w14:solidFill>
                </w14:textFill>
              </w:rPr>
              <w:t>、项目土石方</w:t>
            </w:r>
          </w:p>
          <w:p w14:paraId="162C89E6">
            <w:pPr>
              <w:spacing w:line="360" w:lineRule="auto"/>
              <w:ind w:firstLine="480" w:firstLineChars="200"/>
              <w:outlineLvl w:val="9"/>
              <w:rPr>
                <w:rFonts w:ascii="Times New Roman" w:hAnsi="Times New Roman" w:eastAsia="宋体"/>
                <w:b/>
                <w:color w:val="000000" w:themeColor="text1"/>
                <w:spacing w:val="0"/>
                <w:sz w:val="24"/>
                <w:highlight w:val="none"/>
                <w14:textFill>
                  <w14:solidFill>
                    <w14:schemeClr w14:val="tx1"/>
                  </w14:solidFill>
                </w14:textFill>
              </w:rPr>
            </w:pPr>
            <w:r>
              <w:rPr>
                <w:rFonts w:hint="eastAsia" w:ascii="Times New Roman" w:hAnsi="Times New Roman" w:eastAsia="宋体"/>
                <w:bCs/>
                <w:color w:val="000000" w:themeColor="text1"/>
                <w:spacing w:val="0"/>
                <w:sz w:val="24"/>
                <w:highlight w:val="none"/>
                <w14:textFill>
                  <w14:solidFill>
                    <w14:schemeClr w14:val="tx1"/>
                  </w14:solidFill>
                </w14:textFill>
              </w:rPr>
              <w:t>本</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项目</w:t>
            </w:r>
            <w:r>
              <w:rPr>
                <w:rFonts w:hint="eastAsia" w:ascii="Times New Roman" w:hAnsi="Times New Roman" w:eastAsia="宋体"/>
                <w:bCs/>
                <w:color w:val="000000" w:themeColor="text1"/>
                <w:spacing w:val="0"/>
                <w:sz w:val="24"/>
                <w:highlight w:val="none"/>
                <w14:textFill>
                  <w14:solidFill>
                    <w14:schemeClr w14:val="tx1"/>
                  </w14:solidFill>
                </w14:textFill>
              </w:rPr>
              <w:t>建设期土石方挖方总量</w:t>
            </w:r>
            <w:r>
              <w:rPr>
                <w:rFonts w:hint="eastAsia"/>
                <w:bCs/>
                <w:color w:val="000000" w:themeColor="text1"/>
                <w:spacing w:val="0"/>
                <w:sz w:val="24"/>
                <w:highlight w:val="none"/>
                <w:lang w:val="en-US" w:eastAsia="zh-CN"/>
                <w14:textFill>
                  <w14:solidFill>
                    <w14:schemeClr w14:val="tx1"/>
                  </w14:solidFill>
                </w14:textFill>
              </w:rPr>
              <w:t>12166</w:t>
            </w:r>
            <w:r>
              <w:rPr>
                <w:rFonts w:hint="eastAsia" w:ascii="Times New Roman" w:hAnsi="Times New Roman" w:eastAsia="宋体"/>
                <w:bCs/>
                <w:color w:val="000000" w:themeColor="text1"/>
                <w:spacing w:val="0"/>
                <w:sz w:val="24"/>
                <w:highlight w:val="none"/>
                <w14:textFill>
                  <w14:solidFill>
                    <w14:schemeClr w14:val="tx1"/>
                  </w14:solidFill>
                </w14:textFill>
              </w:rPr>
              <w:t>m</w:t>
            </w:r>
            <w:r>
              <w:rPr>
                <w:rFonts w:hint="eastAsia" w:ascii="Times New Roman" w:hAnsi="Times New Roman" w:eastAsia="宋体"/>
                <w:bCs/>
                <w:color w:val="000000" w:themeColor="text1"/>
                <w:spacing w:val="0"/>
                <w:sz w:val="24"/>
                <w:highlight w:val="none"/>
                <w:vertAlign w:val="superscript"/>
                <w14:textFill>
                  <w14:solidFill>
                    <w14:schemeClr w14:val="tx1"/>
                  </w14:solidFill>
                </w14:textFill>
              </w:rPr>
              <w:t>3</w:t>
            </w:r>
            <w:r>
              <w:rPr>
                <w:rFonts w:hint="eastAsia" w:ascii="Times New Roman" w:hAnsi="Times New Roman" w:eastAsia="宋体"/>
                <w:bCs/>
                <w:color w:val="000000" w:themeColor="text1"/>
                <w:spacing w:val="0"/>
                <w:sz w:val="24"/>
                <w:highlight w:val="none"/>
                <w14:textFill>
                  <w14:solidFill>
                    <w14:schemeClr w14:val="tx1"/>
                  </w14:solidFill>
                </w14:textFill>
              </w:rPr>
              <w:t>，填方总量</w:t>
            </w:r>
            <w:r>
              <w:rPr>
                <w:rFonts w:hint="eastAsia"/>
                <w:bCs/>
                <w:color w:val="000000" w:themeColor="text1"/>
                <w:spacing w:val="0"/>
                <w:sz w:val="24"/>
                <w:highlight w:val="none"/>
                <w:lang w:val="en-US" w:eastAsia="zh-CN"/>
                <w14:textFill>
                  <w14:solidFill>
                    <w14:schemeClr w14:val="tx1"/>
                  </w14:solidFill>
                </w14:textFill>
              </w:rPr>
              <w:t>12166</w:t>
            </w:r>
            <w:r>
              <w:rPr>
                <w:rFonts w:hint="eastAsia" w:ascii="Times New Roman" w:hAnsi="Times New Roman" w:eastAsia="宋体"/>
                <w:bCs/>
                <w:color w:val="000000" w:themeColor="text1"/>
                <w:spacing w:val="0"/>
                <w:sz w:val="24"/>
                <w:highlight w:val="none"/>
                <w14:textFill>
                  <w14:solidFill>
                    <w14:schemeClr w14:val="tx1"/>
                  </w14:solidFill>
                </w14:textFill>
              </w:rPr>
              <w:t>m</w:t>
            </w:r>
            <w:r>
              <w:rPr>
                <w:rFonts w:hint="eastAsia" w:ascii="Times New Roman" w:hAnsi="Times New Roman" w:eastAsia="宋体"/>
                <w:bCs/>
                <w:color w:val="000000" w:themeColor="text1"/>
                <w:spacing w:val="0"/>
                <w:sz w:val="24"/>
                <w:highlight w:val="none"/>
                <w:vertAlign w:val="superscript"/>
                <w14:textFill>
                  <w14:solidFill>
                    <w14:schemeClr w14:val="tx1"/>
                  </w14:solidFill>
                </w14:textFill>
              </w:rPr>
              <w:t>3</w:t>
            </w:r>
            <w:r>
              <w:rPr>
                <w:rFonts w:hint="eastAsia" w:ascii="Times New Roman" w:hAnsi="Times New Roman" w:eastAsia="宋体"/>
                <w:bCs/>
                <w:color w:val="000000" w:themeColor="text1"/>
                <w:spacing w:val="0"/>
                <w:sz w:val="24"/>
                <w:highlight w:val="none"/>
                <w:lang w:eastAsia="zh-CN"/>
                <w14:textFill>
                  <w14:solidFill>
                    <w14:schemeClr w14:val="tx1"/>
                  </w14:solidFill>
                </w14:textFill>
              </w:rPr>
              <w:t>。</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站区剥离的表层土用于施工营地等临时占地恢复使用，</w:t>
            </w:r>
            <w:r>
              <w:rPr>
                <w:rFonts w:hint="eastAsia"/>
                <w:bCs/>
                <w:color w:val="000000" w:themeColor="text1"/>
                <w:spacing w:val="0"/>
                <w:sz w:val="24"/>
                <w:highlight w:val="none"/>
                <w:lang w:val="en-US" w:eastAsia="zh-CN"/>
                <w14:textFill>
                  <w14:solidFill>
                    <w14:schemeClr w14:val="tx1"/>
                  </w14:solidFill>
                </w14:textFill>
              </w:rPr>
              <w:t>跨越架采取地表隔离方式不进行表土剥离。项目挖填平衡，</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无弃土产生。</w:t>
            </w:r>
            <w:r>
              <w:rPr>
                <w:rFonts w:hint="eastAsia"/>
                <w:bCs/>
                <w:color w:val="000000" w:themeColor="text1"/>
                <w:spacing w:val="0"/>
                <w:sz w:val="24"/>
                <w:highlight w:val="none"/>
                <w:lang w:val="en-US" w:eastAsia="zh-CN"/>
                <w14:textFill>
                  <w14:solidFill>
                    <w14:schemeClr w14:val="tx1"/>
                  </w14:solidFill>
                </w14:textFill>
              </w:rPr>
              <w:t>项目不设置取、弃土场。</w:t>
            </w:r>
            <w:r>
              <w:rPr>
                <w:rFonts w:hint="eastAsia" w:ascii="Times New Roman" w:hAnsi="Times New Roman" w:eastAsia="宋体"/>
                <w:bCs/>
                <w:color w:val="000000" w:themeColor="text1"/>
                <w:spacing w:val="0"/>
                <w:sz w:val="24"/>
                <w:highlight w:val="none"/>
                <w14:textFill>
                  <w14:solidFill>
                    <w14:schemeClr w14:val="tx1"/>
                  </w14:solidFill>
                </w14:textFill>
              </w:rPr>
              <w:t>本项目土石方平衡情况见表2-</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6</w:t>
            </w:r>
            <w:r>
              <w:rPr>
                <w:rFonts w:hint="eastAsia" w:ascii="Times New Roman" w:hAnsi="Times New Roman" w:eastAsia="宋体"/>
                <w:bCs/>
                <w:color w:val="000000" w:themeColor="text1"/>
                <w:spacing w:val="0"/>
                <w:sz w:val="24"/>
                <w:highlight w:val="none"/>
                <w14:textFill>
                  <w14:solidFill>
                    <w14:schemeClr w14:val="tx1"/>
                  </w14:solidFill>
                </w14:textFill>
              </w:rPr>
              <w:t>。</w:t>
            </w:r>
          </w:p>
          <w:p w14:paraId="45B30B4E">
            <w:pPr>
              <w:spacing w:line="360" w:lineRule="auto"/>
              <w:jc w:val="right"/>
              <w:outlineLvl w:val="9"/>
              <w:rPr>
                <w:rFonts w:ascii="Times New Roman" w:hAnsi="Times New Roman" w:eastAsia="宋体"/>
                <w:bCs/>
                <w:color w:val="000000" w:themeColor="text1"/>
                <w:spacing w:val="0"/>
                <w:sz w:val="24"/>
                <w:highlight w:val="none"/>
                <w:vertAlign w:val="superscript"/>
                <w14:textFill>
                  <w14:solidFill>
                    <w14:schemeClr w14:val="tx1"/>
                  </w14:solidFill>
                </w14:textFill>
              </w:rPr>
            </w:pP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 xml:space="preserve">      </w:t>
            </w:r>
            <w:r>
              <w:rPr>
                <w:rFonts w:ascii="Times New Roman" w:hAnsi="Times New Roman" w:eastAsia="宋体"/>
                <w:b/>
                <w:color w:val="000000" w:themeColor="text1"/>
                <w:spacing w:val="0"/>
                <w:sz w:val="24"/>
                <w:highlight w:val="none"/>
                <w14:textFill>
                  <w14:solidFill>
                    <w14:schemeClr w14:val="tx1"/>
                  </w14:solidFill>
                </w14:textFill>
              </w:rPr>
              <w:t>表2-</w:t>
            </w: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6</w:t>
            </w:r>
            <w:r>
              <w:rPr>
                <w:rFonts w:ascii="Times New Roman" w:hAnsi="Times New Roman" w:eastAsia="宋体"/>
                <w:b/>
                <w:color w:val="000000" w:themeColor="text1"/>
                <w:spacing w:val="0"/>
                <w:sz w:val="24"/>
                <w:highlight w:val="none"/>
                <w14:textFill>
                  <w14:solidFill>
                    <w14:schemeClr w14:val="tx1"/>
                  </w14:solidFill>
                </w14:textFill>
              </w:rPr>
              <w:t xml:space="preserve">  本项目</w:t>
            </w:r>
            <w:r>
              <w:rPr>
                <w:rFonts w:hint="eastAsia" w:ascii="Times New Roman" w:hAnsi="Times New Roman" w:eastAsia="宋体"/>
                <w:b/>
                <w:color w:val="000000" w:themeColor="text1"/>
                <w:spacing w:val="0"/>
                <w:sz w:val="24"/>
                <w:highlight w:val="none"/>
                <w14:textFill>
                  <w14:solidFill>
                    <w14:schemeClr w14:val="tx1"/>
                  </w14:solidFill>
                </w14:textFill>
              </w:rPr>
              <w:t>土石方平衡</w:t>
            </w:r>
            <w:r>
              <w:rPr>
                <w:rFonts w:ascii="Times New Roman" w:hAnsi="Times New Roman" w:eastAsia="宋体"/>
                <w:b/>
                <w:color w:val="000000" w:themeColor="text1"/>
                <w:spacing w:val="0"/>
                <w:sz w:val="24"/>
                <w:highlight w:val="none"/>
                <w14:textFill>
                  <w14:solidFill>
                    <w14:schemeClr w14:val="tx1"/>
                  </w14:solidFill>
                </w14:textFill>
              </w:rPr>
              <w:t xml:space="preserve">情况一览表          </w:t>
            </w:r>
            <w:r>
              <w:rPr>
                <w:rFonts w:ascii="Times New Roman" w:hAnsi="Times New Roman" w:eastAsia="宋体"/>
                <w:bCs/>
                <w:color w:val="000000" w:themeColor="text1"/>
                <w:spacing w:val="0"/>
                <w:sz w:val="24"/>
                <w:highlight w:val="none"/>
                <w14:textFill>
                  <w14:solidFill>
                    <w14:schemeClr w14:val="tx1"/>
                  </w14:solidFill>
                </w14:textFill>
              </w:rPr>
              <w:t>单位：m</w:t>
            </w:r>
            <w:r>
              <w:rPr>
                <w:rFonts w:hint="eastAsia" w:ascii="Times New Roman" w:hAnsi="Times New Roman" w:eastAsia="宋体"/>
                <w:bCs/>
                <w:color w:val="000000" w:themeColor="text1"/>
                <w:spacing w:val="0"/>
                <w:sz w:val="24"/>
                <w:highlight w:val="none"/>
                <w:vertAlign w:val="superscript"/>
                <w14:textFill>
                  <w14:solidFill>
                    <w14:schemeClr w14:val="tx1"/>
                  </w14:solidFill>
                </w14:textFill>
              </w:rPr>
              <w:t>3</w:t>
            </w:r>
          </w:p>
          <w:tbl>
            <w:tblPr>
              <w:tblStyle w:val="26"/>
              <w:tblW w:w="83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45"/>
              <w:gridCol w:w="2477"/>
              <w:gridCol w:w="1446"/>
              <w:gridCol w:w="1266"/>
              <w:gridCol w:w="1074"/>
              <w:gridCol w:w="1050"/>
            </w:tblGrid>
            <w:tr w14:paraId="081362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22" w:type="dxa"/>
                  <w:gridSpan w:val="2"/>
                  <w:tcBorders>
                    <w:tl2br w:val="nil"/>
                    <w:tr2bl w:val="nil"/>
                  </w:tcBorders>
                  <w:vAlign w:val="center"/>
                </w:tcPr>
                <w:p w14:paraId="349F7B5C">
                  <w:pPr>
                    <w:spacing w:line="240" w:lineRule="atLeast"/>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hint="eastAsia" w:ascii="Times New Roman" w:hAnsi="Times New Roman" w:eastAsia="宋体"/>
                      <w:b/>
                      <w:bCs/>
                      <w:color w:val="000000" w:themeColor="text1"/>
                      <w:spacing w:val="0"/>
                      <w:szCs w:val="21"/>
                      <w:highlight w:val="none"/>
                      <w14:textFill>
                        <w14:solidFill>
                          <w14:schemeClr w14:val="tx1"/>
                        </w14:solidFill>
                      </w14:textFill>
                    </w:rPr>
                    <w:t>项目分区</w:t>
                  </w:r>
                </w:p>
              </w:tc>
              <w:tc>
                <w:tcPr>
                  <w:tcW w:w="1446" w:type="dxa"/>
                  <w:tcBorders>
                    <w:tl2br w:val="nil"/>
                    <w:tr2bl w:val="nil"/>
                  </w:tcBorders>
                  <w:vAlign w:val="center"/>
                </w:tcPr>
                <w:p w14:paraId="654C3590">
                  <w:pPr>
                    <w:spacing w:line="240" w:lineRule="atLeast"/>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hint="eastAsia" w:ascii="Times New Roman" w:hAnsi="Times New Roman" w:eastAsia="宋体"/>
                      <w:b/>
                      <w:bCs/>
                      <w:color w:val="000000" w:themeColor="text1"/>
                      <w:spacing w:val="0"/>
                      <w:szCs w:val="21"/>
                      <w:highlight w:val="none"/>
                      <w14:textFill>
                        <w14:solidFill>
                          <w14:schemeClr w14:val="tx1"/>
                        </w14:solidFill>
                      </w14:textFill>
                    </w:rPr>
                    <w:t>挖方</w:t>
                  </w:r>
                </w:p>
              </w:tc>
              <w:tc>
                <w:tcPr>
                  <w:tcW w:w="1266" w:type="dxa"/>
                  <w:tcBorders>
                    <w:tl2br w:val="nil"/>
                    <w:tr2bl w:val="nil"/>
                  </w:tcBorders>
                  <w:vAlign w:val="center"/>
                </w:tcPr>
                <w:p w14:paraId="37AFC30C">
                  <w:pPr>
                    <w:spacing w:line="240" w:lineRule="atLeast"/>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hint="eastAsia" w:ascii="Times New Roman" w:hAnsi="Times New Roman" w:eastAsia="宋体"/>
                      <w:b/>
                      <w:bCs/>
                      <w:color w:val="000000" w:themeColor="text1"/>
                      <w:spacing w:val="0"/>
                      <w:szCs w:val="21"/>
                      <w:highlight w:val="none"/>
                      <w14:textFill>
                        <w14:solidFill>
                          <w14:schemeClr w14:val="tx1"/>
                        </w14:solidFill>
                      </w14:textFill>
                    </w:rPr>
                    <w:t>填方</w:t>
                  </w:r>
                </w:p>
              </w:tc>
              <w:tc>
                <w:tcPr>
                  <w:tcW w:w="1074" w:type="dxa"/>
                  <w:tcBorders>
                    <w:tl2br w:val="nil"/>
                    <w:tr2bl w:val="nil"/>
                  </w:tcBorders>
                  <w:shd w:val="clear" w:color="auto" w:fill="auto"/>
                  <w:vAlign w:val="center"/>
                </w:tcPr>
                <w:p w14:paraId="6CDA6A8A">
                  <w:pPr>
                    <w:spacing w:line="240" w:lineRule="atLeast"/>
                    <w:jc w:val="center"/>
                    <w:outlineLvl w:val="9"/>
                    <w:rPr>
                      <w:rFonts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b/>
                      <w:bCs/>
                      <w:color w:val="000000" w:themeColor="text1"/>
                      <w:spacing w:val="0"/>
                      <w:szCs w:val="21"/>
                      <w:highlight w:val="none"/>
                      <w14:textFill>
                        <w14:solidFill>
                          <w14:schemeClr w14:val="tx1"/>
                        </w14:solidFill>
                      </w14:textFill>
                    </w:rPr>
                    <w:t>调入</w:t>
                  </w:r>
                </w:p>
              </w:tc>
              <w:tc>
                <w:tcPr>
                  <w:tcW w:w="1050" w:type="dxa"/>
                  <w:tcBorders>
                    <w:tl2br w:val="nil"/>
                    <w:tr2bl w:val="nil"/>
                  </w:tcBorders>
                  <w:shd w:val="clear" w:color="auto" w:fill="auto"/>
                  <w:vAlign w:val="center"/>
                </w:tcPr>
                <w:p w14:paraId="3D2A2B5A">
                  <w:pPr>
                    <w:spacing w:line="240" w:lineRule="atLeast"/>
                    <w:jc w:val="center"/>
                    <w:outlineLvl w:val="9"/>
                    <w:rPr>
                      <w:rFonts w:hint="eastAsia"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b/>
                      <w:bCs/>
                      <w:color w:val="000000" w:themeColor="text1"/>
                      <w:spacing w:val="0"/>
                      <w:szCs w:val="21"/>
                      <w:highlight w:val="none"/>
                      <w14:textFill>
                        <w14:solidFill>
                          <w14:schemeClr w14:val="tx1"/>
                        </w14:solidFill>
                      </w14:textFill>
                    </w:rPr>
                    <w:t>调出</w:t>
                  </w:r>
                </w:p>
              </w:tc>
            </w:tr>
            <w:tr w14:paraId="10C94B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45" w:type="dxa"/>
                  <w:vMerge w:val="restart"/>
                  <w:tcBorders>
                    <w:tl2br w:val="nil"/>
                    <w:tr2bl w:val="nil"/>
                  </w:tcBorders>
                  <w:vAlign w:val="center"/>
                </w:tcPr>
                <w:p w14:paraId="51C7BF2B">
                  <w:pPr>
                    <w:spacing w:line="240" w:lineRule="atLeast"/>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变电站工程</w:t>
                  </w:r>
                </w:p>
              </w:tc>
              <w:tc>
                <w:tcPr>
                  <w:tcW w:w="2477" w:type="dxa"/>
                  <w:tcBorders>
                    <w:tl2br w:val="nil"/>
                    <w:tr2bl w:val="nil"/>
                  </w:tcBorders>
                  <w:shd w:val="clear" w:color="auto" w:fill="auto"/>
                  <w:vAlign w:val="center"/>
                </w:tcPr>
                <w:p w14:paraId="76FDA431">
                  <w:pPr>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变电站区（</w:t>
                  </w: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含</w:t>
                  </w:r>
                  <w:r>
                    <w:rPr>
                      <w:rFonts w:hint="eastAsia" w:ascii="Times New Roman" w:hAnsi="Times New Roman" w:eastAsia="宋体"/>
                      <w:color w:val="000000" w:themeColor="text1"/>
                      <w:spacing w:val="0"/>
                      <w:szCs w:val="21"/>
                      <w:highlight w:val="none"/>
                      <w14:textFill>
                        <w14:solidFill>
                          <w14:schemeClr w14:val="tx1"/>
                        </w14:solidFill>
                      </w14:textFill>
                    </w:rPr>
                    <w:t>进站道路）</w:t>
                  </w:r>
                </w:p>
              </w:tc>
              <w:tc>
                <w:tcPr>
                  <w:tcW w:w="1446" w:type="dxa"/>
                  <w:tcBorders>
                    <w:tl2br w:val="nil"/>
                    <w:tr2bl w:val="nil"/>
                  </w:tcBorders>
                  <w:vAlign w:val="center"/>
                </w:tcPr>
                <w:p w14:paraId="7B90E841">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1886</w:t>
                  </w:r>
                </w:p>
              </w:tc>
              <w:tc>
                <w:tcPr>
                  <w:tcW w:w="1266" w:type="dxa"/>
                  <w:tcBorders>
                    <w:tl2br w:val="nil"/>
                    <w:tr2bl w:val="nil"/>
                  </w:tcBorders>
                  <w:vAlign w:val="center"/>
                </w:tcPr>
                <w:p w14:paraId="012AFA95">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1000</w:t>
                  </w:r>
                </w:p>
              </w:tc>
              <w:tc>
                <w:tcPr>
                  <w:tcW w:w="1074" w:type="dxa"/>
                  <w:tcBorders>
                    <w:tl2br w:val="nil"/>
                    <w:tr2bl w:val="nil"/>
                  </w:tcBorders>
                  <w:vAlign w:val="center"/>
                </w:tcPr>
                <w:p w14:paraId="68DBC812">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p>
              </w:tc>
              <w:tc>
                <w:tcPr>
                  <w:tcW w:w="1050" w:type="dxa"/>
                  <w:tcBorders>
                    <w:tl2br w:val="nil"/>
                    <w:tr2bl w:val="nil"/>
                  </w:tcBorders>
                  <w:vAlign w:val="center"/>
                </w:tcPr>
                <w:p w14:paraId="0F6217A0">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886</w:t>
                  </w:r>
                </w:p>
              </w:tc>
            </w:tr>
            <w:tr w14:paraId="2379E9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45" w:type="dxa"/>
                  <w:vMerge w:val="continue"/>
                  <w:tcBorders>
                    <w:tl2br w:val="nil"/>
                    <w:tr2bl w:val="nil"/>
                  </w:tcBorders>
                  <w:vAlign w:val="center"/>
                </w:tcPr>
                <w:p w14:paraId="36F7F5DC">
                  <w:pPr>
                    <w:spacing w:line="240" w:lineRule="atLeast"/>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477" w:type="dxa"/>
                  <w:tcBorders>
                    <w:tl2br w:val="nil"/>
                    <w:tr2bl w:val="nil"/>
                  </w:tcBorders>
                  <w:vAlign w:val="center"/>
                </w:tcPr>
                <w:p w14:paraId="49A2BDA6">
                  <w:pPr>
                    <w:spacing w:line="240" w:lineRule="atLeast"/>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施工营地</w:t>
                  </w:r>
                </w:p>
              </w:tc>
              <w:tc>
                <w:tcPr>
                  <w:tcW w:w="1446" w:type="dxa"/>
                  <w:tcBorders>
                    <w:tl2br w:val="nil"/>
                    <w:tr2bl w:val="nil"/>
                  </w:tcBorders>
                  <w:vAlign w:val="center"/>
                </w:tcPr>
                <w:p w14:paraId="6D17FE11">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920</w:t>
                  </w:r>
                </w:p>
              </w:tc>
              <w:tc>
                <w:tcPr>
                  <w:tcW w:w="1266" w:type="dxa"/>
                  <w:tcBorders>
                    <w:tl2br w:val="nil"/>
                    <w:tr2bl w:val="nil"/>
                  </w:tcBorders>
                  <w:vAlign w:val="center"/>
                </w:tcPr>
                <w:p w14:paraId="5507E395">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920</w:t>
                  </w:r>
                </w:p>
              </w:tc>
              <w:tc>
                <w:tcPr>
                  <w:tcW w:w="1074" w:type="dxa"/>
                  <w:tcBorders>
                    <w:tl2br w:val="nil"/>
                    <w:tr2bl w:val="nil"/>
                  </w:tcBorders>
                  <w:vAlign w:val="center"/>
                </w:tcPr>
                <w:p w14:paraId="74A3FC09">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p>
              </w:tc>
              <w:tc>
                <w:tcPr>
                  <w:tcW w:w="1050" w:type="dxa"/>
                  <w:tcBorders>
                    <w:tl2br w:val="nil"/>
                    <w:tr2bl w:val="nil"/>
                  </w:tcBorders>
                  <w:vAlign w:val="center"/>
                </w:tcPr>
                <w:p w14:paraId="0C23C62B">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p>
              </w:tc>
            </w:tr>
            <w:tr w14:paraId="62649B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45" w:type="dxa"/>
                  <w:vMerge w:val="continue"/>
                  <w:tcBorders>
                    <w:tl2br w:val="nil"/>
                    <w:tr2bl w:val="nil"/>
                  </w:tcBorders>
                  <w:vAlign w:val="center"/>
                </w:tcPr>
                <w:p w14:paraId="28053D04">
                  <w:pPr>
                    <w:spacing w:line="240" w:lineRule="atLeast"/>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477" w:type="dxa"/>
                  <w:tcBorders>
                    <w:tl2br w:val="nil"/>
                    <w:tr2bl w:val="nil"/>
                  </w:tcBorders>
                  <w:shd w:val="clear" w:color="auto" w:fill="auto"/>
                  <w:vAlign w:val="center"/>
                </w:tcPr>
                <w:p w14:paraId="1A690F2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站外供水、排水管线</w:t>
                  </w:r>
                </w:p>
              </w:tc>
              <w:tc>
                <w:tcPr>
                  <w:tcW w:w="1446" w:type="dxa"/>
                  <w:tcBorders>
                    <w:tl2br w:val="nil"/>
                    <w:tr2bl w:val="nil"/>
                  </w:tcBorders>
                  <w:vAlign w:val="center"/>
                </w:tcPr>
                <w:p w14:paraId="545688C4">
                  <w:pPr>
                    <w:spacing w:beforeLines="0" w:afterLines="0"/>
                    <w:jc w:val="center"/>
                    <w:outlineLvl w:val="9"/>
                    <w:rPr>
                      <w:rFonts w:hint="default" w:ascii="Times New Roman" w:hAnsi="Times New Roman" w:eastAsia="宋体"/>
                      <w:color w:val="000000" w:themeColor="text1"/>
                      <w:sz w:val="21"/>
                      <w:szCs w:val="24"/>
                      <w:lang w:val="en-US" w:eastAsia="zh-CN"/>
                      <w14:textFill>
                        <w14:solidFill>
                          <w14:schemeClr w14:val="tx1"/>
                        </w14:solidFill>
                      </w14:textFill>
                    </w:rPr>
                  </w:pPr>
                  <w:r>
                    <w:rPr>
                      <w:rFonts w:hint="eastAsia"/>
                      <w:color w:val="000000" w:themeColor="text1"/>
                      <w:sz w:val="21"/>
                      <w:szCs w:val="24"/>
                      <w:lang w:val="en-US" w:eastAsia="zh-CN"/>
                      <w14:textFill>
                        <w14:solidFill>
                          <w14:schemeClr w14:val="tx1"/>
                        </w14:solidFill>
                      </w14:textFill>
                    </w:rPr>
                    <w:t>240</w:t>
                  </w:r>
                </w:p>
              </w:tc>
              <w:tc>
                <w:tcPr>
                  <w:tcW w:w="1266" w:type="dxa"/>
                  <w:tcBorders>
                    <w:tl2br w:val="nil"/>
                    <w:tr2bl w:val="nil"/>
                  </w:tcBorders>
                  <w:shd w:val="clear" w:color="auto" w:fill="auto"/>
                  <w:vAlign w:val="center"/>
                </w:tcPr>
                <w:p w14:paraId="001EF8D4">
                  <w:pPr>
                    <w:spacing w:beforeLines="0" w:afterLines="0"/>
                    <w:jc w:val="center"/>
                    <w:outlineLvl w:val="9"/>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4"/>
                      <w:lang w:val="en-US" w:eastAsia="zh-CN"/>
                      <w14:textFill>
                        <w14:solidFill>
                          <w14:schemeClr w14:val="tx1"/>
                        </w14:solidFill>
                      </w14:textFill>
                    </w:rPr>
                    <w:t>240</w:t>
                  </w:r>
                </w:p>
              </w:tc>
              <w:tc>
                <w:tcPr>
                  <w:tcW w:w="1074" w:type="dxa"/>
                  <w:tcBorders>
                    <w:tl2br w:val="nil"/>
                    <w:tr2bl w:val="nil"/>
                  </w:tcBorders>
                  <w:vAlign w:val="center"/>
                </w:tcPr>
                <w:p w14:paraId="3EE055FD">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p>
              </w:tc>
              <w:tc>
                <w:tcPr>
                  <w:tcW w:w="1050" w:type="dxa"/>
                  <w:tcBorders>
                    <w:tl2br w:val="nil"/>
                    <w:tr2bl w:val="nil"/>
                  </w:tcBorders>
                  <w:vAlign w:val="center"/>
                </w:tcPr>
                <w:p w14:paraId="3BAB9571">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p>
              </w:tc>
            </w:tr>
            <w:tr w14:paraId="34AC41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45" w:type="dxa"/>
                  <w:vMerge w:val="continue"/>
                  <w:tcBorders>
                    <w:tl2br w:val="nil"/>
                    <w:tr2bl w:val="nil"/>
                  </w:tcBorders>
                  <w:vAlign w:val="center"/>
                </w:tcPr>
                <w:p w14:paraId="59C83EAE">
                  <w:pPr>
                    <w:spacing w:line="240" w:lineRule="atLeast"/>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477" w:type="dxa"/>
                  <w:tcBorders>
                    <w:tl2br w:val="nil"/>
                    <w:tr2bl w:val="nil"/>
                  </w:tcBorders>
                  <w:shd w:val="clear" w:color="auto" w:fill="auto"/>
                  <w:vAlign w:val="center"/>
                </w:tcPr>
                <w:p w14:paraId="74C7BF8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10千伏临时施工电源线路塔基扰动区域</w:t>
                  </w:r>
                </w:p>
              </w:tc>
              <w:tc>
                <w:tcPr>
                  <w:tcW w:w="1446" w:type="dxa"/>
                  <w:tcBorders>
                    <w:tl2br w:val="nil"/>
                    <w:tr2bl w:val="nil"/>
                  </w:tcBorders>
                  <w:vAlign w:val="center"/>
                </w:tcPr>
                <w:p w14:paraId="7971DE6A">
                  <w:pPr>
                    <w:spacing w:beforeLines="0" w:afterLines="0"/>
                    <w:jc w:val="center"/>
                    <w:outlineLvl w:val="9"/>
                    <w:rPr>
                      <w:rFonts w:hint="default" w:ascii="Times New Roman" w:hAnsi="Times New Roman" w:eastAsia="宋体"/>
                      <w:color w:val="000000" w:themeColor="text1"/>
                      <w:sz w:val="21"/>
                      <w:szCs w:val="24"/>
                      <w:lang w:val="en-US" w:eastAsia="zh-CN"/>
                      <w14:textFill>
                        <w14:solidFill>
                          <w14:schemeClr w14:val="tx1"/>
                        </w14:solidFill>
                      </w14:textFill>
                    </w:rPr>
                  </w:pPr>
                  <w:r>
                    <w:rPr>
                      <w:rFonts w:hint="eastAsia"/>
                      <w:color w:val="000000" w:themeColor="text1"/>
                      <w:sz w:val="21"/>
                      <w:szCs w:val="24"/>
                      <w:lang w:val="en-US" w:eastAsia="zh-CN"/>
                      <w14:textFill>
                        <w14:solidFill>
                          <w14:schemeClr w14:val="tx1"/>
                        </w14:solidFill>
                      </w14:textFill>
                    </w:rPr>
                    <w:t>600</w:t>
                  </w:r>
                </w:p>
              </w:tc>
              <w:tc>
                <w:tcPr>
                  <w:tcW w:w="1266" w:type="dxa"/>
                  <w:tcBorders>
                    <w:tl2br w:val="nil"/>
                    <w:tr2bl w:val="nil"/>
                  </w:tcBorders>
                  <w:shd w:val="clear" w:color="auto" w:fill="auto"/>
                  <w:vAlign w:val="center"/>
                </w:tcPr>
                <w:p w14:paraId="61BDF150">
                  <w:pPr>
                    <w:spacing w:beforeLines="0" w:afterLines="0"/>
                    <w:jc w:val="center"/>
                    <w:outlineLvl w:val="9"/>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4"/>
                      <w:lang w:val="en-US" w:eastAsia="zh-CN"/>
                      <w14:textFill>
                        <w14:solidFill>
                          <w14:schemeClr w14:val="tx1"/>
                        </w14:solidFill>
                      </w14:textFill>
                    </w:rPr>
                    <w:t>600</w:t>
                  </w:r>
                </w:p>
              </w:tc>
              <w:tc>
                <w:tcPr>
                  <w:tcW w:w="1074" w:type="dxa"/>
                  <w:tcBorders>
                    <w:tl2br w:val="nil"/>
                    <w:tr2bl w:val="nil"/>
                  </w:tcBorders>
                  <w:vAlign w:val="center"/>
                </w:tcPr>
                <w:p w14:paraId="32CED1A5">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p>
              </w:tc>
              <w:tc>
                <w:tcPr>
                  <w:tcW w:w="1050" w:type="dxa"/>
                  <w:tcBorders>
                    <w:tl2br w:val="nil"/>
                    <w:tr2bl w:val="nil"/>
                  </w:tcBorders>
                  <w:vAlign w:val="center"/>
                </w:tcPr>
                <w:p w14:paraId="2701DE0F">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p>
              </w:tc>
            </w:tr>
            <w:tr w14:paraId="5B4E0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45" w:type="dxa"/>
                  <w:vMerge w:val="restart"/>
                  <w:tcBorders>
                    <w:tl2br w:val="nil"/>
                    <w:tr2bl w:val="nil"/>
                  </w:tcBorders>
                  <w:vAlign w:val="center"/>
                </w:tcPr>
                <w:p w14:paraId="6417E7D0">
                  <w:pPr>
                    <w:spacing w:line="240" w:lineRule="atLeast"/>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输电线路工程</w:t>
                  </w:r>
                </w:p>
              </w:tc>
              <w:tc>
                <w:tcPr>
                  <w:tcW w:w="2477" w:type="dxa"/>
                  <w:tcBorders>
                    <w:tl2br w:val="nil"/>
                    <w:tr2bl w:val="nil"/>
                  </w:tcBorders>
                  <w:shd w:val="clear" w:color="auto" w:fill="auto"/>
                  <w:vAlign w:val="center"/>
                </w:tcPr>
                <w:p w14:paraId="7AB1AED8">
                  <w:pPr>
                    <w:jc w:val="center"/>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塔基临时</w:t>
                  </w:r>
                  <w:r>
                    <w:rPr>
                      <w:rFonts w:hint="eastAsia" w:ascii="Times New Roman" w:hAnsi="Times New Roman" w:eastAsia="宋体"/>
                      <w:color w:val="000000" w:themeColor="text1"/>
                      <w:spacing w:val="0"/>
                      <w:szCs w:val="21"/>
                      <w:highlight w:val="none"/>
                      <w14:textFill>
                        <w14:solidFill>
                          <w14:schemeClr w14:val="tx1"/>
                        </w14:solidFill>
                      </w14:textFill>
                    </w:rPr>
                    <w:t>施工</w:t>
                  </w: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区域</w:t>
                  </w:r>
                </w:p>
              </w:tc>
              <w:tc>
                <w:tcPr>
                  <w:tcW w:w="1446" w:type="dxa"/>
                  <w:tcBorders>
                    <w:tl2br w:val="nil"/>
                    <w:tr2bl w:val="nil"/>
                  </w:tcBorders>
                  <w:vAlign w:val="center"/>
                </w:tcPr>
                <w:p w14:paraId="2E49777D">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4680</w:t>
                  </w:r>
                </w:p>
              </w:tc>
              <w:tc>
                <w:tcPr>
                  <w:tcW w:w="1266" w:type="dxa"/>
                  <w:tcBorders>
                    <w:tl2br w:val="nil"/>
                    <w:tr2bl w:val="nil"/>
                  </w:tcBorders>
                  <w:vAlign w:val="center"/>
                </w:tcPr>
                <w:p w14:paraId="71006514">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5080</w:t>
                  </w:r>
                </w:p>
              </w:tc>
              <w:tc>
                <w:tcPr>
                  <w:tcW w:w="1074" w:type="dxa"/>
                  <w:tcBorders>
                    <w:tl2br w:val="nil"/>
                    <w:tr2bl w:val="nil"/>
                  </w:tcBorders>
                  <w:vAlign w:val="center"/>
                </w:tcPr>
                <w:p w14:paraId="434B8AF4">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400</w:t>
                  </w:r>
                </w:p>
              </w:tc>
              <w:tc>
                <w:tcPr>
                  <w:tcW w:w="1050" w:type="dxa"/>
                  <w:tcBorders>
                    <w:tl2br w:val="nil"/>
                    <w:tr2bl w:val="nil"/>
                  </w:tcBorders>
                  <w:vAlign w:val="center"/>
                </w:tcPr>
                <w:p w14:paraId="64ABEC58">
                  <w:pPr>
                    <w:spacing w:beforeLines="0" w:afterLines="0"/>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r>
            <w:tr w14:paraId="163B54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45" w:type="dxa"/>
                  <w:vMerge w:val="continue"/>
                  <w:tcBorders>
                    <w:tl2br w:val="nil"/>
                    <w:tr2bl w:val="nil"/>
                  </w:tcBorders>
                  <w:vAlign w:val="center"/>
                </w:tcPr>
                <w:p w14:paraId="2342B177">
                  <w:pPr>
                    <w:spacing w:line="240" w:lineRule="atLeast"/>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c>
                <w:tcPr>
                  <w:tcW w:w="2477" w:type="dxa"/>
                  <w:tcBorders>
                    <w:tl2br w:val="nil"/>
                    <w:tr2bl w:val="nil"/>
                  </w:tcBorders>
                  <w:shd w:val="clear" w:color="auto" w:fill="auto"/>
                  <w:vAlign w:val="center"/>
                </w:tcPr>
                <w:p w14:paraId="145B5401">
                  <w:pPr>
                    <w:jc w:val="center"/>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牵张场</w:t>
                  </w:r>
                </w:p>
              </w:tc>
              <w:tc>
                <w:tcPr>
                  <w:tcW w:w="1446" w:type="dxa"/>
                  <w:tcBorders>
                    <w:tl2br w:val="nil"/>
                    <w:tr2bl w:val="nil"/>
                  </w:tcBorders>
                  <w:vAlign w:val="center"/>
                </w:tcPr>
                <w:p w14:paraId="5E69493F">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1080</w:t>
                  </w:r>
                </w:p>
              </w:tc>
              <w:tc>
                <w:tcPr>
                  <w:tcW w:w="1266" w:type="dxa"/>
                  <w:tcBorders>
                    <w:tl2br w:val="nil"/>
                    <w:tr2bl w:val="nil"/>
                  </w:tcBorders>
                  <w:vAlign w:val="center"/>
                </w:tcPr>
                <w:p w14:paraId="47DDCC34">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1466</w:t>
                  </w:r>
                </w:p>
              </w:tc>
              <w:tc>
                <w:tcPr>
                  <w:tcW w:w="1074" w:type="dxa"/>
                  <w:tcBorders>
                    <w:tl2br w:val="nil"/>
                    <w:tr2bl w:val="nil"/>
                  </w:tcBorders>
                  <w:vAlign w:val="center"/>
                </w:tcPr>
                <w:p w14:paraId="15AF22DB">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386</w:t>
                  </w:r>
                </w:p>
              </w:tc>
              <w:tc>
                <w:tcPr>
                  <w:tcW w:w="1050" w:type="dxa"/>
                  <w:tcBorders>
                    <w:tl2br w:val="nil"/>
                    <w:tr2bl w:val="nil"/>
                  </w:tcBorders>
                  <w:vAlign w:val="center"/>
                </w:tcPr>
                <w:p w14:paraId="5ECB1C35">
                  <w:pPr>
                    <w:spacing w:beforeLines="0" w:afterLines="0"/>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r>
            <w:tr w14:paraId="37E454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45" w:type="dxa"/>
                  <w:vMerge w:val="continue"/>
                  <w:tcBorders>
                    <w:tl2br w:val="nil"/>
                    <w:tr2bl w:val="nil"/>
                  </w:tcBorders>
                  <w:vAlign w:val="center"/>
                </w:tcPr>
                <w:p w14:paraId="1F2E310C">
                  <w:pPr>
                    <w:spacing w:line="240" w:lineRule="atLeast"/>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c>
                <w:tcPr>
                  <w:tcW w:w="2477" w:type="dxa"/>
                  <w:tcBorders>
                    <w:tl2br w:val="nil"/>
                    <w:tr2bl w:val="nil"/>
                  </w:tcBorders>
                  <w:shd w:val="clear" w:color="auto" w:fill="auto"/>
                  <w:vAlign w:val="center"/>
                </w:tcPr>
                <w:p w14:paraId="75BF47DA">
                  <w:pPr>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跨越场</w:t>
                  </w:r>
                </w:p>
              </w:tc>
              <w:tc>
                <w:tcPr>
                  <w:tcW w:w="1446" w:type="dxa"/>
                  <w:tcBorders>
                    <w:tl2br w:val="nil"/>
                    <w:tr2bl w:val="nil"/>
                  </w:tcBorders>
                  <w:vAlign w:val="center"/>
                </w:tcPr>
                <w:p w14:paraId="62D03B13">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600</w:t>
                  </w:r>
                </w:p>
              </w:tc>
              <w:tc>
                <w:tcPr>
                  <w:tcW w:w="1266" w:type="dxa"/>
                  <w:tcBorders>
                    <w:tl2br w:val="nil"/>
                    <w:tr2bl w:val="nil"/>
                  </w:tcBorders>
                  <w:vAlign w:val="center"/>
                </w:tcPr>
                <w:p w14:paraId="1E0DB0F5">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600</w:t>
                  </w:r>
                </w:p>
              </w:tc>
              <w:tc>
                <w:tcPr>
                  <w:tcW w:w="1074" w:type="dxa"/>
                  <w:tcBorders>
                    <w:tl2br w:val="nil"/>
                    <w:tr2bl w:val="nil"/>
                  </w:tcBorders>
                  <w:vAlign w:val="center"/>
                </w:tcPr>
                <w:p w14:paraId="776855D7">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p>
              </w:tc>
              <w:tc>
                <w:tcPr>
                  <w:tcW w:w="1050" w:type="dxa"/>
                  <w:tcBorders>
                    <w:tl2br w:val="nil"/>
                    <w:tr2bl w:val="nil"/>
                  </w:tcBorders>
                  <w:vAlign w:val="center"/>
                </w:tcPr>
                <w:p w14:paraId="64D6B1D4">
                  <w:pPr>
                    <w:spacing w:beforeLines="0" w:afterLines="0"/>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r>
            <w:tr w14:paraId="341508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45" w:type="dxa"/>
                  <w:vMerge w:val="continue"/>
                  <w:tcBorders>
                    <w:tl2br w:val="nil"/>
                    <w:tr2bl w:val="nil"/>
                  </w:tcBorders>
                  <w:vAlign w:val="center"/>
                </w:tcPr>
                <w:p w14:paraId="6FC8B654">
                  <w:pPr>
                    <w:spacing w:line="240" w:lineRule="atLeast"/>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c>
                <w:tcPr>
                  <w:tcW w:w="2477" w:type="dxa"/>
                  <w:tcBorders>
                    <w:tl2br w:val="nil"/>
                    <w:tr2bl w:val="nil"/>
                  </w:tcBorders>
                  <w:shd w:val="clear" w:color="auto" w:fill="auto"/>
                  <w:vAlign w:val="center"/>
                </w:tcPr>
                <w:p w14:paraId="4FF9BE4F">
                  <w:pPr>
                    <w:jc w:val="center"/>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施工便道</w:t>
                  </w:r>
                </w:p>
              </w:tc>
              <w:tc>
                <w:tcPr>
                  <w:tcW w:w="1446" w:type="dxa"/>
                  <w:tcBorders>
                    <w:tl2br w:val="nil"/>
                    <w:tr2bl w:val="nil"/>
                  </w:tcBorders>
                  <w:vAlign w:val="center"/>
                </w:tcPr>
                <w:p w14:paraId="1A0609AD">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2100</w:t>
                  </w:r>
                </w:p>
              </w:tc>
              <w:tc>
                <w:tcPr>
                  <w:tcW w:w="1266" w:type="dxa"/>
                  <w:tcBorders>
                    <w:tl2br w:val="nil"/>
                    <w:tr2bl w:val="nil"/>
                  </w:tcBorders>
                  <w:vAlign w:val="center"/>
                </w:tcPr>
                <w:p w14:paraId="7B58A099">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2200</w:t>
                  </w:r>
                </w:p>
              </w:tc>
              <w:tc>
                <w:tcPr>
                  <w:tcW w:w="1074" w:type="dxa"/>
                  <w:tcBorders>
                    <w:tl2br w:val="nil"/>
                    <w:tr2bl w:val="nil"/>
                  </w:tcBorders>
                  <w:vAlign w:val="center"/>
                </w:tcPr>
                <w:p w14:paraId="2D39160D">
                  <w:pPr>
                    <w:spacing w:beforeLines="0" w:afterLines="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4"/>
                      <w14:textFill>
                        <w14:solidFill>
                          <w14:schemeClr w14:val="tx1"/>
                        </w14:solidFill>
                      </w14:textFill>
                    </w:rPr>
                    <w:t>100</w:t>
                  </w:r>
                </w:p>
              </w:tc>
              <w:tc>
                <w:tcPr>
                  <w:tcW w:w="1050" w:type="dxa"/>
                  <w:tcBorders>
                    <w:tl2br w:val="nil"/>
                    <w:tr2bl w:val="nil"/>
                  </w:tcBorders>
                  <w:vAlign w:val="center"/>
                </w:tcPr>
                <w:p w14:paraId="577AA08D">
                  <w:pPr>
                    <w:spacing w:beforeLines="0" w:afterLines="0"/>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r>
            <w:tr w14:paraId="686F30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45" w:type="dxa"/>
                  <w:vMerge w:val="continue"/>
                  <w:tcBorders>
                    <w:tl2br w:val="nil"/>
                    <w:tr2bl w:val="nil"/>
                  </w:tcBorders>
                  <w:vAlign w:val="center"/>
                </w:tcPr>
                <w:p w14:paraId="480CE7D1">
                  <w:pPr>
                    <w:spacing w:line="240" w:lineRule="atLeast"/>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c>
                <w:tcPr>
                  <w:tcW w:w="2477" w:type="dxa"/>
                  <w:tcBorders>
                    <w:tl2br w:val="nil"/>
                    <w:tr2bl w:val="nil"/>
                  </w:tcBorders>
                  <w:shd w:val="clear" w:color="auto" w:fill="auto"/>
                  <w:vAlign w:val="center"/>
                </w:tcPr>
                <w:p w14:paraId="39063158">
                  <w:pPr>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地下电缆临时占地</w:t>
                  </w:r>
                </w:p>
              </w:tc>
              <w:tc>
                <w:tcPr>
                  <w:tcW w:w="1446" w:type="dxa"/>
                  <w:tcBorders>
                    <w:tl2br w:val="nil"/>
                    <w:tr2bl w:val="nil"/>
                  </w:tcBorders>
                  <w:vAlign w:val="center"/>
                </w:tcPr>
                <w:p w14:paraId="1A9D443B">
                  <w:pPr>
                    <w:spacing w:beforeLines="0" w:afterLines="0"/>
                    <w:jc w:val="center"/>
                    <w:outlineLvl w:val="9"/>
                    <w:rPr>
                      <w:rFonts w:hint="default" w:ascii="Times New Roman" w:hAnsi="Times New Roman" w:eastAsia="宋体"/>
                      <w:color w:val="000000" w:themeColor="text1"/>
                      <w:sz w:val="21"/>
                      <w:szCs w:val="24"/>
                      <w:lang w:val="en-US" w:eastAsia="zh-CN"/>
                      <w14:textFill>
                        <w14:solidFill>
                          <w14:schemeClr w14:val="tx1"/>
                        </w14:solidFill>
                      </w14:textFill>
                    </w:rPr>
                  </w:pPr>
                  <w:r>
                    <w:rPr>
                      <w:rFonts w:hint="eastAsia"/>
                      <w:color w:val="000000" w:themeColor="text1"/>
                      <w:sz w:val="21"/>
                      <w:szCs w:val="24"/>
                      <w:lang w:val="en-US" w:eastAsia="zh-CN"/>
                      <w14:textFill>
                        <w14:solidFill>
                          <w14:schemeClr w14:val="tx1"/>
                        </w14:solidFill>
                      </w14:textFill>
                    </w:rPr>
                    <w:t>60</w:t>
                  </w:r>
                </w:p>
              </w:tc>
              <w:tc>
                <w:tcPr>
                  <w:tcW w:w="1266" w:type="dxa"/>
                  <w:tcBorders>
                    <w:tl2br w:val="nil"/>
                    <w:tr2bl w:val="nil"/>
                  </w:tcBorders>
                  <w:vAlign w:val="center"/>
                </w:tcPr>
                <w:p w14:paraId="5512761E">
                  <w:pPr>
                    <w:spacing w:beforeLines="0" w:afterLines="0"/>
                    <w:jc w:val="center"/>
                    <w:outlineLvl w:val="9"/>
                    <w:rPr>
                      <w:rFonts w:hint="eastAsia" w:ascii="Times New Roman" w:hAnsi="Times New Roman" w:eastAsia="宋体"/>
                      <w:color w:val="000000" w:themeColor="text1"/>
                      <w:sz w:val="21"/>
                      <w:szCs w:val="24"/>
                      <w14:textFill>
                        <w14:solidFill>
                          <w14:schemeClr w14:val="tx1"/>
                        </w14:solidFill>
                      </w14:textFill>
                    </w:rPr>
                  </w:pPr>
                  <w:r>
                    <w:rPr>
                      <w:rFonts w:hint="eastAsia"/>
                      <w:color w:val="000000" w:themeColor="text1"/>
                      <w:sz w:val="21"/>
                      <w:szCs w:val="24"/>
                      <w:lang w:val="en-US" w:eastAsia="zh-CN"/>
                      <w14:textFill>
                        <w14:solidFill>
                          <w14:schemeClr w14:val="tx1"/>
                        </w14:solidFill>
                      </w14:textFill>
                    </w:rPr>
                    <w:t>60</w:t>
                  </w:r>
                </w:p>
              </w:tc>
              <w:tc>
                <w:tcPr>
                  <w:tcW w:w="1074" w:type="dxa"/>
                  <w:tcBorders>
                    <w:tl2br w:val="nil"/>
                    <w:tr2bl w:val="nil"/>
                  </w:tcBorders>
                  <w:vAlign w:val="center"/>
                </w:tcPr>
                <w:p w14:paraId="05D64A8D">
                  <w:pPr>
                    <w:spacing w:beforeLines="0" w:afterLines="0"/>
                    <w:jc w:val="center"/>
                    <w:outlineLvl w:val="9"/>
                    <w:rPr>
                      <w:rFonts w:hint="eastAsia" w:ascii="Times New Roman" w:hAnsi="Times New Roman" w:eastAsia="宋体"/>
                      <w:color w:val="000000" w:themeColor="text1"/>
                      <w:sz w:val="21"/>
                      <w:szCs w:val="24"/>
                      <w14:textFill>
                        <w14:solidFill>
                          <w14:schemeClr w14:val="tx1"/>
                        </w14:solidFill>
                      </w14:textFill>
                    </w:rPr>
                  </w:pPr>
                </w:p>
              </w:tc>
              <w:tc>
                <w:tcPr>
                  <w:tcW w:w="1050" w:type="dxa"/>
                  <w:tcBorders>
                    <w:tl2br w:val="nil"/>
                    <w:tr2bl w:val="nil"/>
                  </w:tcBorders>
                  <w:vAlign w:val="center"/>
                </w:tcPr>
                <w:p w14:paraId="214DEED5">
                  <w:pPr>
                    <w:spacing w:beforeLines="0" w:afterLines="0"/>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r>
            <w:tr w14:paraId="7912C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22" w:type="dxa"/>
                  <w:gridSpan w:val="2"/>
                  <w:tcBorders>
                    <w:tl2br w:val="nil"/>
                    <w:tr2bl w:val="nil"/>
                  </w:tcBorders>
                  <w:vAlign w:val="center"/>
                </w:tcPr>
                <w:p w14:paraId="431C622A">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合计</w:t>
                  </w:r>
                </w:p>
              </w:tc>
              <w:tc>
                <w:tcPr>
                  <w:tcW w:w="1446" w:type="dxa"/>
                  <w:tcBorders>
                    <w:tl2br w:val="nil"/>
                    <w:tr2bl w:val="nil"/>
                  </w:tcBorders>
                  <w:shd w:val="clear" w:color="auto" w:fill="auto"/>
                  <w:vAlign w:val="center"/>
                </w:tcPr>
                <w:p w14:paraId="3F60F73C">
                  <w:pPr>
                    <w:spacing w:beforeLines="0" w:afterLines="0"/>
                    <w:jc w:val="center"/>
                    <w:outlineLvl w:val="9"/>
                    <w:rPr>
                      <w:rFonts w:hint="default" w:ascii="Times New Roman" w:hAnsi="Times New Roman" w:eastAsia="宋体" w:cs="Times New Roman"/>
                      <w:color w:val="000000" w:themeColor="text1"/>
                      <w:kern w:val="2"/>
                      <w:sz w:val="22"/>
                      <w:szCs w:val="24"/>
                      <w:lang w:val="en-US" w:eastAsia="zh-CN" w:bidi="ar-SA"/>
                      <w14:textFill>
                        <w14:solidFill>
                          <w14:schemeClr w14:val="tx1"/>
                        </w14:solidFill>
                      </w14:textFill>
                    </w:rPr>
                  </w:pPr>
                  <w:r>
                    <w:rPr>
                      <w:rFonts w:hint="eastAsia" w:cs="Times New Roman"/>
                      <w:color w:val="000000" w:themeColor="text1"/>
                      <w:kern w:val="2"/>
                      <w:sz w:val="22"/>
                      <w:szCs w:val="24"/>
                      <w:lang w:val="en-US" w:eastAsia="zh-CN" w:bidi="ar-SA"/>
                      <w14:textFill>
                        <w14:solidFill>
                          <w14:schemeClr w14:val="tx1"/>
                        </w14:solidFill>
                      </w14:textFill>
                    </w:rPr>
                    <w:t>12166</w:t>
                  </w:r>
                </w:p>
              </w:tc>
              <w:tc>
                <w:tcPr>
                  <w:tcW w:w="1266" w:type="dxa"/>
                  <w:tcBorders>
                    <w:tl2br w:val="nil"/>
                    <w:tr2bl w:val="nil"/>
                  </w:tcBorders>
                  <w:shd w:val="clear" w:color="auto" w:fill="auto"/>
                  <w:vAlign w:val="center"/>
                </w:tcPr>
                <w:p w14:paraId="024FBEFA">
                  <w:pPr>
                    <w:spacing w:beforeLines="0" w:afterLines="0"/>
                    <w:jc w:val="center"/>
                    <w:outlineLvl w:val="9"/>
                    <w:rPr>
                      <w:rFonts w:hint="default" w:ascii="Times New Roman" w:hAnsi="Times New Roman" w:eastAsia="宋体" w:cs="Times New Roman"/>
                      <w:color w:val="000000" w:themeColor="text1"/>
                      <w:kern w:val="2"/>
                      <w:sz w:val="22"/>
                      <w:szCs w:val="24"/>
                      <w:lang w:val="en-US" w:eastAsia="zh-CN" w:bidi="ar-SA"/>
                      <w14:textFill>
                        <w14:solidFill>
                          <w14:schemeClr w14:val="tx1"/>
                        </w14:solidFill>
                      </w14:textFill>
                    </w:rPr>
                  </w:pPr>
                  <w:r>
                    <w:rPr>
                      <w:rFonts w:hint="eastAsia" w:cs="Times New Roman"/>
                      <w:color w:val="000000" w:themeColor="text1"/>
                      <w:kern w:val="2"/>
                      <w:sz w:val="22"/>
                      <w:szCs w:val="24"/>
                      <w:lang w:val="en-US" w:eastAsia="zh-CN" w:bidi="ar-SA"/>
                      <w14:textFill>
                        <w14:solidFill>
                          <w14:schemeClr w14:val="tx1"/>
                        </w14:solidFill>
                      </w14:textFill>
                    </w:rPr>
                    <w:t>12166</w:t>
                  </w:r>
                </w:p>
              </w:tc>
              <w:tc>
                <w:tcPr>
                  <w:tcW w:w="1074" w:type="dxa"/>
                  <w:tcBorders>
                    <w:tl2br w:val="nil"/>
                    <w:tr2bl w:val="nil"/>
                  </w:tcBorders>
                  <w:shd w:val="clear" w:color="auto" w:fill="auto"/>
                  <w:vAlign w:val="center"/>
                </w:tcPr>
                <w:p w14:paraId="2F094A01">
                  <w:pPr>
                    <w:spacing w:beforeLines="0" w:afterLines="0"/>
                    <w:jc w:val="center"/>
                    <w:outlineLvl w:val="9"/>
                    <w:rPr>
                      <w:rFonts w:hint="eastAsia" w:ascii="Times New Roman" w:hAnsi="Times New Roman" w:eastAsia="宋体"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宋体"/>
                      <w:color w:val="000000" w:themeColor="text1"/>
                      <w:sz w:val="22"/>
                      <w:szCs w:val="24"/>
                      <w14:textFill>
                        <w14:solidFill>
                          <w14:schemeClr w14:val="tx1"/>
                        </w14:solidFill>
                      </w14:textFill>
                    </w:rPr>
                    <w:t>886</w:t>
                  </w:r>
                </w:p>
              </w:tc>
              <w:tc>
                <w:tcPr>
                  <w:tcW w:w="1050" w:type="dxa"/>
                  <w:tcBorders>
                    <w:tl2br w:val="nil"/>
                    <w:tr2bl w:val="nil"/>
                  </w:tcBorders>
                  <w:shd w:val="clear" w:color="auto" w:fill="auto"/>
                  <w:vAlign w:val="center"/>
                </w:tcPr>
                <w:p w14:paraId="059CA75F">
                  <w:pPr>
                    <w:spacing w:beforeLines="0" w:afterLines="0"/>
                    <w:jc w:val="center"/>
                    <w:outlineLvl w:val="9"/>
                    <w:rPr>
                      <w:rFonts w:hint="eastAsia" w:ascii="Times New Roman" w:hAnsi="Times New Roman" w:eastAsia="宋体" w:cs="Times New Roman"/>
                      <w:color w:val="000000" w:themeColor="text1"/>
                      <w:kern w:val="2"/>
                      <w:sz w:val="22"/>
                      <w:szCs w:val="24"/>
                      <w:lang w:val="en-US" w:eastAsia="zh-CN" w:bidi="ar-SA"/>
                      <w14:textFill>
                        <w14:solidFill>
                          <w14:schemeClr w14:val="tx1"/>
                        </w14:solidFill>
                      </w14:textFill>
                    </w:rPr>
                  </w:pPr>
                  <w:r>
                    <w:rPr>
                      <w:rFonts w:hint="eastAsia" w:ascii="Times New Roman" w:hAnsi="Times New Roman" w:eastAsia="宋体"/>
                      <w:color w:val="000000" w:themeColor="text1"/>
                      <w:sz w:val="22"/>
                      <w:szCs w:val="24"/>
                      <w14:textFill>
                        <w14:solidFill>
                          <w14:schemeClr w14:val="tx1"/>
                        </w14:solidFill>
                      </w14:textFill>
                    </w:rPr>
                    <w:t>886</w:t>
                  </w:r>
                </w:p>
              </w:tc>
            </w:tr>
          </w:tbl>
          <w:p w14:paraId="3AC1756B">
            <w:pPr>
              <w:pStyle w:val="23"/>
              <w:spacing w:before="0" w:beforeAutospacing="0" w:after="0" w:afterAutospacing="0" w:line="360" w:lineRule="auto"/>
              <w:jc w:val="both"/>
              <w:outlineLvl w:val="9"/>
              <w:rPr>
                <w:rFonts w:ascii="Times New Roman" w:hAnsi="Times New Roman" w:eastAsia="宋体"/>
                <w:b/>
                <w:bCs/>
                <w:snapToGrid w:val="0"/>
                <w:color w:val="000000" w:themeColor="text1"/>
                <w:spacing w:val="0"/>
                <w:sz w:val="30"/>
                <w:szCs w:val="30"/>
                <w:highlight w:val="none"/>
                <w14:textFill>
                  <w14:solidFill>
                    <w14:schemeClr w14:val="tx1"/>
                  </w14:solidFill>
                </w14:textFill>
              </w:rPr>
            </w:pPr>
          </w:p>
        </w:tc>
      </w:tr>
      <w:tr w14:paraId="1053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14:paraId="6FCEEE4F">
            <w:pPr>
              <w:pStyle w:val="23"/>
              <w:spacing w:before="0" w:beforeAutospacing="0" w:after="0" w:afterAutospacing="0" w:line="360" w:lineRule="auto"/>
              <w:jc w:val="center"/>
              <w:outlineLvl w:val="9"/>
              <w:rPr>
                <w:rFonts w:ascii="Times New Roman" w:hAnsi="Times New Roman" w:eastAsia="宋体"/>
                <w:b/>
                <w:bCs/>
                <w:snapToGrid w:val="0"/>
                <w:color w:val="000000" w:themeColor="text1"/>
                <w:spacing w:val="0"/>
                <w:sz w:val="30"/>
                <w:szCs w:val="3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总平面及现场布置</w:t>
            </w:r>
          </w:p>
        </w:tc>
        <w:tc>
          <w:tcPr>
            <w:tcW w:w="8670" w:type="dxa"/>
          </w:tcPr>
          <w:p w14:paraId="709946FB">
            <w:pPr>
              <w:pStyle w:val="7"/>
              <w:spacing w:after="0" w:line="360" w:lineRule="auto"/>
              <w:ind w:left="0" w:leftChars="0" w:firstLine="482" w:firstLineChars="200"/>
              <w:jc w:val="left"/>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1、项目布局情况</w:t>
            </w:r>
          </w:p>
          <w:p w14:paraId="3D4C6DA3">
            <w:pPr>
              <w:autoSpaceDE w:val="0"/>
              <w:autoSpaceDN w:val="0"/>
              <w:spacing w:line="360" w:lineRule="auto"/>
              <w:ind w:firstLine="480" w:firstLineChars="200"/>
              <w:outlineLvl w:val="9"/>
              <w:rPr>
                <w:rFonts w:hint="default" w:ascii="Times New Roman" w:hAnsi="Times New Roman" w:eastAsia="宋体"/>
                <w:color w:val="000000" w:themeColor="text1"/>
                <w:spacing w:val="0"/>
                <w:sz w:val="24"/>
                <w:highlight w:val="none"/>
                <w:lang w:val="en-US"/>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三岔110千伏变电站新建工程平面布置</w:t>
            </w:r>
          </w:p>
          <w:p w14:paraId="270C163E">
            <w:pPr>
              <w:autoSpaceDE w:val="0"/>
              <w:autoSpaceDN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站区总平面布置以主变为中心，110kV HGIS屋外配电装置区布置在站区南侧，向南架空出线；配电装置室（含10kV及35kV配电室、二次设备室、安全工具间及资料室）布置在主变区北侧；框架式并联电容器成套装置布置在站区东侧；10kV接地变布置在#1主变西侧；变电站大门布置在站区西侧；辅助房布置于站区西侧；站区内布置了回车通道，便于设备运输。</w:t>
            </w:r>
            <w:r>
              <w:rPr>
                <w:rFonts w:hint="default" w:ascii="Times New Roman" w:hAnsi="Times New Roman" w:eastAsia="宋体" w:cs="Times New Roman"/>
                <w:color w:val="000000" w:themeColor="text1"/>
                <w:spacing w:val="0"/>
                <w:sz w:val="24"/>
                <w14:textFill>
                  <w14:solidFill>
                    <w14:schemeClr w14:val="tx1"/>
                  </w14:solidFill>
                </w14:textFill>
              </w:rPr>
              <w:t>变电站平面</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布置</w:t>
            </w:r>
            <w:r>
              <w:rPr>
                <w:rFonts w:hint="default" w:ascii="Times New Roman" w:hAnsi="Times New Roman" w:eastAsia="宋体" w:cs="Times New Roman"/>
                <w:color w:val="000000" w:themeColor="text1"/>
                <w:spacing w:val="0"/>
                <w:sz w:val="24"/>
                <w14:textFill>
                  <w14:solidFill>
                    <w14:schemeClr w14:val="tx1"/>
                  </w14:solidFill>
                </w14:textFill>
              </w:rPr>
              <w:t>详见</w:t>
            </w: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附图2</w:t>
            </w:r>
            <w:r>
              <w:rPr>
                <w:rFonts w:hint="eastAsia" w:cs="Times New Roman"/>
                <w:b/>
                <w:bCs/>
                <w:color w:val="000000" w:themeColor="text1"/>
                <w:spacing w:val="0"/>
                <w:sz w:val="24"/>
                <w:highlight w:val="none"/>
                <w:lang w:val="en-US" w:eastAsia="zh-CN"/>
                <w14:textFill>
                  <w14:solidFill>
                    <w14:schemeClr w14:val="tx1"/>
                  </w14:solidFill>
                </w14:textFill>
              </w:rPr>
              <w:t>-3、附图2-4</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2DFB0034">
            <w:pPr>
              <w:autoSpaceDE w:val="0"/>
              <w:autoSpaceDN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线路路径</w:t>
            </w:r>
          </w:p>
          <w:p w14:paraId="1D3DD3CC">
            <w:pPr>
              <w:pStyle w:val="7"/>
              <w:adjustRightInd w:val="0"/>
              <w:snapToGrid w:val="0"/>
              <w:spacing w:after="0" w:line="360" w:lineRule="auto"/>
              <w:ind w:left="0" w:leftChars="0"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申铎线π入三岔变110kV线路：自已建 110kV 清铎（申铎线）双回路申铎线#44 前后开断，于开断点前后侧分别新建 1 基双回路终端塔，在新建双回路终端塔申铎线侧引出 2 回线路，向东采用 2 回单回路向三岔变方向进行走线，直至接入待建三岔 110kV 变电站，本部分π接后形成清水河-黄铎堡-三岔-申庄-清水河环网通道。</w:t>
            </w:r>
          </w:p>
          <w:p w14:paraId="1E8F3CF5">
            <w:pPr>
              <w:pStyle w:val="7"/>
              <w:adjustRightInd w:val="0"/>
              <w:snapToGrid w:val="0"/>
              <w:spacing w:after="0" w:line="360" w:lineRule="auto"/>
              <w:ind w:left="0" w:leftChars="0"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申庄～黄铎堡改接清水河变电站110kV线路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：自清铎线间隔及三岔变间隔分别采用架空方式出线后，电缆引下钻越多次 110kV 及 330kV 线路后，于 330kV 清启Ⅰ线北侧引上，采用双回架空线路向北走至华木林沟北侧，之后向西进行走线，之后规避燃气管线后向北走线，最后向东接至 110kV 清铎#8（申铎#5）大号侧改接点，形成清水河-三岔-黄铎堡-清水河环网通道。</w:t>
            </w:r>
          </w:p>
          <w:p w14:paraId="5FF940B1">
            <w:pPr>
              <w:pStyle w:val="7"/>
              <w:adjustRightInd w:val="0"/>
              <w:snapToGrid w:val="0"/>
              <w:spacing w:after="0" w:line="360" w:lineRule="auto"/>
              <w:ind w:left="0" w:leftChars="0"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清水河~申庄改接绿塬变电站110kV线路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：自110kV绿拓线#224采用架空引至新建钢管杆后电缆引下，向北避让已建塔位进行走线，于110kV清铎线侧新建电缆平台引上，接至 110kV 清铎线#1。</w:t>
            </w:r>
          </w:p>
          <w:p w14:paraId="678C4527">
            <w:pPr>
              <w:pStyle w:val="7"/>
              <w:adjustRightInd w:val="0"/>
              <w:snapToGrid w:val="0"/>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线路路径方案见</w:t>
            </w:r>
            <w:r>
              <w:rPr>
                <w:rFonts w:ascii="Times New Roman" w:hAnsi="Times New Roman" w:eastAsia="宋体"/>
                <w:b/>
                <w:bCs/>
                <w:color w:val="000000" w:themeColor="text1"/>
                <w:spacing w:val="0"/>
                <w:sz w:val="24"/>
                <w:highlight w:val="none"/>
                <w14:textFill>
                  <w14:solidFill>
                    <w14:schemeClr w14:val="tx1"/>
                  </w14:solidFill>
                </w14:textFill>
              </w:rPr>
              <w:t>附图</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2</w:t>
            </w:r>
            <w:r>
              <w:rPr>
                <w:rFonts w:hint="eastAsia"/>
                <w:b/>
                <w:bCs/>
                <w:color w:val="000000" w:themeColor="text1"/>
                <w:spacing w:val="0"/>
                <w:sz w:val="24"/>
                <w:highlight w:val="none"/>
                <w:lang w:val="en-US" w:eastAsia="zh-CN"/>
                <w14:textFill>
                  <w14:solidFill>
                    <w14:schemeClr w14:val="tx1"/>
                  </w14:solidFill>
                </w14:textFill>
              </w:rPr>
              <w:t>、附图2-1、附图2-2</w:t>
            </w:r>
            <w:r>
              <w:rPr>
                <w:rFonts w:ascii="Times New Roman" w:hAnsi="Times New Roman" w:eastAsia="宋体"/>
                <w:color w:val="000000" w:themeColor="text1"/>
                <w:spacing w:val="0"/>
                <w:sz w:val="24"/>
                <w:highlight w:val="none"/>
                <w14:textFill>
                  <w14:solidFill>
                    <w14:schemeClr w14:val="tx1"/>
                  </w14:solidFill>
                </w14:textFill>
              </w:rPr>
              <w:t>。</w:t>
            </w:r>
          </w:p>
          <w:p w14:paraId="7DA18B51">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2、施工布置情况</w:t>
            </w:r>
          </w:p>
          <w:p w14:paraId="396AB00A">
            <w:pPr>
              <w:spacing w:line="360" w:lineRule="auto"/>
              <w:ind w:firstLine="48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（1）变电站工程</w:t>
            </w:r>
          </w:p>
          <w:p w14:paraId="5774F17A">
            <w:pPr>
              <w:spacing w:line="360" w:lineRule="auto"/>
              <w:ind w:firstLine="480"/>
              <w:outlineLvl w:val="9"/>
              <w:rPr>
                <w:rFonts w:hint="default" w:ascii="Times New Roman" w:hAnsi="Times New Roman" w:eastAsia="宋体" w:cs="Times New Roman"/>
                <w:color w:val="000000" w:themeColor="text1"/>
                <w:spacing w:val="0"/>
                <w:sz w:val="24"/>
                <w14:textFill>
                  <w14:solidFill>
                    <w14:schemeClr w14:val="tx1"/>
                  </w14:solidFill>
                </w14:textFill>
              </w:rPr>
            </w:pP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①</w:t>
            </w:r>
            <w:r>
              <w:rPr>
                <w:rFonts w:hint="default" w:ascii="Times New Roman" w:hAnsi="Times New Roman" w:eastAsia="宋体" w:cs="Times New Roman"/>
                <w:color w:val="000000" w:themeColor="text1"/>
                <w:spacing w:val="0"/>
                <w:sz w:val="24"/>
                <w14:textFill>
                  <w14:solidFill>
                    <w14:schemeClr w14:val="tx1"/>
                  </w14:solidFill>
                </w14:textFill>
              </w:rPr>
              <w:t>施工营地：本项目施工营地拟</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布置</w:t>
            </w:r>
            <w:r>
              <w:rPr>
                <w:rFonts w:hint="default" w:ascii="Times New Roman" w:hAnsi="Times New Roman" w:eastAsia="宋体" w:cs="Times New Roman"/>
                <w:color w:val="000000" w:themeColor="text1"/>
                <w:spacing w:val="0"/>
                <w:sz w:val="24"/>
                <w14:textFill>
                  <w14:solidFill>
                    <w14:schemeClr w14:val="tx1"/>
                  </w14:solidFill>
                </w14:textFill>
              </w:rPr>
              <w:t>在</w:t>
            </w:r>
            <w:r>
              <w:rPr>
                <w:rFonts w:hint="default" w:ascii="Times New Roman" w:hAnsi="Times New Roman" w:eastAsia="宋体" w:cs="Times New Roman"/>
                <w:color w:val="000000" w:themeColor="text1"/>
                <w:spacing w:val="0"/>
                <w:sz w:val="24"/>
                <w:highlight w:val="none"/>
                <w14:textFill>
                  <w14:solidFill>
                    <w14:schemeClr w14:val="tx1"/>
                  </w14:solidFill>
                </w14:textFill>
              </w:rPr>
              <w:t>变电站</w:t>
            </w:r>
            <w:r>
              <w:rPr>
                <w:rFonts w:hint="eastAsia" w:cs="Times New Roman"/>
                <w:color w:val="000000" w:themeColor="text1"/>
                <w:spacing w:val="0"/>
                <w:sz w:val="24"/>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spacing w:val="0"/>
                <w:sz w:val="24"/>
                <w:highlight w:val="none"/>
                <w14:textFill>
                  <w14:solidFill>
                    <w14:schemeClr w14:val="tx1"/>
                  </w14:solidFill>
                </w14:textFill>
              </w:rPr>
              <w:t>侧</w:t>
            </w:r>
            <w:r>
              <w:rPr>
                <w:rFonts w:hint="default" w:ascii="Times New Roman" w:hAnsi="Times New Roman" w:eastAsia="宋体" w:cs="Times New Roman"/>
                <w:color w:val="000000" w:themeColor="text1"/>
                <w:spacing w:val="0"/>
                <w:sz w:val="24"/>
                <w14:textFill>
                  <w14:solidFill>
                    <w14:schemeClr w14:val="tx1"/>
                  </w14:solidFill>
                </w14:textFill>
              </w:rPr>
              <w:t>，用于施工材料堆放、施工人员生活、办公使用。</w:t>
            </w:r>
          </w:p>
          <w:p w14:paraId="43998A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②</w:t>
            </w:r>
            <w:r>
              <w:rPr>
                <w:rFonts w:hint="default" w:ascii="Times New Roman" w:hAnsi="Times New Roman" w:eastAsia="宋体" w:cs="Times New Roman"/>
                <w:color w:val="000000" w:themeColor="text1"/>
                <w:spacing w:val="0"/>
                <w:sz w:val="24"/>
                <w:lang w:val="en-US" w:eastAsia="zh-CN"/>
                <w14:textFill>
                  <w14:solidFill>
                    <w14:schemeClr w14:val="tx1"/>
                  </w14:solidFill>
                </w14:textFill>
              </w:rPr>
              <w:t>施工道路：</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变电站区域施工便道的修筑与进站道路兼顾考虑，</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将变电站施工便道运行期作为进站道路使用，</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做到永临结合。</w:t>
            </w:r>
          </w:p>
          <w:p w14:paraId="630B7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站外供水及排水管线、10千伏临时施工电源线路</w:t>
            </w:r>
            <w:r>
              <w:rPr>
                <w:rFonts w:hint="eastAsia" w:cs="Times New Roman"/>
                <w:color w:val="000000" w:themeColor="text1"/>
                <w:spacing w:val="0"/>
                <w:kern w:val="0"/>
                <w:sz w:val="24"/>
                <w:highlight w:val="none"/>
                <w:lang w:val="en-US" w:eastAsia="zh-CN"/>
                <w14:textFill>
                  <w14:solidFill>
                    <w14:schemeClr w14:val="tx1"/>
                  </w14:solidFill>
                </w14:textFill>
              </w:rPr>
              <w:t>临时占地：用于施工供电、供水设施施工施工，施工结束后进行拆除。</w:t>
            </w:r>
          </w:p>
          <w:p w14:paraId="3AFFE474">
            <w:pPr>
              <w:pStyle w:val="9"/>
              <w:spacing w:before="0" w:line="360" w:lineRule="auto"/>
              <w:ind w:firstLine="480" w:firstLineChars="200"/>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架空</w:t>
            </w:r>
            <w:r>
              <w:rPr>
                <w:rFonts w:ascii="Times New Roman" w:hAnsi="Times New Roman" w:eastAsia="宋体"/>
                <w:color w:val="000000" w:themeColor="text1"/>
                <w:spacing w:val="0"/>
                <w:sz w:val="24"/>
                <w:highlight w:val="none"/>
                <w14:textFill>
                  <w14:solidFill>
                    <w14:schemeClr w14:val="tx1"/>
                  </w14:solidFill>
                </w14:textFill>
              </w:rPr>
              <w:t>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工程</w:t>
            </w:r>
            <w:r>
              <w:rPr>
                <w:rFonts w:hint="eastAsia"/>
                <w:color w:val="000000" w:themeColor="text1"/>
                <w:spacing w:val="0"/>
                <w:sz w:val="24"/>
                <w:highlight w:val="none"/>
                <w:lang w:val="en-US" w:eastAsia="zh-CN"/>
                <w14:textFill>
                  <w14:solidFill>
                    <w14:schemeClr w14:val="tx1"/>
                  </w14:solidFill>
                </w14:textFill>
              </w:rPr>
              <w:t>、电缆线路</w:t>
            </w:r>
          </w:p>
          <w:p w14:paraId="05EC18D3">
            <w:pPr>
              <w:adjustRightInd w:val="0"/>
              <w:snapToGrid w:val="0"/>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新建线路施工活动应集中在昼间进行；杆塔施工临时场地选择需紧邻塔基处；施工道路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尽可能</w:t>
            </w:r>
            <w:r>
              <w:rPr>
                <w:rFonts w:ascii="Times New Roman" w:hAnsi="Times New Roman" w:eastAsia="宋体"/>
                <w:color w:val="000000" w:themeColor="text1"/>
                <w:spacing w:val="0"/>
                <w:sz w:val="24"/>
                <w:highlight w:val="none"/>
                <w14:textFill>
                  <w14:solidFill>
                    <w14:schemeClr w14:val="tx1"/>
                  </w14:solidFill>
                </w14:textFill>
              </w:rPr>
              <w:t>利用既有小道进行修整；牵张场设置于塔基附近便于放紧线施工，设置于临近既有道路处便于材料运输；杆塔施工临时场地、施工便道、牵张场应尽可能避让植被密集区，以减少对当地植被的破坏；划定最小的施工作业区域，划定永久占地、临时占地范围红线，严禁施工人员和施工机械超出作业区域施工。</w:t>
            </w:r>
          </w:p>
          <w:p w14:paraId="72723D02">
            <w:pPr>
              <w:widowControl/>
              <w:adjustRightInd w:val="0"/>
              <w:snapToGrid w:val="0"/>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①</w:t>
            </w:r>
            <w:r>
              <w:rPr>
                <w:rFonts w:ascii="Times New Roman" w:hAnsi="Times New Roman" w:eastAsia="宋体"/>
                <w:color w:val="000000" w:themeColor="text1"/>
                <w:spacing w:val="0"/>
                <w:sz w:val="24"/>
                <w:highlight w:val="none"/>
                <w14:textFill>
                  <w14:solidFill>
                    <w14:schemeClr w14:val="tx1"/>
                  </w14:solidFill>
                </w14:textFill>
              </w:rPr>
              <w:t>施工场地布置</w:t>
            </w:r>
          </w:p>
          <w:p w14:paraId="6BB3370B">
            <w:pPr>
              <w:widowControl/>
              <w:adjustRightInd w:val="0"/>
              <w:snapToGrid w:val="0"/>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塔基基础施工临时场地以单个塔基为单位分散布置</w:t>
            </w:r>
            <w:r>
              <w:rPr>
                <w:rFonts w:hint="eastAsia"/>
                <w:color w:val="000000" w:themeColor="text1"/>
                <w:spacing w:val="0"/>
                <w:sz w:val="24"/>
                <w:highlight w:val="no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在塔基施工过程中每处塔基都有一处施工临时占地作为施工场地，用来临时堆置土方、材料和工具等。</w:t>
            </w:r>
            <w:r>
              <w:rPr>
                <w:rFonts w:hint="eastAsia" w:ascii="Times New Roman" w:hAnsi="Times New Roman" w:eastAsia="宋体"/>
                <w:color w:val="000000" w:themeColor="text1"/>
                <w:spacing w:val="0"/>
                <w:sz w:val="24"/>
                <w:highlight w:val="none"/>
                <w14:textFill>
                  <w14:solidFill>
                    <w14:schemeClr w14:val="tx1"/>
                  </w14:solidFill>
                </w14:textFill>
              </w:rPr>
              <w:t>地下电缆</w:t>
            </w:r>
            <w:r>
              <w:rPr>
                <w:rFonts w:hint="eastAsia"/>
                <w:color w:val="000000" w:themeColor="text1"/>
                <w:spacing w:val="0"/>
                <w:sz w:val="24"/>
                <w:highlight w:val="none"/>
                <w:lang w:val="en-US" w:eastAsia="zh-CN"/>
                <w14:textFill>
                  <w14:solidFill>
                    <w14:schemeClr w14:val="tx1"/>
                  </w14:solidFill>
                </w14:textFill>
              </w:rPr>
              <w:t>临时</w:t>
            </w:r>
            <w:r>
              <w:rPr>
                <w:rFonts w:hint="eastAsia" w:ascii="Times New Roman" w:hAnsi="Times New Roman" w:eastAsia="宋体"/>
                <w:color w:val="000000" w:themeColor="text1"/>
                <w:spacing w:val="0"/>
                <w:sz w:val="24"/>
                <w:highlight w:val="none"/>
                <w14:textFill>
                  <w14:solidFill>
                    <w14:schemeClr w14:val="tx1"/>
                  </w14:solidFill>
                </w14:textFill>
              </w:rPr>
              <w:t>施工场地布置在地下电缆管廊附近，用于施工物料堆放。</w:t>
            </w:r>
          </w:p>
          <w:p w14:paraId="062F9580">
            <w:pPr>
              <w:spacing w:line="360" w:lineRule="auto"/>
              <w:ind w:firstLine="48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②</w:t>
            </w:r>
            <w:r>
              <w:rPr>
                <w:rFonts w:ascii="Times New Roman" w:hAnsi="Times New Roman" w:eastAsia="宋体"/>
                <w:color w:val="000000" w:themeColor="text1"/>
                <w:spacing w:val="0"/>
                <w:sz w:val="24"/>
                <w:highlight w:val="none"/>
                <w14:textFill>
                  <w14:solidFill>
                    <w14:schemeClr w14:val="tx1"/>
                  </w14:solidFill>
                </w14:textFill>
              </w:rPr>
              <w:t>牵张场布置</w:t>
            </w:r>
          </w:p>
          <w:p w14:paraId="037E9D50">
            <w:pPr>
              <w:spacing w:line="360" w:lineRule="auto"/>
              <w:ind w:firstLine="48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为满足施工放线需要，输电线路沿线需设置牵张场地，放线场主要用作导线、地线张紧和架线，也兼作材料使用前的临时堆放、转运以及工程临时指挥篷房。牵张场设置原则：位于塔基附近，便于放紧线施工；临近既有道路，便于材料运输；场址场地宽敞平坦，便于操作，利于减少场地平整的地面扰动。</w:t>
            </w:r>
          </w:p>
          <w:p w14:paraId="145C8C92">
            <w:pPr>
              <w:numPr>
                <w:ilvl w:val="0"/>
                <w:numId w:val="0"/>
              </w:numPr>
              <w:spacing w:line="360" w:lineRule="auto"/>
              <w:ind w:firstLine="480" w:firstLineChars="200"/>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跨越场</w:t>
            </w:r>
          </w:p>
          <w:p w14:paraId="19EE0C31">
            <w:pPr>
              <w:numPr>
                <w:ilvl w:val="0"/>
                <w:numId w:val="0"/>
              </w:numPr>
              <w:spacing w:line="360" w:lineRule="auto"/>
              <w:ind w:firstLine="480" w:firstLineChars="200"/>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线路在跨越电力线路、道路等需要设置跨越场。</w:t>
            </w:r>
          </w:p>
          <w:p w14:paraId="579B9320">
            <w:pPr>
              <w:numPr>
                <w:ilvl w:val="0"/>
                <w:numId w:val="0"/>
              </w:num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④</w:t>
            </w:r>
            <w:r>
              <w:rPr>
                <w:rFonts w:ascii="Times New Roman" w:hAnsi="Times New Roman" w:eastAsia="宋体"/>
                <w:color w:val="000000" w:themeColor="text1"/>
                <w:spacing w:val="0"/>
                <w:sz w:val="24"/>
                <w:highlight w:val="none"/>
                <w14:textFill>
                  <w14:solidFill>
                    <w14:schemeClr w14:val="tx1"/>
                  </w14:solidFill>
                </w14:textFill>
              </w:rPr>
              <w:t>施工便道</w:t>
            </w:r>
          </w:p>
          <w:p w14:paraId="7F8E4753">
            <w:pPr>
              <w:numPr>
                <w:ilvl w:val="0"/>
                <w:numId w:val="0"/>
              </w:numPr>
              <w:spacing w:line="360" w:lineRule="auto"/>
              <w:ind w:firstLine="480" w:firstLineChars="200"/>
              <w:outlineLvl w:val="9"/>
              <w:rPr>
                <w:rFonts w:hint="eastAsia" w:ascii="Times New Roman" w:hAnsi="Times New Roman" w:eastAsia="宋体"/>
                <w:color w:val="000000" w:themeColor="text1"/>
                <w:spacing w:val="0"/>
                <w:highlight w:val="none"/>
                <w:lang w:val="en-US"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根据施工现场道路现状，</w:t>
            </w:r>
            <w:r>
              <w:rPr>
                <w:rFonts w:hint="eastAsia" w:ascii="Times New Roman" w:hAnsi="Times New Roman" w:eastAsia="宋体"/>
                <w:color w:val="000000" w:themeColor="text1"/>
                <w:spacing w:val="0"/>
                <w:sz w:val="24"/>
                <w:highlight w:val="none"/>
                <w14:textFill>
                  <w14:solidFill>
                    <w14:schemeClr w14:val="tx1"/>
                  </w14:solidFill>
                </w14:textFill>
              </w:rPr>
              <w:t>尽量</w:t>
            </w:r>
            <w:r>
              <w:rPr>
                <w:rFonts w:ascii="Times New Roman" w:hAnsi="Times New Roman" w:eastAsia="宋体"/>
                <w:color w:val="000000" w:themeColor="text1"/>
                <w:spacing w:val="0"/>
                <w:sz w:val="24"/>
                <w:highlight w:val="none"/>
                <w14:textFill>
                  <w14:solidFill>
                    <w14:schemeClr w14:val="tx1"/>
                  </w14:solidFill>
                </w14:textFill>
              </w:rPr>
              <w:t>利用现有道路，在不具备施工运输条件的区域，设置施工便道</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p>
        </w:tc>
      </w:tr>
      <w:tr w14:paraId="0468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14:paraId="6304F038">
            <w:pPr>
              <w:pStyle w:val="23"/>
              <w:spacing w:before="0" w:beforeAutospacing="0" w:after="0" w:afterAutospacing="0" w:line="360" w:lineRule="auto"/>
              <w:jc w:val="center"/>
              <w:outlineLvl w:val="9"/>
              <w:rPr>
                <w:rFonts w:ascii="Times New Roman" w:hAnsi="Times New Roman" w:eastAsia="宋体"/>
                <w:b/>
                <w:bCs/>
                <w:snapToGrid w:val="0"/>
                <w:color w:val="000000" w:themeColor="text1"/>
                <w:spacing w:val="0"/>
                <w:sz w:val="30"/>
                <w:szCs w:val="3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施工方案</w:t>
            </w:r>
          </w:p>
        </w:tc>
        <w:tc>
          <w:tcPr>
            <w:tcW w:w="8670" w:type="dxa"/>
          </w:tcPr>
          <w:p w14:paraId="4F8080B0">
            <w:pPr>
              <w:spacing w:line="360" w:lineRule="auto"/>
              <w:ind w:firstLine="482"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1、施工工艺</w:t>
            </w:r>
          </w:p>
          <w:p w14:paraId="0FD5D2CE">
            <w:pPr>
              <w:pStyle w:val="42"/>
              <w:spacing w:line="360" w:lineRule="auto"/>
              <w:ind w:firstLine="482"/>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（1）变电站工程</w:t>
            </w:r>
          </w:p>
          <w:p w14:paraId="1904EDC6">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变电站工程在施工期主要包括施工准备、基础施工、</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建筑物施工、</w:t>
            </w:r>
            <w:r>
              <w:rPr>
                <w:rFonts w:ascii="Times New Roman" w:hAnsi="Times New Roman" w:eastAsia="宋体"/>
                <w:bCs/>
                <w:color w:val="000000" w:themeColor="text1"/>
                <w:spacing w:val="0"/>
                <w:sz w:val="24"/>
                <w:highlight w:val="none"/>
                <w14:textFill>
                  <w14:solidFill>
                    <w14:schemeClr w14:val="tx1"/>
                  </w14:solidFill>
                </w14:textFill>
              </w:rPr>
              <w:t>设备安装调试等环节，主要环境影响为基础开挖产生少量的扬尘、固体废物、噪声及调试安装产生的安装噪声等。</w:t>
            </w:r>
            <w:r>
              <w:rPr>
                <w:rFonts w:hint="eastAsia"/>
                <w:bCs/>
                <w:color w:val="000000" w:themeColor="text1"/>
                <w:spacing w:val="0"/>
                <w:sz w:val="24"/>
                <w:highlight w:val="none"/>
                <w:lang w:val="en-US" w:eastAsia="zh-CN"/>
                <w14:textFill>
                  <w14:solidFill>
                    <w14:schemeClr w14:val="tx1"/>
                  </w14:solidFill>
                </w14:textFill>
              </w:rPr>
              <w:t>施工期主要为电磁、噪声、生活污水的影响。</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变电站工程</w:t>
            </w:r>
            <w:r>
              <w:rPr>
                <w:rFonts w:ascii="Times New Roman" w:hAnsi="Times New Roman" w:eastAsia="宋体"/>
                <w:bCs/>
                <w:color w:val="000000" w:themeColor="text1"/>
                <w:spacing w:val="0"/>
                <w:sz w:val="24"/>
                <w:highlight w:val="none"/>
                <w14:textFill>
                  <w14:solidFill>
                    <w14:schemeClr w14:val="tx1"/>
                  </w14:solidFill>
                </w14:textFill>
              </w:rPr>
              <w:t>施工期工艺流程及产污环节见图2-1。</w:t>
            </w:r>
          </w:p>
          <w:p w14:paraId="6D227C99">
            <w:pPr>
              <w:pStyle w:val="42"/>
              <w:spacing w:line="360" w:lineRule="auto"/>
              <w:jc w:val="center"/>
              <w:outlineLvl w:val="9"/>
              <w:rPr>
                <w:rFonts w:ascii="Times New Roman" w:hAnsi="Times New Roman" w:eastAsia="宋体"/>
                <w:bCs/>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mc:AlternateContent>
                <mc:Choice Requires="wpc">
                  <w:drawing>
                    <wp:inline distT="0" distB="0" distL="114300" distR="114300">
                      <wp:extent cx="4337685" cy="3105150"/>
                      <wp:effectExtent l="0" t="0" r="0" b="0"/>
                      <wp:docPr id="22" name="画布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直接连接符 5"/>
                              <wps:cNvCnPr/>
                              <wps:spPr>
                                <a:xfrm>
                                  <a:off x="1320800" y="722818"/>
                                  <a:ext cx="491490" cy="1270"/>
                                </a:xfrm>
                                <a:prstGeom prst="line">
                                  <a:avLst/>
                                </a:prstGeom>
                                <a:ln w="9525" cap="flat" cmpd="sng">
                                  <a:solidFill>
                                    <a:srgbClr val="000000"/>
                                  </a:solidFill>
                                  <a:prstDash val="dash"/>
                                  <a:headEnd type="none" w="med" len="med"/>
                                  <a:tailEnd type="triangle" w="sm" len="med"/>
                                </a:ln>
                              </wps:spPr>
                              <wps:bodyPr/>
                            </wps:wsp>
                            <wps:wsp>
                              <wps:cNvPr id="2" name="文本框 6"/>
                              <wps:cNvSpPr txBox="1"/>
                              <wps:spPr>
                                <a:xfrm>
                                  <a:off x="1810385" y="1145203"/>
                                  <a:ext cx="2277110" cy="254066"/>
                                </a:xfrm>
                                <a:prstGeom prst="rect">
                                  <a:avLst/>
                                </a:prstGeom>
                                <a:solidFill>
                                  <a:srgbClr val="FFFFFF"/>
                                </a:solidFill>
                                <a:ln>
                                  <a:noFill/>
                                </a:ln>
                              </wps:spPr>
                              <wps:txbx>
                                <w:txbxContent>
                                  <w:p w14:paraId="65D8AE07">
                                    <w:pPr>
                                      <w:rPr>
                                        <w:rFonts w:ascii="宋体" w:hAnsi="宋体"/>
                                        <w:sz w:val="18"/>
                                        <w:szCs w:val="18"/>
                                      </w:rPr>
                                    </w:pPr>
                                    <w:r>
                                      <w:rPr>
                                        <w:rFonts w:hint="eastAsia" w:ascii="宋体" w:hAnsi="宋体"/>
                                        <w:sz w:val="18"/>
                                        <w:szCs w:val="18"/>
                                      </w:rPr>
                                      <w:t>生态影响、施工噪声、施工扬尘、固体废物</w:t>
                                    </w:r>
                                  </w:p>
                                </w:txbxContent>
                              </wps:txbx>
                              <wps:bodyPr lIns="18000" tIns="10800" rIns="18000" bIns="10800" upright="1"/>
                            </wps:wsp>
                            <wps:wsp>
                              <wps:cNvPr id="4" name="直接连接符 7"/>
                              <wps:cNvCnPr/>
                              <wps:spPr>
                                <a:xfrm>
                                  <a:off x="1325880" y="1236667"/>
                                  <a:ext cx="490220" cy="1905"/>
                                </a:xfrm>
                                <a:prstGeom prst="line">
                                  <a:avLst/>
                                </a:prstGeom>
                                <a:ln w="9525" cap="flat" cmpd="sng">
                                  <a:solidFill>
                                    <a:srgbClr val="000000"/>
                                  </a:solidFill>
                                  <a:prstDash val="dash"/>
                                  <a:headEnd type="none" w="med" len="med"/>
                                  <a:tailEnd type="triangle" w="sm" len="med"/>
                                </a:ln>
                              </wps:spPr>
                              <wps:bodyPr/>
                            </wps:wsp>
                            <wps:wsp>
                              <wps:cNvPr id="16" name="文本框 8"/>
                              <wps:cNvSpPr txBox="1"/>
                              <wps:spPr>
                                <a:xfrm>
                                  <a:off x="1811655" y="619286"/>
                                  <a:ext cx="1705610" cy="238822"/>
                                </a:xfrm>
                                <a:prstGeom prst="rect">
                                  <a:avLst/>
                                </a:prstGeom>
                                <a:solidFill>
                                  <a:srgbClr val="FFFFFF"/>
                                </a:solidFill>
                                <a:ln>
                                  <a:noFill/>
                                </a:ln>
                              </wps:spPr>
                              <wps:txbx>
                                <w:txbxContent>
                                  <w:p w14:paraId="52F8DB7A">
                                    <w:pPr>
                                      <w:rPr>
                                        <w:rFonts w:ascii="宋体" w:hAnsi="宋体"/>
                                        <w:sz w:val="18"/>
                                        <w:szCs w:val="18"/>
                                      </w:rPr>
                                    </w:pPr>
                                    <w:r>
                                      <w:rPr>
                                        <w:rFonts w:hint="eastAsia" w:ascii="宋体" w:hAnsi="宋体"/>
                                        <w:sz w:val="18"/>
                                        <w:szCs w:val="18"/>
                                      </w:rPr>
                                      <w:t>施工噪声、施工扬尘、生态影响</w:t>
                                    </w:r>
                                  </w:p>
                                </w:txbxContent>
                              </wps:txbx>
                              <wps:bodyPr lIns="18000" tIns="10800" rIns="18000" bIns="10800" upright="1"/>
                            </wps:wsp>
                            <wps:wsp>
                              <wps:cNvPr id="23" name="直接连接符 9"/>
                              <wps:cNvCnPr/>
                              <wps:spPr>
                                <a:xfrm>
                                  <a:off x="805180" y="327110"/>
                                  <a:ext cx="635" cy="297257"/>
                                </a:xfrm>
                                <a:prstGeom prst="line">
                                  <a:avLst/>
                                </a:prstGeom>
                                <a:ln w="9525" cap="flat" cmpd="sng">
                                  <a:solidFill>
                                    <a:srgbClr val="000000"/>
                                  </a:solidFill>
                                  <a:prstDash val="solid"/>
                                  <a:headEnd type="none" w="med" len="med"/>
                                  <a:tailEnd type="triangle" w="med" len="med"/>
                                </a:ln>
                              </wps:spPr>
                              <wps:bodyPr/>
                            </wps:wsp>
                            <wps:wsp>
                              <wps:cNvPr id="24" name="直接连接符 10"/>
                              <wps:cNvCnPr/>
                              <wps:spPr>
                                <a:xfrm>
                                  <a:off x="817245" y="846040"/>
                                  <a:ext cx="635" cy="297257"/>
                                </a:xfrm>
                                <a:prstGeom prst="line">
                                  <a:avLst/>
                                </a:prstGeom>
                                <a:ln w="9525" cap="flat" cmpd="sng">
                                  <a:solidFill>
                                    <a:srgbClr val="000000"/>
                                  </a:solidFill>
                                  <a:prstDash val="solid"/>
                                  <a:headEnd type="none" w="med" len="med"/>
                                  <a:tailEnd type="triangle" w="med" len="med"/>
                                </a:ln>
                              </wps:spPr>
                              <wps:bodyPr/>
                            </wps:wsp>
                            <wps:wsp>
                              <wps:cNvPr id="27" name="直接连接符 11"/>
                              <wps:cNvCnPr/>
                              <wps:spPr>
                                <a:xfrm>
                                  <a:off x="815340" y="1356713"/>
                                  <a:ext cx="635" cy="297257"/>
                                </a:xfrm>
                                <a:prstGeom prst="line">
                                  <a:avLst/>
                                </a:prstGeom>
                                <a:ln w="9525" cap="flat" cmpd="sng">
                                  <a:solidFill>
                                    <a:srgbClr val="000000"/>
                                  </a:solidFill>
                                  <a:prstDash val="solid"/>
                                  <a:headEnd type="none" w="med" len="med"/>
                                  <a:tailEnd type="triangle" w="med" len="med"/>
                                </a:ln>
                              </wps:spPr>
                              <wps:bodyPr/>
                            </wps:wsp>
                            <wps:wsp>
                              <wps:cNvPr id="28" name="直接连接符 12"/>
                              <wps:cNvCnPr/>
                              <wps:spPr>
                                <a:xfrm>
                                  <a:off x="1339215" y="1774190"/>
                                  <a:ext cx="491490" cy="1270"/>
                                </a:xfrm>
                                <a:prstGeom prst="line">
                                  <a:avLst/>
                                </a:prstGeom>
                                <a:ln w="9525" cap="flat" cmpd="sng">
                                  <a:solidFill>
                                    <a:srgbClr val="000000"/>
                                  </a:solidFill>
                                  <a:prstDash val="dash"/>
                                  <a:headEnd type="none" w="med" len="med"/>
                                  <a:tailEnd type="triangle" w="sm" len="med"/>
                                </a:ln>
                              </wps:spPr>
                              <wps:bodyPr/>
                            </wps:wsp>
                            <wps:wsp>
                              <wps:cNvPr id="29" name="文本框 13"/>
                              <wps:cNvSpPr txBox="1"/>
                              <wps:spPr>
                                <a:xfrm>
                                  <a:off x="1825625" y="1663065"/>
                                  <a:ext cx="911860" cy="232410"/>
                                </a:xfrm>
                                <a:prstGeom prst="rect">
                                  <a:avLst/>
                                </a:prstGeom>
                                <a:solidFill>
                                  <a:srgbClr val="FFFFFF"/>
                                </a:solidFill>
                                <a:ln>
                                  <a:noFill/>
                                </a:ln>
                              </wps:spPr>
                              <wps:txbx>
                                <w:txbxContent>
                                  <w:p w14:paraId="65EE87CE">
                                    <w:pPr>
                                      <w:rPr>
                                        <w:rFonts w:ascii="宋体" w:hAnsi="宋体"/>
                                        <w:sz w:val="18"/>
                                        <w:szCs w:val="18"/>
                                      </w:rPr>
                                    </w:pPr>
                                    <w:r>
                                      <w:rPr>
                                        <w:rFonts w:hint="eastAsia" w:ascii="宋体" w:hAnsi="宋体"/>
                                        <w:sz w:val="18"/>
                                        <w:szCs w:val="18"/>
                                      </w:rPr>
                                      <w:t>噪声、固体废物</w:t>
                                    </w:r>
                                  </w:p>
                                </w:txbxContent>
                              </wps:txbx>
                              <wps:bodyPr lIns="18000" tIns="10800" rIns="18000" bIns="10800" upright="1"/>
                            </wps:wsp>
                            <wps:wsp>
                              <wps:cNvPr id="31" name="文本框 14"/>
                              <wps:cNvSpPr txBox="1"/>
                              <wps:spPr>
                                <a:xfrm>
                                  <a:off x="315595" y="2142490"/>
                                  <a:ext cx="1036955" cy="233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CCEFDB">
                                    <w:pPr>
                                      <w:spacing w:line="240" w:lineRule="atLeast"/>
                                      <w:jc w:val="center"/>
                                      <w:rPr>
                                        <w:rFonts w:ascii="宋体" w:hAnsi="宋体"/>
                                        <w:szCs w:val="21"/>
                                      </w:rPr>
                                    </w:pPr>
                                    <w:r>
                                      <w:rPr>
                                        <w:rFonts w:hint="eastAsia" w:ascii="宋体" w:hAnsi="宋体"/>
                                        <w:szCs w:val="21"/>
                                      </w:rPr>
                                      <w:t>设备安装调试</w:t>
                                    </w:r>
                                  </w:p>
                                </w:txbxContent>
                              </wps:txbx>
                              <wps:bodyPr lIns="18000" tIns="10800" rIns="18000" bIns="10800" upright="1"/>
                            </wps:wsp>
                            <wps:wsp>
                              <wps:cNvPr id="33" name="直接连接符 15"/>
                              <wps:cNvCnPr/>
                              <wps:spPr>
                                <a:xfrm>
                                  <a:off x="820420" y="1863725"/>
                                  <a:ext cx="635" cy="297180"/>
                                </a:xfrm>
                                <a:prstGeom prst="line">
                                  <a:avLst/>
                                </a:prstGeom>
                                <a:ln w="9525" cap="flat" cmpd="sng">
                                  <a:solidFill>
                                    <a:srgbClr val="000000"/>
                                  </a:solidFill>
                                  <a:prstDash val="solid"/>
                                  <a:headEnd type="none" w="med" len="med"/>
                                  <a:tailEnd type="triangle" w="med" len="med"/>
                                </a:ln>
                              </wps:spPr>
                              <wps:bodyPr/>
                            </wps:wsp>
                            <wps:wsp>
                              <wps:cNvPr id="34" name="文本框 16"/>
                              <wps:cNvSpPr txBox="1"/>
                              <wps:spPr>
                                <a:xfrm>
                                  <a:off x="287655" y="93345"/>
                                  <a:ext cx="1028700"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19D65E">
                                    <w:pPr>
                                      <w:spacing w:line="240" w:lineRule="atLeast"/>
                                      <w:jc w:val="center"/>
                                      <w:rPr>
                                        <w:rFonts w:ascii="宋体" w:hAnsi="宋体"/>
                                        <w:szCs w:val="21"/>
                                      </w:rPr>
                                    </w:pPr>
                                    <w:r>
                                      <w:rPr>
                                        <w:rFonts w:hint="eastAsia" w:ascii="宋体" w:hAnsi="宋体"/>
                                        <w:szCs w:val="21"/>
                                      </w:rPr>
                                      <w:t>施工准备</w:t>
                                    </w:r>
                                  </w:p>
                                </w:txbxContent>
                              </wps:txbx>
                              <wps:bodyPr lIns="18000" tIns="10800" rIns="18000" bIns="10800" upright="1"/>
                            </wps:wsp>
                            <wps:wsp>
                              <wps:cNvPr id="35" name="文本框 17"/>
                              <wps:cNvSpPr txBox="1"/>
                              <wps:spPr>
                                <a:xfrm>
                                  <a:off x="294005" y="618016"/>
                                  <a:ext cx="1028700" cy="2159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8B47A2">
                                    <w:pPr>
                                      <w:spacing w:line="240" w:lineRule="atLeast"/>
                                      <w:jc w:val="center"/>
                                      <w:rPr>
                                        <w:rFonts w:ascii="宋体" w:hAnsi="宋体"/>
                                        <w:szCs w:val="21"/>
                                      </w:rPr>
                                    </w:pPr>
                                    <w:r>
                                      <w:rPr>
                                        <w:rFonts w:hint="eastAsia" w:ascii="宋体" w:hAnsi="宋体"/>
                                        <w:szCs w:val="21"/>
                                      </w:rPr>
                                      <w:t>场地平整</w:t>
                                    </w:r>
                                  </w:p>
                                </w:txbxContent>
                              </wps:txbx>
                              <wps:bodyPr lIns="18000" tIns="10800" rIns="18000" bIns="10800" upright="1"/>
                            </wps:wsp>
                            <wps:wsp>
                              <wps:cNvPr id="36" name="文本框 18"/>
                              <wps:cNvSpPr txBox="1"/>
                              <wps:spPr>
                                <a:xfrm>
                                  <a:off x="294005" y="1132500"/>
                                  <a:ext cx="1028700" cy="2159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D2CF38">
                                    <w:pPr>
                                      <w:spacing w:line="240" w:lineRule="atLeast"/>
                                      <w:jc w:val="center"/>
                                      <w:rPr>
                                        <w:rFonts w:ascii="宋体" w:hAnsi="宋体"/>
                                        <w:szCs w:val="21"/>
                                      </w:rPr>
                                    </w:pPr>
                                    <w:r>
                                      <w:rPr>
                                        <w:rFonts w:hint="eastAsia" w:ascii="宋体" w:hAnsi="宋体"/>
                                        <w:szCs w:val="21"/>
                                      </w:rPr>
                                      <w:t>基础开挖</w:t>
                                    </w:r>
                                  </w:p>
                                </w:txbxContent>
                              </wps:txbx>
                              <wps:bodyPr lIns="18000" tIns="10800" rIns="18000" bIns="10800" upright="1"/>
                            </wps:wsp>
                            <wps:wsp>
                              <wps:cNvPr id="39" name="文本框 19"/>
                              <wps:cNvSpPr txBox="1"/>
                              <wps:spPr>
                                <a:xfrm>
                                  <a:off x="327025" y="2692400"/>
                                  <a:ext cx="1028700"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5C072F">
                                    <w:pPr>
                                      <w:spacing w:line="240" w:lineRule="atLeast"/>
                                      <w:jc w:val="center"/>
                                      <w:rPr>
                                        <w:rFonts w:ascii="宋体" w:hAnsi="宋体"/>
                                        <w:szCs w:val="21"/>
                                      </w:rPr>
                                    </w:pPr>
                                    <w:r>
                                      <w:rPr>
                                        <w:rFonts w:hint="eastAsia" w:ascii="宋体" w:hAnsi="宋体"/>
                                        <w:szCs w:val="21"/>
                                      </w:rPr>
                                      <w:t>工程运行</w:t>
                                    </w:r>
                                  </w:p>
                                </w:txbxContent>
                              </wps:txbx>
                              <wps:bodyPr lIns="18000" tIns="10800" rIns="18000" bIns="10800" upright="1"/>
                            </wps:wsp>
                            <wps:wsp>
                              <wps:cNvPr id="40" name="直接连接符 20"/>
                              <wps:cNvCnPr/>
                              <wps:spPr>
                                <a:xfrm>
                                  <a:off x="1351915" y="2255520"/>
                                  <a:ext cx="482600" cy="0"/>
                                </a:xfrm>
                                <a:prstGeom prst="line">
                                  <a:avLst/>
                                </a:prstGeom>
                                <a:ln w="9525" cap="flat" cmpd="sng">
                                  <a:solidFill>
                                    <a:srgbClr val="000000"/>
                                  </a:solidFill>
                                  <a:prstDash val="dash"/>
                                  <a:headEnd type="none" w="med" len="med"/>
                                  <a:tailEnd type="triangle" w="sm" len="med"/>
                                </a:ln>
                              </wps:spPr>
                              <wps:bodyPr/>
                            </wps:wsp>
                            <wps:wsp>
                              <wps:cNvPr id="41" name="文本框 21"/>
                              <wps:cNvSpPr txBox="1"/>
                              <wps:spPr>
                                <a:xfrm>
                                  <a:off x="1898650" y="2710180"/>
                                  <a:ext cx="1856105" cy="228600"/>
                                </a:xfrm>
                                <a:prstGeom prst="rect">
                                  <a:avLst/>
                                </a:prstGeom>
                                <a:solidFill>
                                  <a:srgbClr val="FFFFFF"/>
                                </a:solidFill>
                                <a:ln>
                                  <a:noFill/>
                                </a:ln>
                              </wps:spPr>
                              <wps:txbx>
                                <w:txbxContent>
                                  <w:p w14:paraId="3635B023">
                                    <w:pPr>
                                      <w:rPr>
                                        <w:rFonts w:hint="default" w:ascii="宋体" w:hAnsi="宋体" w:eastAsia="宋体"/>
                                        <w:sz w:val="18"/>
                                        <w:szCs w:val="18"/>
                                        <w:lang w:val="en-US" w:eastAsia="zh-CN"/>
                                      </w:rPr>
                                    </w:pPr>
                                    <w:r>
                                      <w:rPr>
                                        <w:rFonts w:hint="eastAsia" w:ascii="宋体" w:hAnsi="宋体"/>
                                        <w:sz w:val="18"/>
                                        <w:szCs w:val="18"/>
                                      </w:rPr>
                                      <w:t>电磁环境影响、噪声</w:t>
                                    </w:r>
                                    <w:r>
                                      <w:rPr>
                                        <w:rFonts w:hint="eastAsia" w:ascii="宋体" w:hAnsi="宋体"/>
                                        <w:sz w:val="18"/>
                                        <w:szCs w:val="18"/>
                                        <w:lang w:eastAsia="zh-CN"/>
                                      </w:rPr>
                                      <w:t>、</w:t>
                                    </w:r>
                                    <w:r>
                                      <w:rPr>
                                        <w:rFonts w:hint="eastAsia" w:ascii="宋体" w:hAnsi="宋体"/>
                                        <w:sz w:val="18"/>
                                        <w:szCs w:val="18"/>
                                        <w:lang w:val="en-US" w:eastAsia="zh-CN"/>
                                      </w:rPr>
                                      <w:t>生活污水</w:t>
                                    </w:r>
                                  </w:p>
                                </w:txbxContent>
                              </wps:txbx>
                              <wps:bodyPr lIns="18000" tIns="10800" rIns="18000" bIns="10800" upright="1"/>
                            </wps:wsp>
                            <wps:wsp>
                              <wps:cNvPr id="43" name="直接连接符 15"/>
                              <wps:cNvCnPr/>
                              <wps:spPr>
                                <a:xfrm>
                                  <a:off x="825500" y="2370455"/>
                                  <a:ext cx="635" cy="297180"/>
                                </a:xfrm>
                                <a:prstGeom prst="line">
                                  <a:avLst/>
                                </a:prstGeom>
                                <a:ln w="9525" cap="flat" cmpd="sng">
                                  <a:solidFill>
                                    <a:srgbClr val="000000"/>
                                  </a:solidFill>
                                  <a:prstDash val="solid"/>
                                  <a:headEnd type="none" w="med" len="med"/>
                                  <a:tailEnd type="triangle" w="med" len="med"/>
                                </a:ln>
                              </wps:spPr>
                              <wps:bodyPr/>
                            </wps:wsp>
                            <wps:wsp>
                              <wps:cNvPr id="45" name="直接连接符 20"/>
                              <wps:cNvCnPr/>
                              <wps:spPr>
                                <a:xfrm>
                                  <a:off x="1396365" y="2836545"/>
                                  <a:ext cx="482600" cy="0"/>
                                </a:xfrm>
                                <a:prstGeom prst="line">
                                  <a:avLst/>
                                </a:prstGeom>
                                <a:ln w="9525" cap="flat" cmpd="sng">
                                  <a:solidFill>
                                    <a:srgbClr val="000000"/>
                                  </a:solidFill>
                                  <a:prstDash val="dash"/>
                                  <a:headEnd type="none" w="med" len="med"/>
                                  <a:tailEnd type="triangle" w="sm" len="med"/>
                                </a:ln>
                              </wps:spPr>
                              <wps:bodyPr/>
                            </wps:wsp>
                            <wps:wsp>
                              <wps:cNvPr id="48" name="文本框 13"/>
                              <wps:cNvSpPr txBox="1"/>
                              <wps:spPr>
                                <a:xfrm>
                                  <a:off x="1852930" y="2137410"/>
                                  <a:ext cx="911860" cy="232410"/>
                                </a:xfrm>
                                <a:prstGeom prst="rect">
                                  <a:avLst/>
                                </a:prstGeom>
                                <a:solidFill>
                                  <a:srgbClr val="FFFFFF"/>
                                </a:solidFill>
                                <a:ln>
                                  <a:noFill/>
                                </a:ln>
                              </wps:spPr>
                              <wps:txbx>
                                <w:txbxContent>
                                  <w:p w14:paraId="59615827">
                                    <w:pPr>
                                      <w:rPr>
                                        <w:rFonts w:ascii="宋体" w:hAnsi="宋体"/>
                                        <w:sz w:val="18"/>
                                        <w:szCs w:val="18"/>
                                      </w:rPr>
                                    </w:pPr>
                                    <w:r>
                                      <w:rPr>
                                        <w:rFonts w:hint="eastAsia" w:ascii="宋体" w:hAnsi="宋体"/>
                                        <w:sz w:val="18"/>
                                        <w:szCs w:val="18"/>
                                      </w:rPr>
                                      <w:t>噪声、固体废物</w:t>
                                    </w:r>
                                  </w:p>
                                </w:txbxContent>
                              </wps:txbx>
                              <wps:bodyPr lIns="18000" tIns="10800" rIns="18000" bIns="10800" upright="1"/>
                            </wps:wsp>
                            <wps:wsp>
                              <wps:cNvPr id="69" name="文本框 69"/>
                              <wps:cNvSpPr txBox="1"/>
                              <wps:spPr>
                                <a:xfrm>
                                  <a:off x="306705" y="1651000"/>
                                  <a:ext cx="1036955" cy="233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ACBB90">
                                    <w:pPr>
                                      <w:spacing w:line="240" w:lineRule="atLeast"/>
                                      <w:jc w:val="center"/>
                                      <w:rPr>
                                        <w:rFonts w:hint="default" w:ascii="宋体" w:hAnsi="宋体" w:eastAsia="宋体"/>
                                        <w:szCs w:val="21"/>
                                        <w:lang w:val="en-US" w:eastAsia="zh-CN"/>
                                      </w:rPr>
                                    </w:pPr>
                                    <w:r>
                                      <w:rPr>
                                        <w:rFonts w:hint="eastAsia" w:ascii="宋体" w:hAnsi="宋体"/>
                                        <w:szCs w:val="21"/>
                                        <w:lang w:val="en-US" w:eastAsia="zh-CN"/>
                                      </w:rPr>
                                      <w:t>建筑物施工</w:t>
                                    </w:r>
                                  </w:p>
                                </w:txbxContent>
                              </wps:txbx>
                              <wps:bodyPr lIns="18000" tIns="10800" rIns="18000" bIns="10800" upright="1"/>
                            </wps:wsp>
                          </wpc:wpc>
                        </a:graphicData>
                      </a:graphic>
                    </wp:inline>
                  </w:drawing>
                </mc:Choice>
                <mc:Fallback>
                  <w:pict>
                    <v:group id="_x0000_s1026" o:spid="_x0000_s1026" o:spt="203" style="height:244.5pt;width:341.55pt;" coordsize="4337685,3105150" editas="canvas" o:gfxdata="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IlXpyLXAAAABQEAAA8AAAAAAAAAAQAgAAAAIgAAAGRy&#10;cy9kb3ducmV2LnhtbFBLAQIUABQAAAAIAIdO4kBcDF8eCAYAAE8wAAAOAAAAAAAAAAEAIAAAACYB&#10;AABkcnMvZTJvRG9jLnhtbFBLBQYAAAAABgAGAFkBAACgCQAAAAA=&#10;">
                      <o:lock v:ext="edit" aspectratio="f"/>
                      <v:shape id="_x0000_s1026" o:spid="_x0000_s1026" style="position:absolute;left:0;top:0;height:3105150;width:4337685;" filled="f" stroked="f" coordsize="21600,21600" o:gfxdata="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iVenItcAAAAFAQAADwAAAAAAAAAB&#10;ACAAAAAiAAAAZHJzL2Rvd25yZXYueG1sUEsBAhQAFAAAAAgAh07iQPLYKD/aBQAAyi8AAA4AAAAA&#10;AAAAAQAgAAAAJgEAAGRycy9lMm9Eb2MueG1sUEsFBgAAAAAGAAYAWQEAAHIJAAAAAA==&#10;">
                        <v:fill on="f" focussize="0,0"/>
                        <v:stroke on="f"/>
                        <v:imagedata o:title=""/>
                        <o:lock v:ext="edit" aspectratio="t"/>
                      </v:shape>
                      <v:line id="直接连接符 5" o:spid="_x0000_s1026" o:spt="20" style="position:absolute;left:1320800;top:722818;height:1270;width:491490;" filled="f" stroked="t" coordsize="21600,21600" o:gfxdata="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S6ek9YAAAAFAQAADwAAAAAAAAABACAAAAAiAAAAZHJz&#10;L2Rvd25yZXYueG1sUEsBAhQAFAAAAAgAh07iQD2FRLkGAgAA5wMAAA4AAAAAAAAAAQAgAAAAJQEA&#10;AGRycy9lMm9Eb2MueG1sUEsFBgAAAAAGAAYAWQEAAJ0FAAAAAA==&#10;">
                        <v:fill on="f" focussize="0,0"/>
                        <v:stroke color="#000000" joinstyle="round" dashstyle="dash" endarrow="block" endarrowwidth="narrow"/>
                        <v:imagedata o:title=""/>
                        <o:lock v:ext="edit" aspectratio="f"/>
                      </v:line>
                      <v:shape id="文本框 6" o:spid="_x0000_s1026" o:spt="202" type="#_x0000_t202" style="position:absolute;left:1810385;top:1145203;height:254066;width:2277110;" fillcolor="#FFFFFF" filled="t" stroked="f" coordsize="21600,21600" o:gfxdata="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dQFL70wAAAAUBAAAP&#10;AAAAAAAAAAEAIAAAACIAAABkcnMvZG93bnJldi54bWxQSwECFAAUAAAACACHTuJAZ6enaOQBAAC3&#10;AwAADgAAAAAAAAABACAAAAAiAQAAZHJzL2Uyb0RvYy54bWxQSwUGAAAAAAYABgBZAQAAeAUAAAAA&#10;">
                        <v:fill on="t" focussize="0,0"/>
                        <v:stroke on="f"/>
                        <v:imagedata o:title=""/>
                        <o:lock v:ext="edit" aspectratio="f"/>
                        <v:textbox inset="0.5mm,0.3mm,0.5mm,0.3mm">
                          <w:txbxContent>
                            <w:p w14:paraId="65D8AE07">
                              <w:pPr>
                                <w:rPr>
                                  <w:rFonts w:ascii="宋体" w:hAnsi="宋体"/>
                                  <w:sz w:val="18"/>
                                  <w:szCs w:val="18"/>
                                </w:rPr>
                              </w:pPr>
                              <w:r>
                                <w:rPr>
                                  <w:rFonts w:hint="eastAsia" w:ascii="宋体" w:hAnsi="宋体"/>
                                  <w:sz w:val="18"/>
                                  <w:szCs w:val="18"/>
                                </w:rPr>
                                <w:t>生态影响、施工噪声、施工扬尘、固体废物</w:t>
                              </w:r>
                            </w:p>
                          </w:txbxContent>
                        </v:textbox>
                      </v:shape>
                      <v:line id="直接连接符 7" o:spid="_x0000_s1026" o:spt="20" style="position:absolute;left:1325880;top:1236667;height:1905;width:490220;" filled="f" stroked="t" coordsize="21600,21600" o:gfxdata="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S6ek9YAAAAFAQAADwAAAAAAAAABACAAAAAiAAAAZHJzL2Rv&#10;d25yZXYueG1sUEsBAhQAFAAAAAgAh07iQPerdWIDAgAA6AMAAA4AAAAAAAAAAQAgAAAAJQEAAGRy&#10;cy9lMm9Eb2MueG1sUEsFBgAAAAAGAAYAWQEAAJoFAAAAAA==&#10;">
                        <v:fill on="f" focussize="0,0"/>
                        <v:stroke color="#000000" joinstyle="round" dashstyle="dash" endarrow="block" endarrowwidth="narrow"/>
                        <v:imagedata o:title=""/>
                        <o:lock v:ext="edit" aspectratio="f"/>
                      </v:line>
                      <v:shape id="文本框 8" o:spid="_x0000_s1026" o:spt="202" type="#_x0000_t202" style="position:absolute;left:1811655;top:619286;height:238822;width:1705610;" fillcolor="#FFFFFF" filled="t" stroked="f" coordsize="21600,21600" o:gfxdata="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UBS+9MAAAAFAQAADwAAAAAA&#10;AAABACAAAAAiAAAAZHJzL2Rvd25yZXYueG1sUEsBAhQAFAAAAAgAh07iQJMtxqPfAQAAtwMAAA4A&#10;AAAAAAAAAQAgAAAAIgEAAGRycy9lMm9Eb2MueG1sUEsFBgAAAAAGAAYAWQEAAHMFAAAAAA==&#10;">
                        <v:fill on="t" focussize="0,0"/>
                        <v:stroke on="f"/>
                        <v:imagedata o:title=""/>
                        <o:lock v:ext="edit" aspectratio="f"/>
                        <v:textbox inset="0.5mm,0.3mm,0.5mm,0.3mm">
                          <w:txbxContent>
                            <w:p w14:paraId="52F8DB7A">
                              <w:pPr>
                                <w:rPr>
                                  <w:rFonts w:ascii="宋体" w:hAnsi="宋体"/>
                                  <w:sz w:val="18"/>
                                  <w:szCs w:val="18"/>
                                </w:rPr>
                              </w:pPr>
                              <w:r>
                                <w:rPr>
                                  <w:rFonts w:hint="eastAsia" w:ascii="宋体" w:hAnsi="宋体"/>
                                  <w:sz w:val="18"/>
                                  <w:szCs w:val="18"/>
                                </w:rPr>
                                <w:t>施工噪声、施工扬尘、生态影响</w:t>
                              </w:r>
                            </w:p>
                          </w:txbxContent>
                        </v:textbox>
                      </v:shape>
                      <v:line id="直接连接符 9" o:spid="_x0000_s1026" o:spt="20" style="position:absolute;left:805180;top:327110;height:297257;width:635;" filled="f" stroked="t" coordsize="21600,21600" o:gfxdata="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QnOj3XAAAABQEAAA8AAAAAAAAAAQAgAAAAIgAAAGRycy9kb3du&#10;cmV2LnhtbFBLAQIUABQAAAAIAIdO4kDdGJ//AAIAAOgDAAAOAAAAAAAAAAEAIAAAACYBAABkcnMv&#10;ZTJvRG9jLnhtbFBLBQYAAAAABgAGAFkBAACYBQAAAAA=&#10;">
                        <v:fill on="f" focussize="0,0"/>
                        <v:stroke color="#000000" joinstyle="round" endarrow="block"/>
                        <v:imagedata o:title=""/>
                        <o:lock v:ext="edit" aspectratio="f"/>
                      </v:line>
                      <v:line id="直接连接符 10" o:spid="_x0000_s1026" o:spt="20" style="position:absolute;left:817245;top:846040;height:297257;width:635;" filled="f" stroked="t" coordsize="21600,21600" o:gfxdata="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Cc6PdcAAAAFAQAADwAAAAAAAAABACAAAAAiAAAAZHJzL2Rvd25y&#10;ZXYueG1sUEsBAhQAFAAAAAgAh07iQL8cZQT/AQAA6QMAAA4AAAAAAAAAAQAgAAAAJgEAAGRycy9l&#10;Mm9Eb2MueG1sUEsFBgAAAAAGAAYAWQEAAJcFAAAAAA==&#10;">
                        <v:fill on="f" focussize="0,0"/>
                        <v:stroke color="#000000" joinstyle="round" endarrow="block"/>
                        <v:imagedata o:title=""/>
                        <o:lock v:ext="edit" aspectratio="f"/>
                      </v:line>
                      <v:line id="直接连接符 11" o:spid="_x0000_s1026" o:spt="20" style="position:absolute;left:815340;top:1356713;height:297257;width:635;" filled="f" stroked="t" coordsize="21600,21600" o:gfxdata="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QnOj3XAAAABQEAAA8AAAAAAAAAAQAgAAAAIgAAAGRycy9k&#10;b3ducmV2LnhtbFBLAQIUABQAAAAIAIdO4kCGyuTOAwIAAOoDAAAOAAAAAAAAAAEAIAAAACYBAABk&#10;cnMvZTJvRG9jLnhtbFBLBQYAAAAABgAGAFkBAACbBQAAAAA=&#10;">
                        <v:fill on="f" focussize="0,0"/>
                        <v:stroke color="#000000" joinstyle="round" endarrow="block"/>
                        <v:imagedata o:title=""/>
                        <o:lock v:ext="edit" aspectratio="f"/>
                      </v:line>
                      <v:line id="直接连接符 12" o:spid="_x0000_s1026" o:spt="20" style="position:absolute;left:1339215;top:1774190;height:1270;width:491490;" filled="f" stroked="t" coordsize="21600,21600" o:gfxdata="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S6ek9YAAAAFAQAADwAAAAAAAAABACAAAAAiAAAAZHJz&#10;L2Rvd25yZXYueG1sUEsBAhQAFAAAAAgAh07iQLAnq8YGAgAA6gMAAA4AAAAAAAAAAQAgAAAAJQEA&#10;AGRycy9lMm9Eb2MueG1sUEsFBgAAAAAGAAYAWQEAAJ0FAAAAAA==&#10;">
                        <v:fill on="f" focussize="0,0"/>
                        <v:stroke color="#000000" joinstyle="round" dashstyle="dash" endarrow="block" endarrowwidth="narrow"/>
                        <v:imagedata o:title=""/>
                        <o:lock v:ext="edit" aspectratio="f"/>
                      </v:line>
                      <v:shape id="文本框 13" o:spid="_x0000_s1026" o:spt="202" type="#_x0000_t202" style="position:absolute;left:1825625;top:1663065;height:232410;width:911860;" fillcolor="#FFFFFF" filled="t" stroked="f" coordsize="21600,21600" o:gfxdata="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dQFL70wAAAAUBAAAP&#10;AAAAAAAAAAEAIAAAACIAAABkcnMvZG93bnJldi54bWxQSwECFAAUAAAACACHTuJANA1L2OQBAAC4&#10;AwAADgAAAAAAAAABACAAAAAiAQAAZHJzL2Uyb0RvYy54bWxQSwUGAAAAAAYABgBZAQAAeAUAAAAA&#10;">
                        <v:fill on="t" focussize="0,0"/>
                        <v:stroke on="f"/>
                        <v:imagedata o:title=""/>
                        <o:lock v:ext="edit" aspectratio="f"/>
                        <v:textbox inset="0.5mm,0.3mm,0.5mm,0.3mm">
                          <w:txbxContent>
                            <w:p w14:paraId="65EE87CE">
                              <w:pPr>
                                <w:rPr>
                                  <w:rFonts w:ascii="宋体" w:hAnsi="宋体"/>
                                  <w:sz w:val="18"/>
                                  <w:szCs w:val="18"/>
                                </w:rPr>
                              </w:pPr>
                              <w:r>
                                <w:rPr>
                                  <w:rFonts w:hint="eastAsia" w:ascii="宋体" w:hAnsi="宋体"/>
                                  <w:sz w:val="18"/>
                                  <w:szCs w:val="18"/>
                                </w:rPr>
                                <w:t>噪声、固体废物</w:t>
                              </w:r>
                            </w:p>
                          </w:txbxContent>
                        </v:textbox>
                      </v:shape>
                      <v:shape id="文本框 14" o:spid="_x0000_s1026" o:spt="202" type="#_x0000_t202" style="position:absolute;left:315595;top:2142490;height:233045;width:1036955;" fillcolor="#FFFFFF" filled="t" stroked="t" coordsize="21600,21600" o:gfxdata="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uUUO1QAAAAUBAAAPAAAAAAAAAAEAIAAAACIAAABkcnMvZG93bnJldi54bWxQSwECFAAU&#10;AAAACACHTuJAL5MV1y0CAAB3BAAADgAAAAAAAAABACAAAAAkAQAAZHJzL2Uyb0RvYy54bWxQSwUG&#10;AAAAAAYABgBZAQAAwwUAAAAA&#10;">
                        <v:fill on="t" focussize="0,0"/>
                        <v:stroke color="#000000" joinstyle="miter"/>
                        <v:imagedata o:title=""/>
                        <o:lock v:ext="edit" aspectratio="f"/>
                        <v:textbox inset="0.5mm,0.3mm,0.5mm,0.3mm">
                          <w:txbxContent>
                            <w:p w14:paraId="5BCCEFDB">
                              <w:pPr>
                                <w:spacing w:line="240" w:lineRule="atLeast"/>
                                <w:jc w:val="center"/>
                                <w:rPr>
                                  <w:rFonts w:ascii="宋体" w:hAnsi="宋体"/>
                                  <w:szCs w:val="21"/>
                                </w:rPr>
                              </w:pPr>
                              <w:r>
                                <w:rPr>
                                  <w:rFonts w:hint="eastAsia" w:ascii="宋体" w:hAnsi="宋体"/>
                                  <w:szCs w:val="21"/>
                                </w:rPr>
                                <w:t>设备安装调试</w:t>
                              </w:r>
                            </w:p>
                          </w:txbxContent>
                        </v:textbox>
                      </v:shape>
                      <v:line id="直接连接符 15" o:spid="_x0000_s1026" o:spt="20" style="position:absolute;left:820420;top:1863725;height:297180;width:635;" filled="f" stroked="t" coordsize="21600,21600" o:gfxdata="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QnOj3XAAAABQEAAA8AAAAAAAAAAQAgAAAAIgAAAGRy&#10;cy9kb3ducmV2LnhtbFBLAQIUABQAAAAIAIdO4kBEXbWNBgIAAOoDAAAOAAAAAAAAAAEAIAAAACYB&#10;AABkcnMvZTJvRG9jLnhtbFBLBQYAAAAABgAGAFkBAACeBQAAAAA=&#10;">
                        <v:fill on="f" focussize="0,0"/>
                        <v:stroke color="#000000" joinstyle="round" endarrow="block"/>
                        <v:imagedata o:title=""/>
                        <o:lock v:ext="edit" aspectratio="f"/>
                      </v:line>
                      <v:shape id="文本框 16" o:spid="_x0000_s1026" o:spt="202" type="#_x0000_t202" style="position:absolute;left:287655;top:93345;height:215900;width:1028700;" fillcolor="#FFFFFF" filled="t" stroked="t" coordsize="21600,21600" o:gfxdata="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W5RQ7VAAAABQEAAA8AAAAAAAAAAQAgAAAAIgAAAGRycy9kb3ducmV2LnhtbFBLAQIUABQA&#10;AAAIAIdO4kArS58zLAIAAHUEAAAOAAAAAAAAAAEAIAAAACQBAABkcnMvZTJvRG9jLnhtbFBLBQYA&#10;AAAABgAGAFkBAADCBQAAAAA=&#10;">
                        <v:fill on="t" focussize="0,0"/>
                        <v:stroke color="#000000" joinstyle="miter"/>
                        <v:imagedata o:title=""/>
                        <o:lock v:ext="edit" aspectratio="f"/>
                        <v:textbox inset="0.5mm,0.3mm,0.5mm,0.3mm">
                          <w:txbxContent>
                            <w:p w14:paraId="1719D65E">
                              <w:pPr>
                                <w:spacing w:line="240" w:lineRule="atLeast"/>
                                <w:jc w:val="center"/>
                                <w:rPr>
                                  <w:rFonts w:ascii="宋体" w:hAnsi="宋体"/>
                                  <w:szCs w:val="21"/>
                                </w:rPr>
                              </w:pPr>
                              <w:r>
                                <w:rPr>
                                  <w:rFonts w:hint="eastAsia" w:ascii="宋体" w:hAnsi="宋体"/>
                                  <w:szCs w:val="21"/>
                                </w:rPr>
                                <w:t>施工准备</w:t>
                              </w:r>
                            </w:p>
                          </w:txbxContent>
                        </v:textbox>
                      </v:shape>
                      <v:shape id="文本框 17" o:spid="_x0000_s1026" o:spt="202" type="#_x0000_t202" style="position:absolute;left:294005;top:618016;height:215956;width:1028700;" fillcolor="#FFFFFF" filled="t" stroked="t" coordsize="21600,21600" o:gfxdata="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uUUO1QAAAAUBAAAPAAAAAAAAAAEAIAAAACIAAABkcnMvZG93bnJldi54bWxQSwECFAAU&#10;AAAACACHTuJABsimay0CAAB2BAAADgAAAAAAAAABACAAAAAkAQAAZHJzL2Uyb0RvYy54bWxQSwUG&#10;AAAAAAYABgBZAQAAwwUAAAAA&#10;">
                        <v:fill on="t" focussize="0,0"/>
                        <v:stroke color="#000000" joinstyle="miter"/>
                        <v:imagedata o:title=""/>
                        <o:lock v:ext="edit" aspectratio="f"/>
                        <v:textbox inset="0.5mm,0.3mm,0.5mm,0.3mm">
                          <w:txbxContent>
                            <w:p w14:paraId="5D8B47A2">
                              <w:pPr>
                                <w:spacing w:line="240" w:lineRule="atLeast"/>
                                <w:jc w:val="center"/>
                                <w:rPr>
                                  <w:rFonts w:ascii="宋体" w:hAnsi="宋体"/>
                                  <w:szCs w:val="21"/>
                                </w:rPr>
                              </w:pPr>
                              <w:r>
                                <w:rPr>
                                  <w:rFonts w:hint="eastAsia" w:ascii="宋体" w:hAnsi="宋体"/>
                                  <w:szCs w:val="21"/>
                                </w:rPr>
                                <w:t>场地平整</w:t>
                              </w:r>
                            </w:p>
                          </w:txbxContent>
                        </v:textbox>
                      </v:shape>
                      <v:shape id="文本框 18" o:spid="_x0000_s1026" o:spt="202" type="#_x0000_t202" style="position:absolute;left:294005;top:1132500;height:215956;width:1028700;" fillcolor="#FFFFFF" filled="t" stroked="t" coordsize="21600,21600" o:gfxdata="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uUUO1QAAAAUBAAAPAAAAAAAAAAEAIAAAACIAAABkcnMvZG93bnJldi54bWxQSwECFAAU&#10;AAAACACHTuJAmxK/1C0CAAB3BAAADgAAAAAAAAABACAAAAAkAQAAZHJzL2Uyb0RvYy54bWxQSwUG&#10;AAAAAAYABgBZAQAAwwUAAAAA&#10;">
                        <v:fill on="t" focussize="0,0"/>
                        <v:stroke color="#000000" joinstyle="miter"/>
                        <v:imagedata o:title=""/>
                        <o:lock v:ext="edit" aspectratio="f"/>
                        <v:textbox inset="0.5mm,0.3mm,0.5mm,0.3mm">
                          <w:txbxContent>
                            <w:p w14:paraId="56D2CF38">
                              <w:pPr>
                                <w:spacing w:line="240" w:lineRule="atLeast"/>
                                <w:jc w:val="center"/>
                                <w:rPr>
                                  <w:rFonts w:ascii="宋体" w:hAnsi="宋体"/>
                                  <w:szCs w:val="21"/>
                                </w:rPr>
                              </w:pPr>
                              <w:r>
                                <w:rPr>
                                  <w:rFonts w:hint="eastAsia" w:ascii="宋体" w:hAnsi="宋体"/>
                                  <w:szCs w:val="21"/>
                                </w:rPr>
                                <w:t>基础开挖</w:t>
                              </w:r>
                            </w:p>
                          </w:txbxContent>
                        </v:textbox>
                      </v:shape>
                      <v:shape id="文本框 19" o:spid="_x0000_s1026" o:spt="202" type="#_x0000_t202" style="position:absolute;left:327025;top:2692400;height:215900;width:1028700;" fillcolor="#FFFFFF" filled="t" stroked="t" coordsize="21600,21600" o:gfxdata="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blFDtUAAAAFAQAADwAAAAAAAAABACAAAAAiAAAAZHJzL2Rvd25yZXYueG1sUEsBAhQA&#10;FAAAAAgAh07iQCRtf1suAgAAdwQAAA4AAAAAAAAAAQAgAAAAJAEAAGRycy9lMm9Eb2MueG1sUEsF&#10;BgAAAAAGAAYAWQEAAMQFAAAAAA==&#10;">
                        <v:fill on="t" focussize="0,0"/>
                        <v:stroke color="#000000" joinstyle="miter"/>
                        <v:imagedata o:title=""/>
                        <o:lock v:ext="edit" aspectratio="f"/>
                        <v:textbox inset="0.5mm,0.3mm,0.5mm,0.3mm">
                          <w:txbxContent>
                            <w:p w14:paraId="5E5C072F">
                              <w:pPr>
                                <w:spacing w:line="240" w:lineRule="atLeast"/>
                                <w:jc w:val="center"/>
                                <w:rPr>
                                  <w:rFonts w:ascii="宋体" w:hAnsi="宋体"/>
                                  <w:szCs w:val="21"/>
                                </w:rPr>
                              </w:pPr>
                              <w:r>
                                <w:rPr>
                                  <w:rFonts w:hint="eastAsia" w:ascii="宋体" w:hAnsi="宋体"/>
                                  <w:szCs w:val="21"/>
                                </w:rPr>
                                <w:t>工程运行</w:t>
                              </w:r>
                            </w:p>
                          </w:txbxContent>
                        </v:textbox>
                      </v:shape>
                      <v:line id="直接连接符 20" o:spid="_x0000_s1026" o:spt="20" style="position:absolute;left:1351915;top:2255520;height:0;width:482600;" filled="f" stroked="t" coordsize="21600,21600" o:gfxdata="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UunpPWAAAABQEAAA8AAAAAAAAAAQAgAAAAIgAAAGRycy9k&#10;b3ducmV2LnhtbFBLAQIUABQAAAAIAIdO4kBnm8j4BAIAAOcDAAAOAAAAAAAAAAEAIAAAACUBAABk&#10;cnMvZTJvRG9jLnhtbFBLBQYAAAAABgAGAFkBAACbBQAAAAA=&#10;">
                        <v:fill on="f" focussize="0,0"/>
                        <v:stroke color="#000000" joinstyle="round" dashstyle="dash" endarrow="block" endarrowwidth="narrow"/>
                        <v:imagedata o:title=""/>
                        <o:lock v:ext="edit" aspectratio="f"/>
                      </v:line>
                      <v:shape id="文本框 21" o:spid="_x0000_s1026" o:spt="202" type="#_x0000_t202" style="position:absolute;left:1898650;top:2710180;height:228600;width:1856105;" fillcolor="#FFFFFF" filled="t" stroked="f" coordsize="21600,21600" o:gfxdata="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QFL70wAAAAUBAAAPAAAA&#10;AAAAAAEAIAAAACIAAABkcnMvZG93bnJldi54bWxQSwECFAAUAAAACACHTuJABNMe2uEBAAC5AwAA&#10;DgAAAAAAAAABACAAAAAiAQAAZHJzL2Uyb0RvYy54bWxQSwUGAAAAAAYABgBZAQAAdQUAAAAA&#10;">
                        <v:fill on="t" focussize="0,0"/>
                        <v:stroke on="f"/>
                        <v:imagedata o:title=""/>
                        <o:lock v:ext="edit" aspectratio="f"/>
                        <v:textbox inset="0.5mm,0.3mm,0.5mm,0.3mm">
                          <w:txbxContent>
                            <w:p w14:paraId="3635B023">
                              <w:pPr>
                                <w:rPr>
                                  <w:rFonts w:hint="default" w:ascii="宋体" w:hAnsi="宋体" w:eastAsia="宋体"/>
                                  <w:sz w:val="18"/>
                                  <w:szCs w:val="18"/>
                                  <w:lang w:val="en-US" w:eastAsia="zh-CN"/>
                                </w:rPr>
                              </w:pPr>
                              <w:r>
                                <w:rPr>
                                  <w:rFonts w:hint="eastAsia" w:ascii="宋体" w:hAnsi="宋体"/>
                                  <w:sz w:val="18"/>
                                  <w:szCs w:val="18"/>
                                </w:rPr>
                                <w:t>电磁环境影响、噪声</w:t>
                              </w:r>
                              <w:r>
                                <w:rPr>
                                  <w:rFonts w:hint="eastAsia" w:ascii="宋体" w:hAnsi="宋体"/>
                                  <w:sz w:val="18"/>
                                  <w:szCs w:val="18"/>
                                  <w:lang w:eastAsia="zh-CN"/>
                                </w:rPr>
                                <w:t>、</w:t>
                              </w:r>
                              <w:r>
                                <w:rPr>
                                  <w:rFonts w:hint="eastAsia" w:ascii="宋体" w:hAnsi="宋体"/>
                                  <w:sz w:val="18"/>
                                  <w:szCs w:val="18"/>
                                  <w:lang w:val="en-US" w:eastAsia="zh-CN"/>
                                </w:rPr>
                                <w:t>生活污水</w:t>
                              </w:r>
                            </w:p>
                          </w:txbxContent>
                        </v:textbox>
                      </v:shape>
                      <v:line id="直接连接符 15" o:spid="_x0000_s1026" o:spt="20" style="position:absolute;left:825500;top:2370455;height:297180;width:635;" filled="f" stroked="t" coordsize="21600,21600" o:gfxdata="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Cc6PdcAAAAFAQAADwAAAAAAAAABACAAAAAiAAAAZHJz&#10;L2Rvd25yZXYueG1sUEsBAhQAFAAAAAgAh07iQFQ+X5UFAgAA6gMAAA4AAAAAAAAAAQAgAAAAJgEA&#10;AGRycy9lMm9Eb2MueG1sUEsFBgAAAAAGAAYAWQEAAJ0FAAAAAA==&#10;">
                        <v:fill on="f" focussize="0,0"/>
                        <v:stroke color="#000000" joinstyle="round" endarrow="block"/>
                        <v:imagedata o:title=""/>
                        <o:lock v:ext="edit" aspectratio="f"/>
                      </v:line>
                      <v:line id="直接连接符 20" o:spid="_x0000_s1026" o:spt="20" style="position:absolute;left:1396365;top:2836545;height:0;width:482600;" filled="f" stroked="t" coordsize="21600,21600" o:gfxdata="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Lp6T1gAAAAUBAAAPAAAAAAAAAAEAIAAAACIAAABkcnMvZG93&#10;bnJldi54bWxQSwECFAAUAAAACACHTuJAHs8YBwICAADnAwAADgAAAAAAAAABACAAAAAlAQAAZHJz&#10;L2Uyb0RvYy54bWxQSwUGAAAAAAYABgBZAQAAmQUAAAAA&#10;">
                        <v:fill on="f" focussize="0,0"/>
                        <v:stroke color="#000000" joinstyle="round" dashstyle="dash" endarrow="block" endarrowwidth="narrow"/>
                        <v:imagedata o:title=""/>
                        <o:lock v:ext="edit" aspectratio="f"/>
                      </v:line>
                      <v:shape id="文本框 13" o:spid="_x0000_s1026" o:spt="202" type="#_x0000_t202" style="position:absolute;left:1852930;top:2137410;height:232410;width:911860;" fillcolor="#FFFFFF" filled="t" stroked="f" coordsize="21600,21600" o:gfxdata="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QFL70wAAAAUBAAAPAAAA&#10;AAAAAAEAIAAAACIAAABkcnMvZG93bnJldi54bWxQSwECFAAUAAAACACHTuJAxnbTjuEBAAC4AwAA&#10;DgAAAAAAAAABACAAAAAiAQAAZHJzL2Uyb0RvYy54bWxQSwUGAAAAAAYABgBZAQAAdQUAAAAA&#10;">
                        <v:fill on="t" focussize="0,0"/>
                        <v:stroke on="f"/>
                        <v:imagedata o:title=""/>
                        <o:lock v:ext="edit" aspectratio="f"/>
                        <v:textbox inset="0.5mm,0.3mm,0.5mm,0.3mm">
                          <w:txbxContent>
                            <w:p w14:paraId="59615827">
                              <w:pPr>
                                <w:rPr>
                                  <w:rFonts w:ascii="宋体" w:hAnsi="宋体"/>
                                  <w:sz w:val="18"/>
                                  <w:szCs w:val="18"/>
                                </w:rPr>
                              </w:pPr>
                              <w:r>
                                <w:rPr>
                                  <w:rFonts w:hint="eastAsia" w:ascii="宋体" w:hAnsi="宋体"/>
                                  <w:sz w:val="18"/>
                                  <w:szCs w:val="18"/>
                                </w:rPr>
                                <w:t>噪声、固体废物</w:t>
                              </w:r>
                            </w:p>
                          </w:txbxContent>
                        </v:textbox>
                      </v:shape>
                      <v:shape id="_x0000_s1026" o:spid="_x0000_s1026" o:spt="202" type="#_x0000_t202" style="position:absolute;left:306705;top:1651000;height:233045;width:1036955;" fillcolor="#FFFFFF" filled="t" stroked="t" coordsize="21600,21600" o:gfxdata="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uUUO1QAAAAUBAAAPAAAAAAAAAAEAIAAAACIAAABkcnMvZG93bnJldi54bWxQSwECFAAU&#10;AAAACACHTuJAW7TJ7C0CAAB3BAAADgAAAAAAAAABACAAAAAkAQAAZHJzL2Uyb0RvYy54bWxQSwUG&#10;AAAAAAYABgBZAQAAwwUAAAAA&#10;">
                        <v:fill on="t" focussize="0,0"/>
                        <v:stroke color="#000000" joinstyle="miter"/>
                        <v:imagedata o:title=""/>
                        <o:lock v:ext="edit" aspectratio="f"/>
                        <v:textbox inset="0.5mm,0.3mm,0.5mm,0.3mm">
                          <w:txbxContent>
                            <w:p w14:paraId="1DACBB90">
                              <w:pPr>
                                <w:spacing w:line="240" w:lineRule="atLeast"/>
                                <w:jc w:val="center"/>
                                <w:rPr>
                                  <w:rFonts w:hint="default" w:ascii="宋体" w:hAnsi="宋体" w:eastAsia="宋体"/>
                                  <w:szCs w:val="21"/>
                                  <w:lang w:val="en-US" w:eastAsia="zh-CN"/>
                                </w:rPr>
                              </w:pPr>
                              <w:r>
                                <w:rPr>
                                  <w:rFonts w:hint="eastAsia" w:ascii="宋体" w:hAnsi="宋体"/>
                                  <w:szCs w:val="21"/>
                                  <w:lang w:val="en-US" w:eastAsia="zh-CN"/>
                                </w:rPr>
                                <w:t>建筑物施工</w:t>
                              </w:r>
                            </w:p>
                          </w:txbxContent>
                        </v:textbox>
                      </v:shape>
                      <w10:wrap type="none"/>
                      <w10:anchorlock/>
                    </v:group>
                  </w:pict>
                </mc:Fallback>
              </mc:AlternateContent>
            </w:r>
          </w:p>
          <w:p w14:paraId="5F12F836">
            <w:pPr>
              <w:pStyle w:val="11"/>
              <w:snapToGrid/>
              <w:spacing w:before="0" w:after="0" w:line="360" w:lineRule="auto"/>
              <w:ind w:right="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图2-1  变电站工程工艺及产污环节示意图</w:t>
            </w:r>
          </w:p>
          <w:p w14:paraId="75C9088E">
            <w:pPr>
              <w:pStyle w:val="11"/>
              <w:snapToGrid/>
              <w:spacing w:before="0" w:after="0" w:line="360" w:lineRule="auto"/>
              <w:ind w:right="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（2）线路工程</w:t>
            </w:r>
          </w:p>
          <w:p w14:paraId="3C5A20BA">
            <w:pPr>
              <w:pStyle w:val="11"/>
              <w:spacing w:before="0" w:after="0" w:line="360" w:lineRule="auto"/>
              <w:ind w:firstLine="480" w:firstLineChars="200"/>
              <w:outlineLvl w:val="9"/>
              <w:rPr>
                <w:rFonts w:hint="eastAsia" w:ascii="Times New Roman" w:hAnsi="Times New Roman" w:eastAsia="宋体"/>
                <w:color w:val="000000" w:themeColor="text1"/>
                <w:spacing w:val="0"/>
                <w:sz w:val="24"/>
                <w:highlight w:val="none"/>
                <w:lang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架空</w:t>
            </w:r>
            <w:r>
              <w:rPr>
                <w:rFonts w:ascii="Times New Roman" w:hAnsi="Times New Roman" w:eastAsia="宋体"/>
                <w:color w:val="000000" w:themeColor="text1"/>
                <w:spacing w:val="0"/>
                <w:sz w:val="24"/>
                <w:highlight w:val="none"/>
                <w14:textFill>
                  <w14:solidFill>
                    <w14:schemeClr w14:val="tx1"/>
                  </w14:solidFill>
                </w14:textFill>
              </w:rPr>
              <w:t>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工程施工</w:t>
            </w:r>
            <w:r>
              <w:rPr>
                <w:rFonts w:ascii="Times New Roman" w:hAnsi="Times New Roman" w:eastAsia="宋体"/>
                <w:color w:val="000000" w:themeColor="text1"/>
                <w:spacing w:val="0"/>
                <w:sz w:val="24"/>
                <w:highlight w:val="none"/>
                <w14:textFill>
                  <w14:solidFill>
                    <w14:schemeClr w14:val="tx1"/>
                  </w14:solidFill>
                </w14:textFill>
              </w:rPr>
              <w:t>主要包括</w:t>
            </w:r>
            <w:r>
              <w:rPr>
                <w:rFonts w:hint="eastAsia"/>
                <w:color w:val="000000" w:themeColor="text1"/>
                <w:spacing w:val="0"/>
                <w:sz w:val="24"/>
                <w:highlight w:val="none"/>
                <w:lang w:val="en-US" w:eastAsia="zh-CN"/>
                <w14:textFill>
                  <w14:solidFill>
                    <w14:schemeClr w14:val="tx1"/>
                  </w14:solidFill>
                </w14:textFill>
              </w:rPr>
              <w:t>施工准备（含塔基拆除）、</w:t>
            </w:r>
            <w:r>
              <w:rPr>
                <w:rFonts w:ascii="Times New Roman" w:hAnsi="Times New Roman" w:eastAsia="宋体"/>
                <w:color w:val="000000" w:themeColor="text1"/>
                <w:spacing w:val="0"/>
                <w:sz w:val="24"/>
                <w:highlight w:val="none"/>
                <w14:textFill>
                  <w14:solidFill>
                    <w14:schemeClr w14:val="tx1"/>
                  </w14:solidFill>
                </w14:textFill>
              </w:rPr>
              <w:t>塔基施工、组立铁塔、导地线放线等</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线路工程</w:t>
            </w:r>
            <w:r>
              <w:rPr>
                <w:rFonts w:ascii="Times New Roman" w:hAnsi="Times New Roman" w:eastAsia="宋体"/>
                <w:bCs/>
                <w:color w:val="000000" w:themeColor="text1"/>
                <w:spacing w:val="0"/>
                <w:sz w:val="24"/>
                <w:highlight w:val="none"/>
                <w14:textFill>
                  <w14:solidFill>
                    <w14:schemeClr w14:val="tx1"/>
                  </w14:solidFill>
                </w14:textFill>
              </w:rPr>
              <w:t>施工期工艺流程及产污环节见</w:t>
            </w:r>
            <w:r>
              <w:rPr>
                <w:rFonts w:hint="eastAsia"/>
                <w:bCs/>
                <w:color w:val="000000" w:themeColor="text1"/>
                <w:spacing w:val="0"/>
                <w:sz w:val="24"/>
                <w:highlight w:val="none"/>
                <w:lang w:val="en-US" w:eastAsia="zh-CN"/>
                <w14:textFill>
                  <w14:solidFill>
                    <w14:schemeClr w14:val="tx1"/>
                  </w14:solidFill>
                </w14:textFill>
              </w:rPr>
              <w:t>下图</w:t>
            </w:r>
            <w:r>
              <w:rPr>
                <w:rFonts w:ascii="Times New Roman" w:hAnsi="Times New Roman" w:eastAsia="宋体"/>
                <w:bCs/>
                <w:color w:val="000000" w:themeColor="text1"/>
                <w:spacing w:val="0"/>
                <w:sz w:val="24"/>
                <w:highlight w:val="none"/>
                <w14:textFill>
                  <w14:solidFill>
                    <w14:schemeClr w14:val="tx1"/>
                  </w14:solidFill>
                </w14:textFill>
              </w:rPr>
              <w:t>。</w:t>
            </w:r>
          </w:p>
          <w:p w14:paraId="525ED031">
            <w:pPr>
              <w:jc w:val="center"/>
              <w:outlineLvl w:val="9"/>
              <w:rPr>
                <w:rFonts w:hint="eastAsia" w:ascii="Times New Roman" w:hAnsi="Times New Roman" w:eastAsia="宋体"/>
                <w:color w:val="000000" w:themeColor="text1"/>
                <w:spacing w:val="0"/>
                <w:sz w:val="24"/>
                <w:highlight w:val="none"/>
                <w:lang w:eastAsia="zh-CN"/>
                <w14:textFill>
                  <w14:solidFill>
                    <w14:schemeClr w14:val="tx1"/>
                  </w14:solidFill>
                </w14:textFill>
              </w:rPr>
            </w:pPr>
            <w:r>
              <w:rPr>
                <w:rFonts w:hint="eastAsia" w:eastAsia="宋体"/>
                <w:color w:val="000000" w:themeColor="text1"/>
                <w:sz w:val="24"/>
                <w:highlight w:val="none"/>
                <w:lang w:eastAsia="zh-CN"/>
                <w14:textFill>
                  <w14:solidFill>
                    <w14:schemeClr w14:val="tx1"/>
                  </w14:solidFill>
                </w14:textFill>
              </w:rPr>
              <w:drawing>
                <wp:inline distT="0" distB="0" distL="114300" distR="114300">
                  <wp:extent cx="5405755" cy="2009140"/>
                  <wp:effectExtent l="0" t="0" r="0" b="0"/>
                  <wp:docPr id="25" name="ECB019B1-382A-4266-B25C-5B523AA43C14-1" descr="C:/Users/Administrator/AppData/Local/Temp/wps.Ibbmv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1" descr="C:/Users/Administrator/AppData/Local/Temp/wps.Ibbmvkwps"/>
                          <pic:cNvPicPr>
                            <a:picLocks noChangeAspect="1"/>
                          </pic:cNvPicPr>
                        </pic:nvPicPr>
                        <pic:blipFill>
                          <a:blip r:embed="rId6"/>
                          <a:srcRect t="3841" b="5474"/>
                          <a:stretch>
                            <a:fillRect/>
                          </a:stretch>
                        </pic:blipFill>
                        <pic:spPr>
                          <a:xfrm>
                            <a:off x="0" y="0"/>
                            <a:ext cx="5405755" cy="2009140"/>
                          </a:xfrm>
                          <a:prstGeom prst="rect">
                            <a:avLst/>
                          </a:prstGeom>
                        </pic:spPr>
                      </pic:pic>
                    </a:graphicData>
                  </a:graphic>
                </wp:inline>
              </w:drawing>
            </w:r>
          </w:p>
          <w:p w14:paraId="10E979BE">
            <w:pPr>
              <w:pStyle w:val="11"/>
              <w:widowControl w:val="0"/>
              <w:snapToGrid/>
              <w:spacing w:before="0" w:after="0" w:line="360" w:lineRule="auto"/>
              <w:jc w:val="center"/>
              <w:outlineLvl w:val="9"/>
              <w:rPr>
                <w:color w:val="000000" w:themeColor="text1"/>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 xml:space="preserve">图2-2  </w:t>
            </w:r>
            <w:r>
              <w:rPr>
                <w:rFonts w:hint="eastAsia" w:ascii="Times New Roman" w:hAnsi="Times New Roman" w:eastAsia="宋体"/>
                <w:b/>
                <w:color w:val="000000" w:themeColor="text1"/>
                <w:spacing w:val="0"/>
                <w:sz w:val="24"/>
                <w:highlight w:val="none"/>
                <w14:textFill>
                  <w14:solidFill>
                    <w14:schemeClr w14:val="tx1"/>
                  </w14:solidFill>
                </w14:textFill>
              </w:rPr>
              <w:t>架空线路</w:t>
            </w: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工程</w:t>
            </w:r>
            <w:r>
              <w:rPr>
                <w:rFonts w:ascii="Times New Roman" w:hAnsi="Times New Roman" w:eastAsia="宋体"/>
                <w:b/>
                <w:color w:val="000000" w:themeColor="text1"/>
                <w:spacing w:val="0"/>
                <w:sz w:val="24"/>
                <w:highlight w:val="none"/>
                <w14:textFill>
                  <w14:solidFill>
                    <w14:schemeClr w14:val="tx1"/>
                  </w14:solidFill>
                </w14:textFill>
              </w:rPr>
              <w:t>施工工艺及产污环节示意图</w:t>
            </w:r>
            <w:r>
              <w:rPr>
                <w:color w:val="000000" w:themeColor="text1"/>
                <w14:textFill>
                  <w14:solidFill>
                    <w14:schemeClr w14:val="tx1"/>
                  </w14:solidFill>
                </w14:textFill>
              </w:rPr>
              <w:object>
                <v:shape id="_x0000_i1025" o:spt="75" type="#_x0000_t75" style="height:96.9pt;width:413.25pt;" o:ole="t" filled="f" o:preferrelative="t" stroked="t" coordsize="21600,21600">
                  <v:path/>
                  <v:fill on="f" focussize="0,0"/>
                  <v:stroke weight="1pt"/>
                  <v:imagedata r:id="rId8" o:title=""/>
                  <o:lock v:ext="edit" aspectratio="f"/>
                  <w10:wrap type="none"/>
                  <w10:anchorlock/>
                </v:shape>
                <o:OLEObject Type="Embed" ProgID="Visio.Drawing.11" ShapeID="_x0000_i1025" DrawAspect="Content" ObjectID="_1468075725" r:id="rId7">
                  <o:LockedField>false</o:LockedField>
                </o:OLEObject>
              </w:object>
            </w:r>
          </w:p>
          <w:p w14:paraId="74CF5A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80" w:leftChars="0"/>
              <w:jc w:val="center"/>
              <w:textAlignment w:val="auto"/>
              <w:rPr>
                <w:rFonts w:ascii="Times New Roman" w:hAnsi="Times New Roman" w:eastAsia="宋体" w:cs="Times New Roman"/>
                <w:b/>
                <w:color w:val="000000" w:themeColor="text1"/>
                <w:spacing w:val="0"/>
                <w:kern w:val="0"/>
                <w:sz w:val="24"/>
                <w:szCs w:val="18"/>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spacing w:val="0"/>
                <w:kern w:val="0"/>
                <w:sz w:val="24"/>
                <w:szCs w:val="18"/>
                <w:highlight w:val="none"/>
                <w:lang w:val="en-US" w:eastAsia="zh-CN" w:bidi="ar-SA"/>
                <w14:textFill>
                  <w14:solidFill>
                    <w14:schemeClr w14:val="tx1"/>
                  </w14:solidFill>
                </w14:textFill>
              </w:rPr>
              <w:t>图2-3  电缆线路工程</w:t>
            </w:r>
            <w:r>
              <w:rPr>
                <w:rFonts w:ascii="Times New Roman" w:hAnsi="Times New Roman" w:eastAsia="宋体" w:cs="Times New Roman"/>
                <w:b/>
                <w:color w:val="000000" w:themeColor="text1"/>
                <w:spacing w:val="0"/>
                <w:kern w:val="0"/>
                <w:sz w:val="24"/>
                <w:szCs w:val="18"/>
                <w:highlight w:val="none"/>
                <w:lang w:val="en-US" w:eastAsia="zh-CN" w:bidi="ar-SA"/>
                <w14:textFill>
                  <w14:solidFill>
                    <w14:schemeClr w14:val="tx1"/>
                  </w14:solidFill>
                </w14:textFill>
              </w:rPr>
              <w:t>施工工艺及产污环节示意图</w:t>
            </w:r>
          </w:p>
          <w:p w14:paraId="0FBC5B7A">
            <w:pPr>
              <w:jc w:val="center"/>
              <w:rPr>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drawing>
                <wp:inline distT="0" distB="0" distL="114300" distR="114300">
                  <wp:extent cx="4942840" cy="2247265"/>
                  <wp:effectExtent l="0" t="0" r="0" b="0"/>
                  <wp:docPr id="54" name="图片 3" descr="C:/Users/Admin/AppData/Local/Temp/wps.SezkQ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C:/Users/Admin/AppData/Local/Temp/wps.SezkQmwps"/>
                          <pic:cNvPicPr>
                            <a:picLocks noChangeAspect="1"/>
                          </pic:cNvPicPr>
                        </pic:nvPicPr>
                        <pic:blipFill>
                          <a:blip r:embed="rId9"/>
                          <a:stretch>
                            <a:fillRect/>
                          </a:stretch>
                        </pic:blipFill>
                        <pic:spPr>
                          <a:xfrm>
                            <a:off x="0" y="0"/>
                            <a:ext cx="4942840" cy="2247265"/>
                          </a:xfrm>
                          <a:prstGeom prst="rect">
                            <a:avLst/>
                          </a:prstGeom>
                          <a:noFill/>
                          <a:ln>
                            <a:noFill/>
                          </a:ln>
                        </pic:spPr>
                      </pic:pic>
                    </a:graphicData>
                  </a:graphic>
                </wp:inline>
              </w:drawing>
            </w:r>
          </w:p>
          <w:p w14:paraId="624801BE">
            <w:pPr>
              <w:jc w:val="center"/>
              <w:rPr>
                <w:rFonts w:ascii="Times New Roman" w:hAnsi="Times New Roman" w:eastAsia="宋体" w:cs="Times New Roman"/>
                <w:b/>
                <w:color w:val="000000" w:themeColor="text1"/>
                <w:spacing w:val="0"/>
                <w:kern w:val="0"/>
                <w:sz w:val="24"/>
                <w:szCs w:val="1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2-</w:t>
            </w:r>
            <w:r>
              <w:rPr>
                <w:rFonts w:hint="eastAsia" w:eastAsia="宋体" w:cs="Times New Roman"/>
                <w:b/>
                <w:bCs/>
                <w:color w:val="000000" w:themeColor="text1"/>
                <w:kern w:val="0"/>
                <w:sz w:val="24"/>
                <w:szCs w:val="24"/>
                <w:highlight w:val="none"/>
                <w:lang w:val="en-US" w:eastAsia="zh-CN" w:bidi="ar"/>
                <w14:textFill>
                  <w14:solidFill>
                    <w14:schemeClr w14:val="tx1"/>
                  </w14:solidFill>
                </w14:textFill>
              </w:rPr>
              <w:t>4</w:t>
            </w:r>
            <w:r>
              <w:rPr>
                <w:rFonts w:hint="default" w:ascii="Times New Roman" w:hAnsi="Times New Roman" w:cs="Times New Roman"/>
                <w:b/>
                <w:bCs/>
                <w:color w:val="000000" w:themeColor="text1"/>
                <w:kern w:val="0"/>
                <w:sz w:val="24"/>
                <w:szCs w:val="24"/>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输电线路拆除工艺及产污环节</w:t>
            </w:r>
          </w:p>
          <w:p w14:paraId="634E7717">
            <w:pPr>
              <w:rPr>
                <w:rFonts w:hint="default"/>
                <w:color w:val="000000" w:themeColor="text1"/>
                <w:lang w:val="en-US" w:eastAsia="zh-CN"/>
                <w14:textFill>
                  <w14:solidFill>
                    <w14:schemeClr w14:val="tx1"/>
                  </w14:solidFill>
                </w14:textFill>
              </w:rPr>
            </w:pPr>
          </w:p>
          <w:p w14:paraId="7768AE20">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2、施工时序</w:t>
            </w:r>
          </w:p>
          <w:p w14:paraId="05ECF9D0">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（1）施工准备</w:t>
            </w:r>
          </w:p>
          <w:p w14:paraId="6F386186">
            <w:pPr>
              <w:adjustRightInd w:val="0"/>
              <w:snapToGrid w:val="0"/>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材料运输：采用轮胎式汽车的运输方式将材料、机具等运输到施工现场。</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施工均</w:t>
            </w:r>
            <w:r>
              <w:rPr>
                <w:rFonts w:ascii="Times New Roman" w:hAnsi="Times New Roman" w:eastAsia="宋体"/>
                <w:color w:val="000000" w:themeColor="text1"/>
                <w:spacing w:val="0"/>
                <w:kern w:val="0"/>
                <w:sz w:val="24"/>
                <w:highlight w:val="none"/>
                <w14:textFill>
                  <w14:solidFill>
                    <w14:schemeClr w14:val="tx1"/>
                  </w14:solidFill>
                </w14:textFill>
              </w:rPr>
              <w:t>采用商品混凝土，采用商混罐车的方式运输；运输铁塔材料、架线材料、旋挖钻机及张牵设备推荐采用卡车。</w:t>
            </w:r>
          </w:p>
          <w:p w14:paraId="6CECA087">
            <w:pPr>
              <w:adjustRightInd w:val="0"/>
              <w:snapToGrid w:val="0"/>
              <w:spacing w:line="360" w:lineRule="auto"/>
              <w:ind w:firstLine="480" w:firstLineChars="200"/>
              <w:outlineLvl w:val="9"/>
              <w:rPr>
                <w:rFonts w:hint="default" w:ascii="Times New Roman" w:hAnsi="Times New Roman" w:eastAsia="宋体" w:cs="Times New Roman"/>
                <w:color w:val="000000" w:themeColor="text1"/>
                <w:spacing w:val="0"/>
                <w:kern w:val="0"/>
                <w:sz w:val="24"/>
                <w14:textFill>
                  <w14:solidFill>
                    <w14:schemeClr w14:val="tx1"/>
                  </w14:solidFill>
                </w14:textFill>
              </w:rPr>
            </w:pPr>
            <w:r>
              <w:rPr>
                <w:rFonts w:hint="default" w:ascii="Times New Roman" w:hAnsi="Times New Roman" w:eastAsia="宋体" w:cs="Times New Roman"/>
                <w:color w:val="000000" w:themeColor="text1"/>
                <w:spacing w:val="0"/>
                <w:kern w:val="0"/>
                <w:sz w:val="24"/>
                <w14:textFill>
                  <w14:solidFill>
                    <w14:schemeClr w14:val="tx1"/>
                  </w14:solidFill>
                </w14:textFill>
              </w:rPr>
              <w:t>施工营地设置：拟在</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变电站</w:t>
            </w:r>
            <w:r>
              <w:rPr>
                <w:rFonts w:hint="eastAsia" w:cs="Times New Roman"/>
                <w:color w:val="000000" w:themeColor="text1"/>
                <w:spacing w:val="0"/>
                <w:kern w:val="0"/>
                <w:sz w:val="24"/>
                <w:highlight w:val="none"/>
                <w:lang w:val="en-US" w:eastAsia="zh-CN"/>
                <w14:textFill>
                  <w14:solidFill>
                    <w14:schemeClr w14:val="tx1"/>
                  </w14:solidFill>
                </w14:textFill>
              </w:rPr>
              <w:t>南</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侧</w:t>
            </w:r>
            <w:r>
              <w:rPr>
                <w:rFonts w:hint="default" w:ascii="Times New Roman" w:hAnsi="Times New Roman" w:eastAsia="宋体" w:cs="Times New Roman"/>
                <w:color w:val="000000" w:themeColor="text1"/>
                <w:spacing w:val="0"/>
                <w:kern w:val="0"/>
                <w:sz w:val="24"/>
                <w14:textFill>
                  <w14:solidFill>
                    <w14:schemeClr w14:val="tx1"/>
                  </w14:solidFill>
                </w14:textFill>
              </w:rPr>
              <w:t>设置施工营地1处，进行地表剥离，进行施工场地平整，临时建（构）筑物搭建。</w:t>
            </w:r>
          </w:p>
          <w:p w14:paraId="61023E06">
            <w:pPr>
              <w:adjustRightInd w:val="0"/>
              <w:snapToGrid w:val="0"/>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施工便道：根据施工现场</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自然条件</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尽可能</w:t>
            </w:r>
            <w:r>
              <w:rPr>
                <w:rFonts w:ascii="Times New Roman" w:hAnsi="Times New Roman" w:eastAsia="宋体"/>
                <w:color w:val="000000" w:themeColor="text1"/>
                <w:spacing w:val="0"/>
                <w:kern w:val="0"/>
                <w:sz w:val="24"/>
                <w:highlight w:val="none"/>
                <w14:textFill>
                  <w14:solidFill>
                    <w14:schemeClr w14:val="tx1"/>
                  </w14:solidFill>
                </w14:textFill>
              </w:rPr>
              <w:t>利用现有道路，在不具备施工运输条件的区域，设置施工便道，</w:t>
            </w:r>
            <w:r>
              <w:rPr>
                <w:rFonts w:hint="default" w:ascii="Times New Roman" w:hAnsi="Times New Roman" w:eastAsia="宋体" w:cs="Times New Roman"/>
                <w:color w:val="000000" w:themeColor="text1"/>
                <w:spacing w:val="0"/>
                <w:kern w:val="0"/>
                <w:sz w:val="24"/>
                <w14:textFill>
                  <w14:solidFill>
                    <w14:schemeClr w14:val="tx1"/>
                  </w14:solidFill>
                </w14:textFill>
              </w:rPr>
              <w:t>变电站区域施工便道的修筑应与进站道路兼顾考虑，做到永临结合。</w:t>
            </w:r>
          </w:p>
          <w:p w14:paraId="183CEA6C">
            <w:pPr>
              <w:adjustRightInd w:val="0"/>
              <w:snapToGrid w:val="0"/>
              <w:spacing w:line="360" w:lineRule="auto"/>
              <w:ind w:firstLine="480" w:firstLineChars="200"/>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塔基施工场地：进行施工场地平整，</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进行地表剥离</w:t>
            </w:r>
            <w:r>
              <w:rPr>
                <w:rFonts w:ascii="Times New Roman" w:hAnsi="Times New Roman" w:eastAsia="宋体"/>
                <w:bCs/>
                <w:color w:val="000000" w:themeColor="text1"/>
                <w:spacing w:val="0"/>
                <w:sz w:val="24"/>
                <w:highlight w:val="none"/>
                <w14:textFill>
                  <w14:solidFill>
                    <w14:schemeClr w14:val="tx1"/>
                  </w14:solidFill>
                </w14:textFill>
              </w:rPr>
              <w:t>，设置施工围栏。</w:t>
            </w:r>
          </w:p>
          <w:p w14:paraId="194E5F22">
            <w:pPr>
              <w:adjustRightInd w:val="0"/>
              <w:snapToGrid w:val="0"/>
              <w:spacing w:line="360" w:lineRule="auto"/>
              <w:ind w:firstLine="480" w:firstLineChars="200"/>
              <w:rPr>
                <w:rFonts w:ascii="Times New Roman" w:hAnsi="Times New Roman" w:eastAsia="宋体"/>
                <w:bCs/>
                <w:color w:val="000000" w:themeColor="text1"/>
                <w:spacing w:val="0"/>
                <w:sz w:val="24"/>
                <w:highlight w:val="none"/>
                <w14:textFill>
                  <w14:solidFill>
                    <w14:schemeClr w14:val="tx1"/>
                  </w14:solidFill>
                </w14:textFill>
              </w:rPr>
            </w:pPr>
            <w:r>
              <w:rPr>
                <w:color w:val="000000" w:themeColor="text1"/>
                <w:sz w:val="24"/>
                <w14:textFill>
                  <w14:solidFill>
                    <w14:schemeClr w14:val="tx1"/>
                  </w14:solidFill>
                </w14:textFill>
              </w:rPr>
              <w:t>地下电缆</w:t>
            </w:r>
            <w:r>
              <w:rPr>
                <w:rFonts w:hint="eastAsia"/>
                <w:color w:val="000000" w:themeColor="text1"/>
                <w:sz w:val="24"/>
                <w14:textFill>
                  <w14:solidFill>
                    <w14:schemeClr w14:val="tx1"/>
                  </w14:solidFill>
                </w14:textFill>
              </w:rPr>
              <w:t>管道</w:t>
            </w:r>
            <w:r>
              <w:rPr>
                <w:color w:val="000000" w:themeColor="text1"/>
                <w:sz w:val="24"/>
                <w14:textFill>
                  <w14:solidFill>
                    <w14:schemeClr w14:val="tx1"/>
                  </w14:solidFill>
                </w14:textFill>
              </w:rPr>
              <w:t>施工场地：布置在地下电缆附近，用于施工物料堆放。</w:t>
            </w:r>
          </w:p>
          <w:p w14:paraId="03BAB785">
            <w:pPr>
              <w:pStyle w:val="7"/>
              <w:adjustRightInd w:val="0"/>
              <w:snapToGrid w:val="0"/>
              <w:spacing w:after="0" w:line="360" w:lineRule="auto"/>
              <w:ind w:left="0" w:leftChars="0" w:firstLine="480" w:firstLineChars="200"/>
              <w:outlineLvl w:val="9"/>
              <w:rPr>
                <w:rFonts w:ascii="Times New Roman" w:hAnsi="Times New Roman" w:eastAsia="宋体"/>
                <w:color w:val="000000" w:themeColor="text1"/>
                <w:spacing w:val="0"/>
                <w:sz w:val="24"/>
                <w:szCs w:val="24"/>
                <w:highlight w:val="none"/>
                <w14:textFill>
                  <w14:solidFill>
                    <w14:schemeClr w14:val="tx1"/>
                  </w14:solidFill>
                </w14:textFill>
              </w:rPr>
            </w:pPr>
            <w:r>
              <w:rPr>
                <w:rFonts w:ascii="Times New Roman" w:hAnsi="Times New Roman" w:eastAsia="宋体"/>
                <w:color w:val="000000" w:themeColor="text1"/>
                <w:spacing w:val="0"/>
                <w:sz w:val="24"/>
                <w:szCs w:val="24"/>
                <w:highlight w:val="none"/>
                <w14:textFill>
                  <w14:solidFill>
                    <w14:schemeClr w14:val="tx1"/>
                  </w14:solidFill>
                </w14:textFill>
              </w:rPr>
              <w:t>牵张场：牵张场施工采用人工整平，以满足牵引机、张力机放置要求为原则，尽量减少土石方挖填量和地表扰动面积，对临时堆土将做好挡护及苫盖。</w:t>
            </w:r>
          </w:p>
          <w:p w14:paraId="65432FA6">
            <w:pPr>
              <w:pStyle w:val="7"/>
              <w:adjustRightInd w:val="0"/>
              <w:snapToGrid w:val="0"/>
              <w:spacing w:after="0" w:line="360" w:lineRule="auto"/>
              <w:ind w:left="0" w:leftChars="0" w:firstLine="480" w:firstLineChars="200"/>
              <w:outlineLvl w:val="9"/>
              <w:rPr>
                <w:rFonts w:ascii="Times New Roman" w:hAnsi="Times New Roman" w:eastAsia="宋体"/>
                <w:color w:val="000000" w:themeColor="text1"/>
                <w:spacing w:val="0"/>
                <w:sz w:val="24"/>
                <w:szCs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跨越场：</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架空线路施工时序</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输电线路跨越道路、电力线路等设施需要搭设跨越架。跨越施工场地应选择地势平坦、开阔地带进行布设，一处跨越施工场地由两处跨越架和封顶网组成，跨越架位于跨越点两侧，两侧跨越架之间距离可根据跨越点宽度进行调整。</w:t>
            </w:r>
          </w:p>
          <w:p w14:paraId="05A627C4">
            <w:pPr>
              <w:pStyle w:val="7"/>
              <w:adjustRightInd w:val="0"/>
              <w:snapToGrid w:val="0"/>
              <w:spacing w:after="0" w:line="360" w:lineRule="auto"/>
              <w:ind w:left="0" w:leftChars="0"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（2）变电站工程施工时序</w:t>
            </w:r>
          </w:p>
          <w:p w14:paraId="52504432">
            <w:pPr>
              <w:pStyle w:val="7"/>
              <w:adjustRightInd w:val="0"/>
              <w:snapToGrid w:val="0"/>
              <w:spacing w:after="0" w:line="360" w:lineRule="auto"/>
              <w:ind w:left="0" w:leftChars="0"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变电站施工包括地基处理、构件吊装、构件连接。</w:t>
            </w:r>
          </w:p>
          <w:p w14:paraId="1A32AE9E">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sz w:val="24"/>
                <w:szCs w:val="24"/>
                <w14:textFill>
                  <w14:solidFill>
                    <w14:schemeClr w14:val="tx1"/>
                  </w14:solidFill>
                </w14:textFill>
              </w:rPr>
            </w:pPr>
            <w:r>
              <w:rPr>
                <w:rFonts w:hint="eastAsia"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按照设计要求对设备基础区域进行开挖，基础开挖采用机械开挖，</w:t>
            </w:r>
            <w:r>
              <w:rPr>
                <w:rFonts w:ascii="Times New Roman" w:hAnsi="Times New Roman" w:eastAsia="宋体"/>
                <w:color w:val="000000" w:themeColor="text1"/>
                <w:spacing w:val="0"/>
                <w:sz w:val="24"/>
                <w:szCs w:val="24"/>
                <w:highlight w:val="none"/>
                <w14:textFill>
                  <w14:solidFill>
                    <w14:schemeClr w14:val="tx1"/>
                  </w14:solidFill>
                </w14:textFill>
              </w:rPr>
              <w:t>开挖的土方就近堆放摊平，在基坑边缘上临时堆土或堆放临时材料，应与基坑保持1m以上的距离。</w:t>
            </w:r>
            <w:r>
              <w:rPr>
                <w:rFonts w:hint="eastAsia" w:ascii="Times New Roman" w:hAnsi="Times New Roman" w:eastAsia="宋体"/>
                <w:color w:val="000000" w:themeColor="text1"/>
                <w:spacing w:val="0"/>
                <w:sz w:val="24"/>
                <w:szCs w:val="24"/>
                <w:highlight w:val="none"/>
                <w:lang w:val="en-US" w:eastAsia="zh-CN"/>
                <w14:textFill>
                  <w14:solidFill>
                    <w14:schemeClr w14:val="tx1"/>
                  </w14:solidFill>
                </w14:textFill>
              </w:rPr>
              <w:t>基坑开挖结束后</w:t>
            </w:r>
            <w:r>
              <w:rPr>
                <w:rFonts w:hint="eastAsia"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采用换填砂夹石垫层的方式对地基进行处理。</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设备、</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基础采用</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商品</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混凝土</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，由混凝土运输车运输，运至施工现场进行浇筑。</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 xml:space="preserve"> </w:t>
            </w:r>
          </w:p>
          <w:p w14:paraId="257A75CA">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kern w:val="0"/>
                <w:sz w:val="24"/>
                <w14:textFill>
                  <w14:solidFill>
                    <w14:schemeClr w14:val="tx1"/>
                  </w14:solidFill>
                </w14:textFill>
              </w:rPr>
            </w:pPr>
            <w:r>
              <w:rPr>
                <w:rFonts w:hint="eastAsia" w:ascii="Times New Roman" w:hAnsi="Times New Roman" w:eastAsia="宋体" w:cs="Times New Roman"/>
                <w:color w:val="000000" w:themeColor="text1"/>
                <w:spacing w:val="0"/>
                <w:kern w:val="0"/>
                <w:sz w:val="24"/>
                <w:lang w:val="en-US" w:eastAsia="zh-CN"/>
                <w14:textFill>
                  <w14:solidFill>
                    <w14:schemeClr w14:val="tx1"/>
                  </w14:solidFill>
                </w14:textFill>
              </w:rPr>
              <w:t>基础浇筑完成后，进行建构筑物的建设施工，</w:t>
            </w:r>
            <w:r>
              <w:rPr>
                <w:rFonts w:hint="default" w:ascii="Times New Roman" w:hAnsi="Times New Roman" w:eastAsia="宋体" w:cs="Times New Roman"/>
                <w:color w:val="000000" w:themeColor="text1"/>
                <w:spacing w:val="0"/>
                <w:kern w:val="0"/>
                <w:sz w:val="24"/>
                <w14:textFill>
                  <w14:solidFill>
                    <w14:schemeClr w14:val="tx1"/>
                  </w14:solidFill>
                </w14:textFill>
              </w:rPr>
              <w:t>构件吊装采用轮胎式起重机进行设备支架和横梁的吊装。构件连接采用电动扳手或气动扳手进行设备支架与预埋地脚螺栓之间的螺栓连接、设备支架与横梁之间的螺栓连接。</w:t>
            </w:r>
          </w:p>
          <w:p w14:paraId="3A10DCDB">
            <w:pPr>
              <w:adjustRightInd w:val="0"/>
              <w:snapToGrid w:val="0"/>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olor w:val="000000" w:themeColor="text1"/>
                <w:spacing w:val="0"/>
                <w:kern w:val="0"/>
                <w:sz w:val="24"/>
                <w:highlight w:val="none"/>
                <w14:textFill>
                  <w14:solidFill>
                    <w14:schemeClr w14:val="tx1"/>
                  </w14:solidFill>
                </w14:textFill>
              </w:rPr>
              <w:t>（3）</w:t>
            </w:r>
            <w:r>
              <w:rPr>
                <w:rFonts w:ascii="Times New Roman" w:hAnsi="Times New Roman" w:eastAsia="宋体"/>
                <w:color w:val="000000" w:themeColor="text1"/>
                <w:spacing w:val="0"/>
                <w:kern w:val="0"/>
                <w:sz w:val="24"/>
                <w:highlight w:val="none"/>
                <w14:textFill>
                  <w14:solidFill>
                    <w14:schemeClr w14:val="tx1"/>
                  </w14:solidFill>
                </w14:textFill>
              </w:rPr>
              <w:t>架空线路</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工程</w:t>
            </w:r>
            <w:r>
              <w:rPr>
                <w:rFonts w:ascii="Times New Roman" w:hAnsi="Times New Roman" w:eastAsia="宋体"/>
                <w:color w:val="000000" w:themeColor="text1"/>
                <w:spacing w:val="0"/>
                <w:kern w:val="0"/>
                <w:sz w:val="24"/>
                <w:highlight w:val="none"/>
                <w14:textFill>
                  <w14:solidFill>
                    <w14:schemeClr w14:val="tx1"/>
                  </w14:solidFill>
                </w14:textFill>
              </w:rPr>
              <w:t>施工时序</w:t>
            </w:r>
          </w:p>
          <w:p w14:paraId="3881F1EA">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sz w:val="24"/>
                <w:szCs w:val="24"/>
                <w14:textFill>
                  <w14:solidFill>
                    <w14:schemeClr w14:val="tx1"/>
                  </w14:solidFill>
                </w14:textFill>
              </w:rPr>
            </w:pPr>
            <w:r>
              <w:rPr>
                <w:rFonts w:hint="default" w:ascii="Times New Roman" w:hAnsi="Times New Roman" w:eastAsia="宋体" w:cs="Times New Roman"/>
                <w:color w:val="000000" w:themeColor="text1"/>
                <w:spacing w:val="0"/>
                <w:sz w:val="24"/>
                <w14:textFill>
                  <w14:solidFill>
                    <w14:schemeClr w14:val="tx1"/>
                  </w14:solidFill>
                </w14:textFill>
              </w:rPr>
              <w:t>基础开挖：</w:t>
            </w:r>
            <w:r>
              <w:rPr>
                <w:rFonts w:hint="default" w:ascii="Times New Roman" w:hAnsi="Times New Roman" w:eastAsia="宋体" w:cs="Times New Roman"/>
                <w:color w:val="000000" w:themeColor="text1"/>
                <w:spacing w:val="0"/>
                <w:sz w:val="24"/>
                <w:szCs w:val="24"/>
                <w14:textFill>
                  <w14:solidFill>
                    <w14:schemeClr w14:val="tx1"/>
                  </w14:solidFill>
                </w14:textFill>
              </w:rPr>
              <w:t>根据本项目地形、地质特点及所选塔型，架空线路塔基基础采用</w:t>
            </w:r>
            <w:r>
              <w:rPr>
                <w:rFonts w:hint="default" w:ascii="Times New Roman" w:hAnsi="Times New Roman" w:eastAsia="宋体" w:cs="Times New Roman"/>
                <w:bCs/>
                <w:color w:val="000000" w:themeColor="text1"/>
                <w:spacing w:val="0"/>
                <w:sz w:val="24"/>
                <w14:textFill>
                  <w14:solidFill>
                    <w14:schemeClr w14:val="tx1"/>
                  </w14:solidFill>
                </w14:textFill>
              </w:rPr>
              <w:t>挖孔桩基础、灌注桩基础</w:t>
            </w:r>
            <w:r>
              <w:rPr>
                <w:rFonts w:hint="default" w:ascii="Times New Roman" w:hAnsi="Times New Roman" w:eastAsia="宋体" w:cs="Times New Roman"/>
                <w:color w:val="000000" w:themeColor="text1"/>
                <w:spacing w:val="0"/>
                <w:sz w:val="24"/>
                <w:szCs w:val="24"/>
                <w14:textFill>
                  <w14:solidFill>
                    <w14:schemeClr w14:val="tx1"/>
                  </w14:solidFill>
                </w14:textFill>
              </w:rPr>
              <w:t>，采用旋挖钻机、反铲挖掘机进行基础施工。</w:t>
            </w:r>
          </w:p>
          <w:p w14:paraId="707F899D">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sz w:val="24"/>
                <w:szCs w:val="24"/>
                <w14:textFill>
                  <w14:solidFill>
                    <w14:schemeClr w14:val="tx1"/>
                  </w14:solidFill>
                </w14:textFill>
              </w:rPr>
            </w:pPr>
            <w:r>
              <w:rPr>
                <w:rFonts w:hint="default" w:ascii="Times New Roman" w:hAnsi="Times New Roman" w:eastAsia="宋体" w:cs="Times New Roman"/>
                <w:color w:val="000000" w:themeColor="text1"/>
                <w:spacing w:val="0"/>
                <w:sz w:val="24"/>
                <w14:textFill>
                  <w14:solidFill>
                    <w14:schemeClr w14:val="tx1"/>
                  </w14:solidFill>
                </w14:textFill>
              </w:rPr>
              <w:t>基础浇筑：</w:t>
            </w:r>
            <w:r>
              <w:rPr>
                <w:rFonts w:hint="default" w:ascii="Times New Roman" w:hAnsi="Times New Roman" w:eastAsia="宋体" w:cs="Times New Roman"/>
                <w:color w:val="000000" w:themeColor="text1"/>
                <w:spacing w:val="0"/>
                <w:sz w:val="24"/>
                <w:szCs w:val="24"/>
                <w14:textFill>
                  <w14:solidFill>
                    <w14:schemeClr w14:val="tx1"/>
                  </w14:solidFill>
                </w14:textFill>
              </w:rPr>
              <w:t>采用</w:t>
            </w:r>
            <w:r>
              <w:rPr>
                <w:rFonts w:hint="default" w:ascii="Times New Roman" w:hAnsi="Times New Roman" w:eastAsia="宋体" w:cs="Times New Roman"/>
                <w:color w:val="000000" w:themeColor="text1"/>
                <w:spacing w:val="0"/>
                <w:sz w:val="24"/>
                <w14:textFill>
                  <w14:solidFill>
                    <w14:schemeClr w14:val="tx1"/>
                  </w14:solidFill>
                </w14:textFill>
              </w:rPr>
              <w:t>商混罐车的方式运输混凝土进行</w:t>
            </w:r>
            <w:r>
              <w:rPr>
                <w:rFonts w:hint="default" w:ascii="Times New Roman" w:hAnsi="Times New Roman" w:eastAsia="宋体" w:cs="Times New Roman"/>
                <w:color w:val="000000" w:themeColor="text1"/>
                <w:spacing w:val="0"/>
                <w:sz w:val="24"/>
                <w:szCs w:val="24"/>
                <w14:textFill>
                  <w14:solidFill>
                    <w14:schemeClr w14:val="tx1"/>
                  </w14:solidFill>
                </w14:textFill>
              </w:rPr>
              <w:t>基础浇筑。</w:t>
            </w:r>
          </w:p>
          <w:p w14:paraId="641384F5">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sz w:val="24"/>
                <w:highlight w:val="yellow"/>
                <w14:textFill>
                  <w14:solidFill>
                    <w14:schemeClr w14:val="tx1"/>
                  </w14:solidFill>
                </w14:textFill>
              </w:rPr>
            </w:pPr>
            <w:r>
              <w:rPr>
                <w:rFonts w:hint="default" w:ascii="Times New Roman" w:hAnsi="Times New Roman" w:eastAsia="宋体" w:cs="Times New Roman"/>
                <w:color w:val="000000" w:themeColor="text1"/>
                <w:spacing w:val="0"/>
                <w:sz w:val="24"/>
                <w14:textFill>
                  <w14:solidFill>
                    <w14:schemeClr w14:val="tx1"/>
                  </w14:solidFill>
                </w14:textFill>
              </w:rPr>
              <w:t>杆塔组立：杆塔的组立，采用人工组建与塔吊结合的方式进行组立。</w:t>
            </w:r>
          </w:p>
          <w:p w14:paraId="66626AEB">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sz w:val="24"/>
                <w14:textFill>
                  <w14:solidFill>
                    <w14:schemeClr w14:val="tx1"/>
                  </w14:solidFill>
                </w14:textFill>
              </w:rPr>
            </w:pPr>
            <w:r>
              <w:rPr>
                <w:rFonts w:hint="default" w:ascii="Times New Roman" w:hAnsi="Times New Roman" w:eastAsia="宋体" w:cs="Times New Roman"/>
                <w:color w:val="000000" w:themeColor="text1"/>
                <w:spacing w:val="0"/>
                <w:sz w:val="24"/>
                <w14:textFill>
                  <w14:solidFill>
                    <w14:schemeClr w14:val="tx1"/>
                  </w14:solidFill>
                </w14:textFill>
              </w:rPr>
              <w:t>导地线放线：先利用无人机或者动力伞放一根又细又轻的导引绳过去，再借助每基塔上安装的滑轮，用导引线拖牵引绳、用牵引绳拖导线，完成放线。</w:t>
            </w:r>
          </w:p>
          <w:p w14:paraId="35C9A98E">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kern w:val="0"/>
                <w:sz w:val="24"/>
                <w14:textFill>
                  <w14:solidFill>
                    <w14:schemeClr w14:val="tx1"/>
                  </w14:solidFill>
                </w14:textFill>
              </w:rPr>
            </w:pPr>
            <w:r>
              <w:rPr>
                <w:rFonts w:hint="default" w:ascii="Times New Roman" w:hAnsi="Times New Roman" w:eastAsia="宋体" w:cs="Times New Roman"/>
                <w:color w:val="000000" w:themeColor="text1"/>
                <w:spacing w:val="0"/>
                <w:kern w:val="0"/>
                <w:sz w:val="24"/>
                <w14:textFill>
                  <w14:solidFill>
                    <w14:schemeClr w14:val="tx1"/>
                  </w14:solidFill>
                </w14:textFill>
              </w:rPr>
              <w:t>附件安装：附件安装主要指耐张串、悬垂串、跳线串等金具串的安装。防振锤、间隔棒等防振设备的安装。故障定位、视频监控等监测设备的安装。</w:t>
            </w:r>
          </w:p>
          <w:p w14:paraId="71500222">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kern w:val="0"/>
                <w:sz w:val="24"/>
                <w14:textFill>
                  <w14:solidFill>
                    <w14:schemeClr w14:val="tx1"/>
                  </w14:solidFill>
                </w14:textFill>
              </w:rPr>
            </w:pPr>
            <w:r>
              <w:rPr>
                <w:rFonts w:hint="default" w:ascii="Times New Roman" w:hAnsi="Times New Roman" w:eastAsia="宋体" w:cs="Times New Roman"/>
                <w:color w:val="000000" w:themeColor="text1"/>
                <w:spacing w:val="0"/>
                <w:kern w:val="0"/>
                <w:sz w:val="24"/>
                <w14:textFill>
                  <w14:solidFill>
                    <w14:schemeClr w14:val="tx1"/>
                  </w14:solidFill>
                </w14:textFill>
              </w:rPr>
              <w:t>（</w:t>
            </w:r>
            <w:r>
              <w:rPr>
                <w:rFonts w:hint="eastAsia" w:cs="Times New Roman"/>
                <w:color w:val="000000" w:themeColor="text1"/>
                <w:spacing w:val="0"/>
                <w:kern w:val="0"/>
                <w:sz w:val="24"/>
                <w:lang w:val="en-US" w:eastAsia="zh-CN"/>
                <w14:textFill>
                  <w14:solidFill>
                    <w14:schemeClr w14:val="tx1"/>
                  </w14:solidFill>
                </w14:textFill>
              </w:rPr>
              <w:t>4</w:t>
            </w:r>
            <w:r>
              <w:rPr>
                <w:rFonts w:hint="default" w:ascii="Times New Roman" w:hAnsi="Times New Roman" w:eastAsia="宋体" w:cs="Times New Roman"/>
                <w:color w:val="000000" w:themeColor="text1"/>
                <w:spacing w:val="0"/>
                <w:kern w:val="0"/>
                <w:sz w:val="24"/>
                <w14:textFill>
                  <w14:solidFill>
                    <w14:schemeClr w14:val="tx1"/>
                  </w14:solidFill>
                </w14:textFill>
              </w:rPr>
              <w:t>）地埋管线区施工时序</w:t>
            </w:r>
          </w:p>
          <w:p w14:paraId="00047F47">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kern w:val="0"/>
                <w:sz w:val="24"/>
                <w14:textFill>
                  <w14:solidFill>
                    <w14:schemeClr w14:val="tx1"/>
                  </w14:solidFill>
                </w14:textFill>
              </w:rPr>
            </w:pPr>
            <w:r>
              <w:rPr>
                <w:rFonts w:hint="default" w:ascii="Times New Roman" w:hAnsi="Times New Roman" w:eastAsia="宋体" w:cs="Times New Roman"/>
                <w:color w:val="000000" w:themeColor="text1"/>
                <w:spacing w:val="0"/>
                <w:kern w:val="0"/>
                <w:sz w:val="24"/>
                <w14:textFill>
                  <w14:solidFill>
                    <w14:schemeClr w14:val="tx1"/>
                  </w14:solidFill>
                </w14:textFill>
              </w:rPr>
              <w:t>基础开挖、表土剥离加上及基坑处理：根据设计要求采用挖掘机进行开挖，表土剥离，沟底平整后，铺上100mm厚的细砂土，作为垫层。</w:t>
            </w:r>
          </w:p>
          <w:p w14:paraId="1FBCFB76">
            <w:pPr>
              <w:pStyle w:val="11"/>
              <w:spacing w:before="0" w:after="0" w:line="360" w:lineRule="auto"/>
              <w:ind w:right="0" w:firstLine="480" w:firstLineChars="200"/>
              <w:outlineLvl w:val="9"/>
              <w:rPr>
                <w:rFonts w:hint="default" w:ascii="Times New Roman" w:hAnsi="Times New Roman" w:eastAsia="宋体" w:cs="Times New Roman"/>
                <w:color w:val="000000" w:themeColor="text1"/>
                <w:spacing w:val="0"/>
                <w:kern w:val="0"/>
                <w:sz w:val="24"/>
                <w14:textFill>
                  <w14:solidFill>
                    <w14:schemeClr w14:val="tx1"/>
                  </w14:solidFill>
                </w14:textFill>
              </w:rPr>
            </w:pPr>
            <w:r>
              <w:rPr>
                <w:rFonts w:hint="default" w:ascii="Times New Roman" w:hAnsi="Times New Roman" w:eastAsia="宋体" w:cs="Times New Roman"/>
                <w:color w:val="000000" w:themeColor="text1"/>
                <w:spacing w:val="0"/>
                <w:kern w:val="0"/>
                <w:sz w:val="24"/>
                <w14:textFill>
                  <w14:solidFill>
                    <w14:schemeClr w14:val="tx1"/>
                  </w14:solidFill>
                </w14:textFill>
              </w:rPr>
              <w:t>电缆敷设：地埋管线区建成后，即可进行电缆的敷设。</w:t>
            </w:r>
          </w:p>
          <w:p w14:paraId="6B8FD983">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spacing w:val="0"/>
                <w:kern w:val="0"/>
                <w:sz w:val="24"/>
                <w14:textFill>
                  <w14:solidFill>
                    <w14:schemeClr w14:val="tx1"/>
                  </w14:solidFill>
                </w14:textFill>
              </w:rPr>
            </w:pPr>
            <w:r>
              <w:rPr>
                <w:rFonts w:hint="default" w:ascii="Times New Roman" w:hAnsi="Times New Roman" w:eastAsia="宋体" w:cs="Times New Roman"/>
                <w:color w:val="000000" w:themeColor="text1"/>
                <w:spacing w:val="0"/>
                <w:kern w:val="0"/>
                <w:sz w:val="24"/>
                <w14:textFill>
                  <w14:solidFill>
                    <w14:schemeClr w14:val="tx1"/>
                  </w14:solidFill>
                </w14:textFill>
              </w:rPr>
              <w:t>回填：在电缆上再铺上100mm厚的软土或细砂土，上面盖混凝土盖板或粘土砖，覆盖宽度应超过电缆直径两侧50mm，最后填土</w:t>
            </w:r>
            <w:r>
              <w:rPr>
                <w:rFonts w:hint="eastAsia" w:cs="Times New Roman"/>
                <w:color w:val="000000" w:themeColor="text1"/>
                <w:spacing w:val="0"/>
                <w:kern w:val="0"/>
                <w:sz w:val="24"/>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14:textFill>
                  <w14:solidFill>
                    <w14:schemeClr w14:val="tx1"/>
                  </w14:solidFill>
                </w14:textFill>
              </w:rPr>
              <w:t>并在电缆线路的两端、转弯处和中间接头处竖立标示桩。</w:t>
            </w:r>
          </w:p>
          <w:p w14:paraId="523150AF">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spacing w:val="0"/>
                <w:w w:val="100"/>
                <w:kern w:val="0"/>
                <w:position w:val="0"/>
                <w:sz w:val="24"/>
                <w:szCs w:val="24"/>
                <w:highlight w:val="none"/>
                <w14:textFill>
                  <w14:solidFill>
                    <w14:schemeClr w14:val="tx1"/>
                  </w14:solidFill>
                </w14:textFill>
              </w:rPr>
            </w:pPr>
            <w:r>
              <w:rPr>
                <w:rFonts w:hint="eastAsia" w:cs="Times New Roman"/>
                <w:color w:val="000000" w:themeColor="text1"/>
                <w:spacing w:val="0"/>
                <w:kern w:val="0"/>
                <w:sz w:val="24"/>
                <w:lang w:eastAsia="zh-CN"/>
                <w14:textFill>
                  <w14:solidFill>
                    <w14:schemeClr w14:val="tx1"/>
                  </w14:solidFill>
                </w14:textFill>
              </w:rPr>
              <w:t>（</w:t>
            </w:r>
            <w:r>
              <w:rPr>
                <w:rFonts w:hint="eastAsia" w:cs="Times New Roman"/>
                <w:color w:val="000000" w:themeColor="text1"/>
                <w:spacing w:val="0"/>
                <w:kern w:val="0"/>
                <w:sz w:val="24"/>
                <w:lang w:val="en-US" w:eastAsia="zh-CN"/>
                <w14:textFill>
                  <w14:solidFill>
                    <w14:schemeClr w14:val="tx1"/>
                  </w14:solidFill>
                </w14:textFill>
              </w:rPr>
              <w:t>5</w:t>
            </w:r>
            <w:r>
              <w:rPr>
                <w:rFonts w:hint="eastAsia" w:cs="Times New Roman"/>
                <w:color w:val="000000" w:themeColor="text1"/>
                <w:spacing w:val="0"/>
                <w:kern w:val="0"/>
                <w:sz w:val="24"/>
                <w:lang w:eastAsia="zh-CN"/>
                <w14:textFill>
                  <w14:solidFill>
                    <w14:schemeClr w14:val="tx1"/>
                  </w14:solidFill>
                </w14:textFill>
              </w:rPr>
              <w:t>）</w:t>
            </w:r>
            <w:r>
              <w:rPr>
                <w:rFonts w:hint="eastAsia" w:ascii="Times New Roman" w:hAnsi="Times New Roman" w:eastAsia="宋体" w:cs="Times New Roman"/>
                <w:color w:val="000000" w:themeColor="text1"/>
                <w:spacing w:val="0"/>
                <w:w w:val="100"/>
                <w:kern w:val="0"/>
                <w:position w:val="0"/>
                <w:sz w:val="24"/>
                <w:szCs w:val="24"/>
                <w:highlight w:val="none"/>
                <w:lang w:val="en-US" w:eastAsia="zh-CN"/>
                <w14:textFill>
                  <w14:solidFill>
                    <w14:schemeClr w14:val="tx1"/>
                  </w14:solidFill>
                </w14:textFill>
              </w:rPr>
              <w:t>110千伏</w:t>
            </w:r>
            <w:r>
              <w:rPr>
                <w:rFonts w:hint="default" w:ascii="Times New Roman" w:hAnsi="Times New Roman" w:eastAsia="宋体" w:cs="Times New Roman"/>
                <w:color w:val="000000" w:themeColor="text1"/>
                <w:spacing w:val="0"/>
                <w:w w:val="100"/>
                <w:kern w:val="0"/>
                <w:position w:val="0"/>
                <w:sz w:val="24"/>
                <w:szCs w:val="24"/>
                <w:highlight w:val="none"/>
                <w:lang w:val="en-US" w:eastAsia="zh-CN"/>
                <w14:textFill>
                  <w14:solidFill>
                    <w14:schemeClr w14:val="tx1"/>
                  </w14:solidFill>
                </w14:textFill>
              </w:rPr>
              <w:t xml:space="preserve">杆塔拆除工艺 </w:t>
            </w:r>
          </w:p>
          <w:p w14:paraId="3BF34757">
            <w:pPr>
              <w:pStyle w:val="11"/>
              <w:spacing w:before="0" w:after="0" w:line="360" w:lineRule="auto"/>
              <w:ind w:right="0" w:firstLine="480" w:firstLineChars="200"/>
              <w:outlineLvl w:val="9"/>
              <w:rPr>
                <w:rFonts w:hint="eastAsia" w:eastAsia="宋体"/>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4"/>
                <w:szCs w:val="24"/>
                <w:highlight w:val="none"/>
                <w:lang w:val="en-US" w:eastAsia="zh-CN"/>
                <w14:textFill>
                  <w14:solidFill>
                    <w14:schemeClr w14:val="tx1"/>
                  </w14:solidFill>
                </w14:textFill>
              </w:rPr>
              <w:t>拆除原有杆塔、附件等。拆除原有</w:t>
            </w:r>
            <w:r>
              <w:rPr>
                <w:rFonts w:hint="eastAsia" w:ascii="Times New Roman" w:hAnsi="Times New Roman" w:eastAsia="宋体" w:cs="Times New Roman"/>
                <w:color w:val="000000" w:themeColor="text1"/>
                <w:spacing w:val="0"/>
                <w:w w:val="100"/>
                <w:kern w:val="0"/>
                <w:position w:val="0"/>
                <w:sz w:val="24"/>
                <w:szCs w:val="24"/>
                <w:highlight w:val="none"/>
                <w:lang w:val="en-US" w:eastAsia="zh-CN"/>
                <w14:textFill>
                  <w14:solidFill>
                    <w14:schemeClr w14:val="tx1"/>
                  </w14:solidFill>
                </w14:textFill>
              </w:rPr>
              <w:t>杆塔</w:t>
            </w:r>
            <w:r>
              <w:rPr>
                <w:rFonts w:hint="default" w:ascii="Times New Roman" w:hAnsi="Times New Roman" w:eastAsia="宋体" w:cs="Times New Roman"/>
                <w:color w:val="000000" w:themeColor="text1"/>
                <w:spacing w:val="0"/>
                <w:w w:val="100"/>
                <w:kern w:val="0"/>
                <w:position w:val="0"/>
                <w:sz w:val="24"/>
                <w:szCs w:val="24"/>
                <w:highlight w:val="none"/>
                <w:lang w:val="en-US" w:eastAsia="zh-CN"/>
                <w14:textFill>
                  <w14:solidFill>
                    <w14:schemeClr w14:val="tx1"/>
                  </w14:solidFill>
                </w14:textFill>
              </w:rPr>
              <w:t>，为不增加对地表的扰动，杆塔尽量减小土方开挖量。</w:t>
            </w:r>
          </w:p>
          <w:p w14:paraId="597FA40E">
            <w:pPr>
              <w:spacing w:line="360" w:lineRule="auto"/>
              <w:ind w:firstLine="482" w:firstLineChars="200"/>
              <w:outlineLvl w:val="9"/>
              <w:rPr>
                <w:rFonts w:ascii="Times New Roman" w:hAnsi="Times New Roman" w:eastAsia="宋体"/>
                <w:b/>
                <w:bCs/>
                <w:color w:val="000000" w:themeColor="text1"/>
                <w:spacing w:val="0"/>
                <w:kern w:val="0"/>
                <w:sz w:val="24"/>
                <w:szCs w:val="18"/>
                <w:highlight w:val="none"/>
                <w14:textFill>
                  <w14:solidFill>
                    <w14:schemeClr w14:val="tx1"/>
                  </w14:solidFill>
                </w14:textFill>
              </w:rPr>
            </w:pPr>
            <w:r>
              <w:rPr>
                <w:rFonts w:ascii="Times New Roman" w:hAnsi="Times New Roman" w:eastAsia="宋体"/>
                <w:b/>
                <w:bCs/>
                <w:color w:val="000000" w:themeColor="text1"/>
                <w:spacing w:val="0"/>
                <w:kern w:val="0"/>
                <w:sz w:val="24"/>
                <w:szCs w:val="18"/>
                <w:highlight w:val="none"/>
                <w14:textFill>
                  <w14:solidFill>
                    <w14:schemeClr w14:val="tx1"/>
                  </w14:solidFill>
                </w14:textFill>
              </w:rPr>
              <w:t>3、建设周期</w:t>
            </w:r>
          </w:p>
          <w:p w14:paraId="10C58415">
            <w:pPr>
              <w:pStyle w:val="23"/>
              <w:spacing w:before="0" w:beforeAutospacing="0" w:after="0" w:afterAutospacing="0" w:line="360" w:lineRule="auto"/>
              <w:ind w:firstLine="480" w:firstLineChars="200"/>
              <w:jc w:val="both"/>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Cs w:val="18"/>
                <w:highlight w:val="none"/>
                <w14:textFill>
                  <w14:solidFill>
                    <w14:schemeClr w14:val="tx1"/>
                  </w14:solidFill>
                </w14:textFill>
              </w:rPr>
              <w:t>根据本项目项目特点、自然条件，本项目计划202</w:t>
            </w:r>
            <w:r>
              <w:rPr>
                <w:rFonts w:hint="eastAsia" w:ascii="Times New Roman" w:hAnsi="Times New Roman" w:eastAsia="宋体"/>
                <w:color w:val="000000" w:themeColor="text1"/>
                <w:spacing w:val="0"/>
                <w:szCs w:val="18"/>
                <w:highlight w:val="none"/>
                <w:lang w:val="en-US" w:eastAsia="zh-CN"/>
                <w14:textFill>
                  <w14:solidFill>
                    <w14:schemeClr w14:val="tx1"/>
                  </w14:solidFill>
                </w14:textFill>
              </w:rPr>
              <w:t>6</w:t>
            </w:r>
            <w:r>
              <w:rPr>
                <w:rFonts w:ascii="Times New Roman" w:hAnsi="Times New Roman" w:eastAsia="宋体"/>
                <w:color w:val="000000" w:themeColor="text1"/>
                <w:spacing w:val="0"/>
                <w:szCs w:val="18"/>
                <w:highlight w:val="none"/>
                <w14:textFill>
                  <w14:solidFill>
                    <w14:schemeClr w14:val="tx1"/>
                  </w14:solidFill>
                </w14:textFill>
              </w:rPr>
              <w:t>年</w:t>
            </w:r>
            <w:r>
              <w:rPr>
                <w:rFonts w:hint="eastAsia" w:ascii="Times New Roman" w:hAnsi="Times New Roman"/>
                <w:color w:val="000000" w:themeColor="text1"/>
                <w:spacing w:val="0"/>
                <w:szCs w:val="18"/>
                <w:highlight w:val="none"/>
                <w:lang w:val="en-US" w:eastAsia="zh-CN"/>
                <w14:textFill>
                  <w14:solidFill>
                    <w14:schemeClr w14:val="tx1"/>
                  </w14:solidFill>
                </w14:textFill>
              </w:rPr>
              <w:t>6</w:t>
            </w:r>
            <w:r>
              <w:rPr>
                <w:rFonts w:ascii="Times New Roman" w:hAnsi="Times New Roman" w:eastAsia="宋体"/>
                <w:color w:val="000000" w:themeColor="text1"/>
                <w:spacing w:val="0"/>
                <w:szCs w:val="18"/>
                <w:highlight w:val="none"/>
                <w14:textFill>
                  <w14:solidFill>
                    <w14:schemeClr w14:val="tx1"/>
                  </w14:solidFill>
                </w14:textFill>
              </w:rPr>
              <w:t>月施工，202</w:t>
            </w:r>
            <w:r>
              <w:rPr>
                <w:rFonts w:hint="eastAsia" w:ascii="Times New Roman" w:hAnsi="Times New Roman"/>
                <w:color w:val="000000" w:themeColor="text1"/>
                <w:spacing w:val="0"/>
                <w:szCs w:val="18"/>
                <w:highlight w:val="none"/>
                <w:lang w:val="en-US" w:eastAsia="zh-CN"/>
                <w14:textFill>
                  <w14:solidFill>
                    <w14:schemeClr w14:val="tx1"/>
                  </w14:solidFill>
                </w14:textFill>
              </w:rPr>
              <w:t>7</w:t>
            </w:r>
            <w:r>
              <w:rPr>
                <w:rFonts w:ascii="Times New Roman" w:hAnsi="Times New Roman" w:eastAsia="宋体"/>
                <w:color w:val="000000" w:themeColor="text1"/>
                <w:spacing w:val="0"/>
                <w:szCs w:val="18"/>
                <w:highlight w:val="none"/>
                <w14:textFill>
                  <w14:solidFill>
                    <w14:schemeClr w14:val="tx1"/>
                  </w14:solidFill>
                </w14:textFill>
              </w:rPr>
              <w:t>年</w:t>
            </w:r>
            <w:r>
              <w:rPr>
                <w:rFonts w:hint="eastAsia" w:ascii="Times New Roman" w:hAnsi="Times New Roman"/>
                <w:color w:val="000000" w:themeColor="text1"/>
                <w:spacing w:val="0"/>
                <w:szCs w:val="18"/>
                <w:highlight w:val="none"/>
                <w:lang w:val="en-US" w:eastAsia="zh-CN"/>
                <w14:textFill>
                  <w14:solidFill>
                    <w14:schemeClr w14:val="tx1"/>
                  </w14:solidFill>
                </w14:textFill>
              </w:rPr>
              <w:t>5</w:t>
            </w:r>
            <w:r>
              <w:rPr>
                <w:rFonts w:ascii="Times New Roman" w:hAnsi="Times New Roman" w:eastAsia="宋体"/>
                <w:color w:val="000000" w:themeColor="text1"/>
                <w:spacing w:val="0"/>
                <w:highlight w:val="none"/>
                <w14:textFill>
                  <w14:solidFill>
                    <w14:schemeClr w14:val="tx1"/>
                  </w14:solidFill>
                </w14:textFill>
              </w:rPr>
              <w:t>月</w:t>
            </w:r>
            <w:r>
              <w:rPr>
                <w:rFonts w:ascii="Times New Roman" w:hAnsi="Times New Roman" w:eastAsia="宋体"/>
                <w:color w:val="000000" w:themeColor="text1"/>
                <w:spacing w:val="0"/>
                <w:szCs w:val="18"/>
                <w:highlight w:val="none"/>
                <w14:textFill>
                  <w14:solidFill>
                    <w14:schemeClr w14:val="tx1"/>
                  </w14:solidFill>
                </w14:textFill>
              </w:rPr>
              <w:t>完工，</w:t>
            </w:r>
            <w:r>
              <w:rPr>
                <w:rFonts w:hint="eastAsia" w:ascii="Times New Roman" w:hAnsi="Times New Roman" w:eastAsia="宋体"/>
                <w:color w:val="000000" w:themeColor="text1"/>
                <w:spacing w:val="0"/>
                <w:szCs w:val="18"/>
                <w:highlight w:val="none"/>
                <w:lang w:val="en-US" w:eastAsia="zh-CN"/>
                <w14:textFill>
                  <w14:solidFill>
                    <w14:schemeClr w14:val="tx1"/>
                  </w14:solidFill>
                </w14:textFill>
              </w:rPr>
              <w:t>总工期12</w:t>
            </w:r>
            <w:r>
              <w:rPr>
                <w:rFonts w:ascii="Times New Roman" w:hAnsi="Times New Roman" w:eastAsia="宋体"/>
                <w:color w:val="000000" w:themeColor="text1"/>
                <w:spacing w:val="0"/>
                <w:szCs w:val="18"/>
                <w:highlight w:val="none"/>
                <w14:textFill>
                  <w14:solidFill>
                    <w14:schemeClr w14:val="tx1"/>
                  </w14:solidFill>
                </w14:textFill>
              </w:rPr>
              <w:t>个月。</w:t>
            </w:r>
          </w:p>
        </w:tc>
      </w:tr>
      <w:tr w14:paraId="3D78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vAlign w:val="center"/>
          </w:tcPr>
          <w:p w14:paraId="42E7BE1C">
            <w:pPr>
              <w:pStyle w:val="23"/>
              <w:spacing w:before="0" w:beforeAutospacing="0" w:after="0" w:afterAutospacing="0" w:line="360" w:lineRule="auto"/>
              <w:jc w:val="center"/>
              <w:outlineLvl w:val="9"/>
              <w:rPr>
                <w:rFonts w:ascii="Times New Roman" w:hAnsi="Times New Roman" w:eastAsia="宋体"/>
                <w:b/>
                <w:bCs/>
                <w:snapToGrid w:val="0"/>
                <w:color w:val="000000" w:themeColor="text1"/>
                <w:spacing w:val="0"/>
                <w:sz w:val="30"/>
                <w:szCs w:val="3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其他</w:t>
            </w:r>
          </w:p>
        </w:tc>
        <w:tc>
          <w:tcPr>
            <w:tcW w:w="8670" w:type="dxa"/>
          </w:tcPr>
          <w:p w14:paraId="4F751E86">
            <w:pPr>
              <w:widowControl/>
              <w:spacing w:line="360" w:lineRule="auto"/>
              <w:ind w:left="42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1、变电站站址方案</w:t>
            </w:r>
          </w:p>
          <w:p w14:paraId="58DA64CE">
            <w:pPr>
              <w:widowControl/>
              <w:tabs>
                <w:tab w:val="left" w:pos="5250"/>
              </w:tabs>
              <w:spacing w:line="360" w:lineRule="auto"/>
              <w:ind w:firstLine="480" w:firstLineChars="200"/>
              <w:jc w:val="left"/>
              <w:outlineLvl w:val="9"/>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拟建三岔 110kV 变电站位于</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。现站址位置为资源局确定位置，拟选站址场地稳定性较好，周围无电磁、声环境敏感目标，无生态敏感区</w:t>
            </w:r>
            <w:r>
              <w:rPr>
                <w:rFonts w:hint="eastAsia"/>
                <w:color w:val="000000" w:themeColor="text1"/>
                <w:spacing w:val="0"/>
                <w:kern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适宜进行本工程的建设。交通便利，满足大件运输的要求。考虑负荷中心位置以及对侧间隔接入条件，此站址是较为合适的，且已取得选址意见书，故作为唯一站址，不再进行站址比选。</w:t>
            </w:r>
          </w:p>
          <w:p w14:paraId="1637FBF9">
            <w:pPr>
              <w:widowControl/>
              <w:spacing w:line="360" w:lineRule="auto"/>
              <w:ind w:left="42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hint="eastAsia" w:ascii="Times New Roman" w:hAnsi="Times New Roman" w:eastAsia="宋体"/>
                <w:b/>
                <w:bCs/>
                <w:color w:val="000000" w:themeColor="text1"/>
                <w:spacing w:val="0"/>
                <w:kern w:val="0"/>
                <w:sz w:val="24"/>
                <w:highlight w:val="none"/>
                <w14:textFill>
                  <w14:solidFill>
                    <w14:schemeClr w14:val="tx1"/>
                  </w14:solidFill>
                </w14:textFill>
              </w:rPr>
              <w:t>2、</w:t>
            </w:r>
            <w:r>
              <w:rPr>
                <w:rFonts w:ascii="Times New Roman" w:hAnsi="Times New Roman" w:eastAsia="宋体"/>
                <w:b/>
                <w:bCs/>
                <w:color w:val="000000" w:themeColor="text1"/>
                <w:spacing w:val="0"/>
                <w:kern w:val="0"/>
                <w:sz w:val="24"/>
                <w:highlight w:val="none"/>
                <w14:textFill>
                  <w14:solidFill>
                    <w14:schemeClr w14:val="tx1"/>
                  </w14:solidFill>
                </w14:textFill>
              </w:rPr>
              <w:t>输电线路</w:t>
            </w:r>
            <w:r>
              <w:rPr>
                <w:rFonts w:hint="eastAsia" w:ascii="Times New Roman" w:hAnsi="Times New Roman" w:eastAsia="宋体"/>
                <w:b/>
                <w:bCs/>
                <w:color w:val="000000" w:themeColor="text1"/>
                <w:spacing w:val="0"/>
                <w:kern w:val="0"/>
                <w:sz w:val="24"/>
                <w:highlight w:val="none"/>
                <w:lang w:val="en-US" w:eastAsia="zh-CN"/>
                <w14:textFill>
                  <w14:solidFill>
                    <w14:schemeClr w14:val="tx1"/>
                  </w14:solidFill>
                </w14:textFill>
              </w:rPr>
              <w:t>路径</w:t>
            </w:r>
            <w:r>
              <w:rPr>
                <w:rFonts w:ascii="Times New Roman" w:hAnsi="Times New Roman" w:eastAsia="宋体"/>
                <w:b/>
                <w:bCs/>
                <w:color w:val="000000" w:themeColor="text1"/>
                <w:spacing w:val="0"/>
                <w:kern w:val="0"/>
                <w:sz w:val="24"/>
                <w:highlight w:val="none"/>
                <w14:textFill>
                  <w14:solidFill>
                    <w14:schemeClr w14:val="tx1"/>
                  </w14:solidFill>
                </w14:textFill>
              </w:rPr>
              <w:t>方案</w:t>
            </w:r>
          </w:p>
          <w:p w14:paraId="61C1026E">
            <w:pPr>
              <w:pStyle w:val="7"/>
              <w:adjustRightInd w:val="0"/>
              <w:snapToGrid w:val="0"/>
              <w:spacing w:after="0" w:line="360" w:lineRule="auto"/>
              <w:ind w:left="0" w:leftChars="0"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（1）申铎线π入三岔变110kV线路路径方案</w:t>
            </w:r>
          </w:p>
          <w:p w14:paraId="7485EABF">
            <w:pPr>
              <w:pStyle w:val="7"/>
              <w:adjustRightInd w:val="0"/>
              <w:snapToGrid w:val="0"/>
              <w:spacing w:after="0" w:line="360" w:lineRule="auto"/>
              <w:ind w:left="0" w:leftChars="0"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自已建 110kV 清铎（申铎线）双回路申铎线#44 前后开断，于开断点前后侧分别新建 1 基双回路终端塔，在新建双回路终端塔申铎线侧引出 2 回线路，向东采用 2 回单回路向三岔变方向进行走线，直至接入待建三岔 110kV 变电站，线路长度约3.5km（1×1.75km+1×1.75km），本部分π接后形成清水河-黄铎堡-三岔-申庄-清水河环网通道。本段线路属于短线路路径规划，路径走廊开阔，线路路径唯一，无比选方案。</w:t>
            </w:r>
          </w:p>
          <w:p w14:paraId="3D60A22B">
            <w:pPr>
              <w:pStyle w:val="7"/>
              <w:spacing w:after="0" w:line="360" w:lineRule="auto"/>
              <w:ind w:left="0" w:leftChars="0"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（2）</w:t>
            </w:r>
            <w:r>
              <w:rPr>
                <w:rFonts w:hint="eastAsia"/>
                <w:color w:val="000000" w:themeColor="text1"/>
                <w:spacing w:val="0"/>
                <w:sz w:val="24"/>
                <w:highlight w:val="none"/>
                <w:lang w:val="en-US" w:eastAsia="zh-CN"/>
                <w14:textFill>
                  <w14:solidFill>
                    <w14:schemeClr w14:val="tx1"/>
                  </w14:solidFill>
                </w14:textFill>
              </w:rPr>
              <w:t>申庄～黄铎堡改接清水河变电站110kV线路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路径方案</w:t>
            </w:r>
          </w:p>
          <w:p w14:paraId="1697717F">
            <w:pPr>
              <w:pStyle w:val="7"/>
              <w:adjustRightInd w:val="0"/>
              <w:snapToGrid w:val="0"/>
              <w:spacing w:after="0" w:line="360" w:lineRule="auto"/>
              <w:ind w:left="0" w:leftChars="0"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本段线路在选择线路时综合考虑制约线路路径选择的各种因素，减少线路走廊对当地居民区、农业耕地的影响，依据规划部门要求，拟定了3 个路径方案：</w:t>
            </w:r>
          </w:p>
          <w:p w14:paraId="69C752BD">
            <w:pPr>
              <w:pStyle w:val="7"/>
              <w:adjustRightInd w:val="0"/>
              <w:snapToGrid w:val="0"/>
              <w:spacing w:after="0" w:line="360" w:lineRule="auto"/>
              <w:ind w:left="0" w:leftChars="0"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北方案 A+南方案 B（推荐方案）：本方案自清铎线间隔及三岔变间隔分别采用架空方式出线后，电缆引下钻越多次 110kV 及 330kV 线路后，于 330kV 清启Ⅰ线北侧引上，采用双回架空线路向北走至华木林沟北侧，之后向西进行走线，之后规避燃气管线后向北走线，最后向东接至 110kV 清铎#8（申铎#5）大号侧改接点，形成清水河-三岔-黄铎堡-清水河环网通道。</w:t>
            </w:r>
          </w:p>
          <w:p w14:paraId="15B0D6D1">
            <w:pPr>
              <w:pStyle w:val="7"/>
              <w:adjustRightInd w:val="0"/>
              <w:snapToGrid w:val="0"/>
              <w:spacing w:after="0" w:line="360" w:lineRule="auto"/>
              <w:ind w:left="0" w:leftChars="0" w:firstLine="480" w:firstLineChars="200"/>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南方案 A+北方案 B（比选方案）：本方案自三岔变间隔采用架空方式出线后，电缆引下。采用电缆方式钻越多条 110kV 及 330kV 线路后，于 330kV 清启Ⅰ线北侧引上，采用双回架空线路跨越养鸡场后向北继续走线，规避燃气管线后向东走线，而后钻越 110kV 清铎（申铎）线后，于 110kV 申铎线#3、#4 处开断进行π接。最后形成清水河-三岔-黄铎堡-清水河环网通道。</w:t>
            </w:r>
          </w:p>
          <w:p w14:paraId="2FE8B692">
            <w:pPr>
              <w:pStyle w:val="7"/>
              <w:adjustRightInd w:val="0"/>
              <w:snapToGrid w:val="0"/>
              <w:spacing w:after="0" w:line="360" w:lineRule="auto"/>
              <w:ind w:left="0" w:leftChars="0"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北方案 A*+南方案 B（比选方案）：本方案自清铎线间隔及三岔变间隔分别采用架空方式出线后，电缆引下钻越多次 110kV 及 330kV 线路后，于 330kV 六清Ⅲ线北侧引上，采用双回架空线路钻越 330kV 清启Ⅰ线后，向北走至华木林沟北侧，之后向西进行走线，之后规避燃气管线后向北走线，最后向东接至 110kV 清铎#8（申铎#5）大号侧改接点，形成清水河-三岔-黄铎堡-清水河环网通道。本方案需对 330kV 清启Ⅰ线进行加高改造，现状 330kV 清启Ⅰ线#1为 3F-SDJ-18，双回路单侧挂线，#2 为 30 米单回路耐张塔，档距 318米；本次加高改造因两侧耐张塔档距较小，且为导线垂直排列变三角排列档中，若在档内直接增加直线塔进行抬高改造，则直线塔悬垂串内兜严重，间隙值无法保证。故本次抬高改造拟在#3 小号侧新建 1 基 30 米耐张塔，与#1 大号侧新建 1 基 27 米耐张塔，在档中新建 1 基 45 米直线塔</w:t>
            </w:r>
            <w:r>
              <w:rPr>
                <w:rFonts w:hint="eastAsia" w:ascii="Times New Roman" w:hAnsi="Times New Roman" w:eastAsia="宋体"/>
                <w:b w:val="0"/>
                <w:bCs/>
                <w:color w:val="000000" w:themeColor="text1"/>
                <w:spacing w:val="0"/>
                <w:sz w:val="24"/>
                <w:highlight w:val="none"/>
                <w:lang w:val="en-US" w:eastAsia="zh-CN"/>
                <w14:textFill>
                  <w14:solidFill>
                    <w14:schemeClr w14:val="tx1"/>
                  </w14:solidFill>
                </w14:textFill>
              </w:rPr>
              <w:t>。</w:t>
            </w:r>
          </w:p>
          <w:p w14:paraId="64FBD933">
            <w:pPr>
              <w:widowControl/>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线路路径方案比较情况见表2-</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7</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线路路径</w:t>
            </w:r>
            <w:r>
              <w:rPr>
                <w:rFonts w:hint="eastAsia" w:ascii="Times New Roman" w:hAnsi="Times New Roman" w:eastAsia="宋体"/>
                <w:bCs/>
                <w:color w:val="000000" w:themeColor="text1"/>
                <w:spacing w:val="0"/>
                <w:sz w:val="24"/>
                <w:highlight w:val="none"/>
                <w14:textFill>
                  <w14:solidFill>
                    <w14:schemeClr w14:val="tx1"/>
                  </w14:solidFill>
                </w14:textFill>
              </w:rPr>
              <w:t>比选</w:t>
            </w:r>
            <w:r>
              <w:rPr>
                <w:rFonts w:ascii="Times New Roman" w:hAnsi="Times New Roman" w:eastAsia="宋体"/>
                <w:bCs/>
                <w:color w:val="000000" w:themeColor="text1"/>
                <w:spacing w:val="0"/>
                <w:sz w:val="24"/>
                <w:highlight w:val="none"/>
                <w14:textFill>
                  <w14:solidFill>
                    <w14:schemeClr w14:val="tx1"/>
                  </w14:solidFill>
                </w14:textFill>
              </w:rPr>
              <w:t>方案详见</w:t>
            </w:r>
            <w:r>
              <w:rPr>
                <w:rFonts w:ascii="Times New Roman" w:hAnsi="Times New Roman" w:eastAsia="宋体"/>
                <w:b/>
                <w:bCs w:val="0"/>
                <w:color w:val="000000" w:themeColor="text1"/>
                <w:spacing w:val="0"/>
                <w:sz w:val="24"/>
                <w:highlight w:val="none"/>
                <w14:textFill>
                  <w14:solidFill>
                    <w14:schemeClr w14:val="tx1"/>
                  </w14:solidFill>
                </w14:textFill>
              </w:rPr>
              <w:t>附图</w:t>
            </w:r>
            <w:r>
              <w:rPr>
                <w:rFonts w:hint="eastAsia" w:ascii="Times New Roman" w:hAnsi="Times New Roman" w:eastAsia="宋体"/>
                <w:b/>
                <w:bCs w:val="0"/>
                <w:color w:val="000000" w:themeColor="text1"/>
                <w:spacing w:val="0"/>
                <w:sz w:val="24"/>
                <w:highlight w:val="none"/>
                <w:lang w:val="en-US" w:eastAsia="zh-CN"/>
                <w14:textFill>
                  <w14:solidFill>
                    <w14:schemeClr w14:val="tx1"/>
                  </w14:solidFill>
                </w14:textFill>
              </w:rPr>
              <w:t>2-6</w:t>
            </w:r>
            <w:r>
              <w:rPr>
                <w:rFonts w:ascii="Times New Roman" w:hAnsi="Times New Roman" w:eastAsia="宋体"/>
                <w:bCs/>
                <w:color w:val="000000" w:themeColor="text1"/>
                <w:spacing w:val="0"/>
                <w:sz w:val="24"/>
                <w:highlight w:val="none"/>
                <w14:textFill>
                  <w14:solidFill>
                    <w14:schemeClr w14:val="tx1"/>
                  </w14:solidFill>
                </w14:textFill>
              </w:rPr>
              <w:t>。</w:t>
            </w:r>
          </w:p>
          <w:p w14:paraId="7AEC563A">
            <w:pPr>
              <w:spacing w:line="360" w:lineRule="auto"/>
              <w:jc w:val="center"/>
              <w:outlineLvl w:val="9"/>
              <w:rPr>
                <w:rFonts w:ascii="Times New Roman" w:hAnsi="Times New Roman" w:eastAsia="宋体" w:cs="Times New Roman"/>
                <w:b/>
                <w:color w:val="000000" w:themeColor="text1"/>
                <w:spacing w:val="0"/>
                <w:sz w:val="24"/>
                <w:highlight w:val="none"/>
                <w14:textFill>
                  <w14:solidFill>
                    <w14:schemeClr w14:val="tx1"/>
                  </w14:solidFill>
                </w14:textFill>
              </w:rPr>
            </w:pPr>
            <w:r>
              <w:rPr>
                <w:rFonts w:ascii="Times New Roman" w:hAnsi="Times New Roman" w:eastAsia="宋体" w:cs="Times New Roman"/>
                <w:b/>
                <w:color w:val="000000" w:themeColor="text1"/>
                <w:spacing w:val="0"/>
                <w:sz w:val="24"/>
                <w:highlight w:val="none"/>
                <w14:textFill>
                  <w14:solidFill>
                    <w14:schemeClr w14:val="tx1"/>
                  </w14:solidFill>
                </w14:textFill>
              </w:rPr>
              <w:t>表2-</w:t>
            </w:r>
            <w:r>
              <w:rPr>
                <w:rFonts w:hint="eastAsia" w:ascii="Times New Roman" w:hAnsi="Times New Roman" w:eastAsia="宋体" w:cs="Times New Roman"/>
                <w:b/>
                <w:color w:val="000000" w:themeColor="text1"/>
                <w:spacing w:val="0"/>
                <w:sz w:val="24"/>
                <w:highlight w:val="none"/>
                <w:lang w:val="en-US" w:eastAsia="zh-CN"/>
                <w14:textFill>
                  <w14:solidFill>
                    <w14:schemeClr w14:val="tx1"/>
                  </w14:solidFill>
                </w14:textFill>
              </w:rPr>
              <w:t xml:space="preserve">7 </w:t>
            </w:r>
            <w:r>
              <w:rPr>
                <w:rFonts w:ascii="Times New Roman" w:hAnsi="Times New Roman" w:eastAsia="宋体" w:cs="Times New Roman"/>
                <w:b/>
                <w:color w:val="000000" w:themeColor="text1"/>
                <w:spacing w:val="0"/>
                <w:sz w:val="24"/>
                <w:highlight w:val="none"/>
                <w14:textFill>
                  <w14:solidFill>
                    <w14:schemeClr w14:val="tx1"/>
                  </w14:solidFill>
                </w14:textFill>
              </w:rPr>
              <w:t xml:space="preserve"> 线路路径方案比较一览表</w:t>
            </w:r>
          </w:p>
          <w:tbl>
            <w:tblPr>
              <w:tblStyle w:val="26"/>
              <w:tblW w:w="84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294"/>
              <w:gridCol w:w="2101"/>
              <w:gridCol w:w="2175"/>
              <w:gridCol w:w="945"/>
            </w:tblGrid>
            <w:tr w14:paraId="6B325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60" w:type="dxa"/>
                  <w:vAlign w:val="center"/>
                </w:tcPr>
                <w:p w14:paraId="04C97DF6">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序号</w:t>
                  </w:r>
                </w:p>
              </w:tc>
              <w:tc>
                <w:tcPr>
                  <w:tcW w:w="2294" w:type="dxa"/>
                  <w:vAlign w:val="center"/>
                </w:tcPr>
                <w:p w14:paraId="0FA5253E">
                  <w:pPr>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方案1</w:t>
                  </w:r>
                </w:p>
              </w:tc>
              <w:tc>
                <w:tcPr>
                  <w:tcW w:w="2101" w:type="dxa"/>
                  <w:vAlign w:val="center"/>
                </w:tcPr>
                <w:p w14:paraId="3389D089">
                  <w:pPr>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方案2</w:t>
                  </w:r>
                </w:p>
              </w:tc>
              <w:tc>
                <w:tcPr>
                  <w:tcW w:w="2175" w:type="dxa"/>
                  <w:vAlign w:val="center"/>
                </w:tcPr>
                <w:p w14:paraId="518CC5E7">
                  <w:pPr>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方案3</w:t>
                  </w:r>
                </w:p>
              </w:tc>
              <w:tc>
                <w:tcPr>
                  <w:tcW w:w="945" w:type="dxa"/>
                  <w:vMerge w:val="restart"/>
                  <w:vAlign w:val="center"/>
                </w:tcPr>
                <w:p w14:paraId="06EC869E">
                  <w:pPr>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比较</w:t>
                  </w:r>
                </w:p>
                <w:p w14:paraId="78A232D4">
                  <w:pPr>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结论</w:t>
                  </w:r>
                </w:p>
              </w:tc>
            </w:tr>
            <w:tr w14:paraId="13D6A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60" w:type="dxa"/>
                  <w:shd w:val="clear" w:color="auto" w:fill="auto"/>
                  <w:vAlign w:val="center"/>
                </w:tcPr>
                <w:p w14:paraId="69940AE6">
                  <w:pPr>
                    <w:jc w:val="center"/>
                    <w:outlineLvl w:val="9"/>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项目</w:t>
                  </w:r>
                </w:p>
              </w:tc>
              <w:tc>
                <w:tcPr>
                  <w:tcW w:w="2294" w:type="dxa"/>
                  <w:shd w:val="clear" w:color="auto" w:fill="auto"/>
                  <w:vAlign w:val="center"/>
                </w:tcPr>
                <w:p w14:paraId="57B71F9C">
                  <w:pPr>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北方案 A+南方案 B（推荐方案）</w:t>
                  </w:r>
                </w:p>
              </w:tc>
              <w:tc>
                <w:tcPr>
                  <w:tcW w:w="2101" w:type="dxa"/>
                  <w:shd w:val="clear" w:color="auto" w:fill="auto"/>
                  <w:vAlign w:val="center"/>
                </w:tcPr>
                <w:p w14:paraId="4F9E7D08">
                  <w:pPr>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南方案 A+北方案 B（比选方案）</w:t>
                  </w:r>
                </w:p>
              </w:tc>
              <w:tc>
                <w:tcPr>
                  <w:tcW w:w="2175" w:type="dxa"/>
                  <w:shd w:val="clear" w:color="auto" w:fill="auto"/>
                  <w:vAlign w:val="center"/>
                </w:tcPr>
                <w:p w14:paraId="6653B746">
                  <w:pPr>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北方案 A*+南方案 B（比选方案）</w:t>
                  </w:r>
                </w:p>
              </w:tc>
              <w:tc>
                <w:tcPr>
                  <w:tcW w:w="945" w:type="dxa"/>
                  <w:vMerge w:val="continue"/>
                  <w:shd w:val="clear" w:color="auto" w:fill="auto"/>
                  <w:vAlign w:val="center"/>
                </w:tcPr>
                <w:p w14:paraId="1CB0E0EF">
                  <w:pPr>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p>
              </w:tc>
            </w:tr>
            <w:tr w14:paraId="446EE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Align w:val="center"/>
                </w:tcPr>
                <w:p w14:paraId="73E5A707">
                  <w:pPr>
                    <w:jc w:val="center"/>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位置</w:t>
                  </w:r>
                </w:p>
              </w:tc>
              <w:tc>
                <w:tcPr>
                  <w:tcW w:w="2294" w:type="dxa"/>
                  <w:vAlign w:val="center"/>
                </w:tcPr>
                <w:p w14:paraId="27D382D5">
                  <w:pPr>
                    <w:jc w:val="center"/>
                    <w:outlineLvl w:val="9"/>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固原市</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原州区</w:t>
                  </w:r>
                </w:p>
              </w:tc>
              <w:tc>
                <w:tcPr>
                  <w:tcW w:w="2101" w:type="dxa"/>
                  <w:vAlign w:val="center"/>
                </w:tcPr>
                <w:p w14:paraId="59522C77">
                  <w:pPr>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固原市</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原州区</w:t>
                  </w:r>
                </w:p>
              </w:tc>
              <w:tc>
                <w:tcPr>
                  <w:tcW w:w="2175" w:type="dxa"/>
                  <w:vAlign w:val="center"/>
                </w:tcPr>
                <w:p w14:paraId="017EA012">
                  <w:pPr>
                    <w:tabs>
                      <w:tab w:val="center" w:pos="493"/>
                      <w:tab w:val="left" w:pos="584"/>
                    </w:tabs>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固原市</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原州区</w:t>
                  </w:r>
                </w:p>
              </w:tc>
              <w:tc>
                <w:tcPr>
                  <w:tcW w:w="945" w:type="dxa"/>
                  <w:vAlign w:val="center"/>
                </w:tcPr>
                <w:p w14:paraId="39A4BE1B">
                  <w:pPr>
                    <w:tabs>
                      <w:tab w:val="center" w:pos="493"/>
                      <w:tab w:val="left" w:pos="584"/>
                    </w:tabs>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相同</w:t>
                  </w:r>
                </w:p>
              </w:tc>
            </w:tr>
            <w:tr w14:paraId="76E88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Align w:val="center"/>
                </w:tcPr>
                <w:p w14:paraId="327F9E91">
                  <w:pPr>
                    <w:jc w:val="center"/>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线路长度</w:t>
                  </w:r>
                </w:p>
              </w:tc>
              <w:tc>
                <w:tcPr>
                  <w:tcW w:w="2294" w:type="dxa"/>
                  <w:shd w:val="clear" w:color="auto" w:fill="auto"/>
                  <w:vAlign w:val="center"/>
                </w:tcPr>
                <w:p w14:paraId="2CAE6D1C">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1×0.04km（架空）+2</w:t>
                  </w:r>
                </w:p>
                <w:p w14:paraId="0B26A6DC">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×1.75km（架空）+1×</w:t>
                  </w:r>
                </w:p>
                <w:p w14:paraId="034CB73C">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0.26km（电缆）+1×</w:t>
                  </w:r>
                </w:p>
                <w:p w14:paraId="44E09CC5">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0.02km（电缆）+2×</w:t>
                  </w:r>
                </w:p>
                <w:p w14:paraId="1744076F">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0.31km（电缆）</w:t>
                  </w:r>
                </w:p>
              </w:tc>
              <w:tc>
                <w:tcPr>
                  <w:tcW w:w="2101" w:type="dxa"/>
                  <w:shd w:val="clear" w:color="auto" w:fill="auto"/>
                  <w:vAlign w:val="center"/>
                </w:tcPr>
                <w:p w14:paraId="77C507CC">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1×0.04km（架空）+2</w:t>
                  </w:r>
                </w:p>
                <w:p w14:paraId="179B8690">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×1.67km（架空）+1×</w:t>
                  </w:r>
                </w:p>
                <w:p w14:paraId="38D899AB">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0.26km（电缆）+1×</w:t>
                  </w:r>
                </w:p>
                <w:p w14:paraId="1EBE9886">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0.02km（电缆）+2×</w:t>
                  </w:r>
                </w:p>
                <w:p w14:paraId="2FC317E4">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0.31km（电缆）</w:t>
                  </w:r>
                </w:p>
              </w:tc>
              <w:tc>
                <w:tcPr>
                  <w:tcW w:w="2175" w:type="dxa"/>
                  <w:vAlign w:val="center"/>
                </w:tcPr>
                <w:p w14:paraId="65FA82EF">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1×0.04km（架空）+2</w:t>
                  </w:r>
                </w:p>
                <w:p w14:paraId="7C7C411E">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×1.8km（架空）+1×</w:t>
                  </w:r>
                </w:p>
                <w:p w14:paraId="6D326AC2">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0.35km（电缆）+1×</w:t>
                  </w:r>
                </w:p>
                <w:p w14:paraId="2B6472DA">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0.02km（电缆）+2×</w:t>
                  </w:r>
                </w:p>
                <w:p w14:paraId="501918BE">
                  <w:pPr>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pacing w:val="0"/>
                      <w:kern w:val="0"/>
                      <w:sz w:val="21"/>
                      <w:szCs w:val="21"/>
                      <w:highlight w:val="none"/>
                      <w:lang w:val="en-US" w:eastAsia="zh-CN" w:bidi="ar-SA"/>
                      <w14:textFill>
                        <w14:solidFill>
                          <w14:schemeClr w14:val="tx1"/>
                        </w14:solidFill>
                      </w14:textFill>
                    </w:rPr>
                    <w:t>0.1km（电缆）</w:t>
                  </w:r>
                </w:p>
              </w:tc>
              <w:tc>
                <w:tcPr>
                  <w:tcW w:w="945" w:type="dxa"/>
                  <w:vAlign w:val="center"/>
                </w:tcPr>
                <w:p w14:paraId="77689DF3">
                  <w:pPr>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相当</w:t>
                  </w:r>
                </w:p>
              </w:tc>
            </w:tr>
            <w:tr w14:paraId="06026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Align w:val="center"/>
                </w:tcPr>
                <w:p w14:paraId="70882283">
                  <w:pPr>
                    <w:jc w:val="center"/>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杆塔数量（基）</w:t>
                  </w:r>
                </w:p>
              </w:tc>
              <w:tc>
                <w:tcPr>
                  <w:tcW w:w="2294" w:type="dxa"/>
                  <w:vAlign w:val="center"/>
                </w:tcPr>
                <w:p w14:paraId="50C0686E">
                  <w:pPr>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12</w:t>
                  </w:r>
                </w:p>
              </w:tc>
              <w:tc>
                <w:tcPr>
                  <w:tcW w:w="2101" w:type="dxa"/>
                  <w:vAlign w:val="center"/>
                </w:tcPr>
                <w:p w14:paraId="67AD637D">
                  <w:pPr>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14</w:t>
                  </w:r>
                </w:p>
              </w:tc>
              <w:tc>
                <w:tcPr>
                  <w:tcW w:w="2175" w:type="dxa"/>
                  <w:vAlign w:val="center"/>
                </w:tcPr>
                <w:p w14:paraId="4AEEAEB4">
                  <w:pPr>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13</w:t>
                  </w:r>
                </w:p>
              </w:tc>
              <w:tc>
                <w:tcPr>
                  <w:tcW w:w="945" w:type="dxa"/>
                  <w:vAlign w:val="center"/>
                </w:tcPr>
                <w:p w14:paraId="4D20A43F">
                  <w:pPr>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方案1优</w:t>
                  </w:r>
                </w:p>
              </w:tc>
            </w:tr>
            <w:tr w14:paraId="7009E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Align w:val="center"/>
                </w:tcPr>
                <w:p w14:paraId="081457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lang w:eastAsia="zh-CN"/>
                      <w14:textFill>
                        <w14:solidFill>
                          <w14:schemeClr w14:val="tx1"/>
                        </w14:solidFill>
                      </w14:textFill>
                    </w:rPr>
                    <w:t>永久占地面积（</w:t>
                  </w:r>
                  <w:r>
                    <w:rPr>
                      <w:rFonts w:hint="eastAsia" w:ascii="Times New Roman" w:hAnsi="Times New Roman" w:eastAsia="宋体" w:cs="Times New Roman"/>
                      <w:b/>
                      <w:bCs/>
                      <w:color w:val="000000" w:themeColor="text1"/>
                      <w:spacing w:val="0"/>
                      <w:w w:val="100"/>
                      <w:position w:val="0"/>
                      <w:sz w:val="21"/>
                      <w:szCs w:val="21"/>
                      <w:highlight w:val="none"/>
                      <w:lang w:val="en-US" w:eastAsia="zh-CN"/>
                      <w14:textFill>
                        <w14:solidFill>
                          <w14:schemeClr w14:val="tx1"/>
                        </w14:solidFill>
                      </w14:textFill>
                    </w:rPr>
                    <w:t>hm</w:t>
                  </w:r>
                  <w:r>
                    <w:rPr>
                      <w:rFonts w:hint="eastAsia" w:ascii="Times New Roman" w:hAnsi="Times New Roman" w:eastAsia="宋体" w:cs="Times New Roman"/>
                      <w:b/>
                      <w:bCs/>
                      <w:color w:val="000000" w:themeColor="text1"/>
                      <w:spacing w:val="0"/>
                      <w:w w:val="100"/>
                      <w:position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w w:val="100"/>
                      <w:position w:val="0"/>
                      <w:sz w:val="21"/>
                      <w:szCs w:val="21"/>
                      <w:highlight w:val="none"/>
                      <w:lang w:eastAsia="zh-CN"/>
                      <w14:textFill>
                        <w14:solidFill>
                          <w14:schemeClr w14:val="tx1"/>
                        </w14:solidFill>
                      </w14:textFill>
                    </w:rPr>
                    <w:t>）</w:t>
                  </w:r>
                </w:p>
              </w:tc>
              <w:tc>
                <w:tcPr>
                  <w:tcW w:w="2294" w:type="dxa"/>
                  <w:shd w:val="clear" w:color="auto" w:fill="auto"/>
                  <w:vAlign w:val="center"/>
                </w:tcPr>
                <w:p w14:paraId="4644C5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0.0768</w:t>
                  </w:r>
                </w:p>
              </w:tc>
              <w:tc>
                <w:tcPr>
                  <w:tcW w:w="2101" w:type="dxa"/>
                  <w:shd w:val="clear" w:color="auto" w:fill="auto"/>
                  <w:vAlign w:val="center"/>
                </w:tcPr>
                <w:p w14:paraId="731674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1"/>
                      <w:szCs w:val="21"/>
                      <w:highlight w:val="none"/>
                      <w:lang w:val="en-US" w:eastAsia="zh-CN" w:bidi="ar-SA"/>
                      <w14:textFill>
                        <w14:solidFill>
                          <w14:schemeClr w14:val="tx1"/>
                        </w14:solidFill>
                      </w14:textFill>
                    </w:rPr>
                    <w:t>0.0896</w:t>
                  </w:r>
                </w:p>
              </w:tc>
              <w:tc>
                <w:tcPr>
                  <w:tcW w:w="2175" w:type="dxa"/>
                  <w:vAlign w:val="center"/>
                </w:tcPr>
                <w:p w14:paraId="25B2BEEB">
                  <w:pPr>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0.0832</w:t>
                  </w:r>
                </w:p>
              </w:tc>
              <w:tc>
                <w:tcPr>
                  <w:tcW w:w="945" w:type="dxa"/>
                  <w:vAlign w:val="center"/>
                </w:tcPr>
                <w:p w14:paraId="193A77B2">
                  <w:pPr>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方案1优</w:t>
                  </w:r>
                </w:p>
              </w:tc>
            </w:tr>
            <w:tr w14:paraId="40D15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shd w:val="clear" w:color="auto" w:fill="auto"/>
                  <w:vAlign w:val="center"/>
                </w:tcPr>
                <w:p w14:paraId="507B9359">
                  <w:pPr>
                    <w:jc w:val="center"/>
                    <w:outlineLvl w:val="9"/>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交通条件</w:t>
                  </w:r>
                </w:p>
              </w:tc>
              <w:tc>
                <w:tcPr>
                  <w:tcW w:w="2294" w:type="dxa"/>
                  <w:shd w:val="clear" w:color="auto" w:fill="auto"/>
                  <w:vAlign w:val="center"/>
                </w:tcPr>
                <w:p w14:paraId="54B53F04">
                  <w:pPr>
                    <w:adjustRightInd w:val="0"/>
                    <w:snapToGrid w:val="0"/>
                    <w:jc w:val="center"/>
                    <w:textAlignment w:val="baseline"/>
                    <w:outlineLvl w:val="9"/>
                    <w:rPr>
                      <w:rFonts w:hint="default" w:ascii="Times New Roman" w:hAnsi="Times New Roman" w:eastAsia="宋体" w:cs="Times New Roman"/>
                      <w:b w:val="0"/>
                      <w:color w:val="000000" w:themeColor="text1"/>
                      <w:spacing w:val="0"/>
                      <w:kern w:val="0"/>
                      <w:sz w:val="22"/>
                      <w:szCs w:val="22"/>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kern w:val="0"/>
                      <w:sz w:val="22"/>
                      <w:szCs w:val="22"/>
                      <w:highlight w:val="none"/>
                      <w:lang w:val="en-US" w:eastAsia="zh-CN" w:bidi="ar-SA"/>
                      <w14:textFill>
                        <w14:solidFill>
                          <w14:schemeClr w14:val="tx1"/>
                        </w14:solidFill>
                      </w14:textFill>
                    </w:rPr>
                    <w:t>交通一般</w:t>
                  </w:r>
                </w:p>
              </w:tc>
              <w:tc>
                <w:tcPr>
                  <w:tcW w:w="2101" w:type="dxa"/>
                  <w:shd w:val="clear" w:color="auto" w:fill="auto"/>
                  <w:vAlign w:val="center"/>
                </w:tcPr>
                <w:p w14:paraId="7066AF92">
                  <w:pPr>
                    <w:adjustRightInd w:val="0"/>
                    <w:snapToGrid w:val="0"/>
                    <w:jc w:val="center"/>
                    <w:textAlignment w:val="baseline"/>
                    <w:outlineLvl w:val="9"/>
                    <w:rPr>
                      <w:rFonts w:hint="eastAsia" w:ascii="Times New Roman" w:hAnsi="Times New Roman" w:eastAsia="宋体" w:cs="Times New Roman"/>
                      <w:b w:val="0"/>
                      <w:color w:val="000000" w:themeColor="text1"/>
                      <w:spacing w:val="0"/>
                      <w:kern w:val="0"/>
                      <w:sz w:val="22"/>
                      <w:szCs w:val="22"/>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spacing w:val="0"/>
                      <w:kern w:val="0"/>
                      <w:sz w:val="22"/>
                      <w:szCs w:val="22"/>
                      <w:highlight w:val="none"/>
                      <w:lang w:val="en-US" w:eastAsia="zh-CN" w:bidi="ar-SA"/>
                      <w14:textFill>
                        <w14:solidFill>
                          <w14:schemeClr w14:val="tx1"/>
                        </w14:solidFill>
                      </w14:textFill>
                    </w:rPr>
                    <w:t>交通一般</w:t>
                  </w:r>
                </w:p>
              </w:tc>
              <w:tc>
                <w:tcPr>
                  <w:tcW w:w="2175" w:type="dxa"/>
                  <w:shd w:val="clear" w:color="auto" w:fill="auto"/>
                  <w:vAlign w:val="center"/>
                </w:tcPr>
                <w:p w14:paraId="294EDEE5">
                  <w:pPr>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spacing w:val="0"/>
                      <w:kern w:val="0"/>
                      <w:sz w:val="22"/>
                      <w:szCs w:val="22"/>
                      <w:highlight w:val="none"/>
                      <w:lang w:val="en-US" w:eastAsia="zh-CN" w:bidi="ar-SA"/>
                      <w14:textFill>
                        <w14:solidFill>
                          <w14:schemeClr w14:val="tx1"/>
                        </w14:solidFill>
                      </w14:textFill>
                    </w:rPr>
                    <w:t>交通一般</w:t>
                  </w:r>
                </w:p>
              </w:tc>
              <w:tc>
                <w:tcPr>
                  <w:tcW w:w="945" w:type="dxa"/>
                  <w:shd w:val="clear" w:color="auto" w:fill="auto"/>
                  <w:vAlign w:val="center"/>
                </w:tcPr>
                <w:p w14:paraId="096D834D">
                  <w:pPr>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相同</w:t>
                  </w:r>
                </w:p>
              </w:tc>
            </w:tr>
            <w:tr w14:paraId="19E3C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Align w:val="center"/>
                </w:tcPr>
                <w:p w14:paraId="4F986C78">
                  <w:pPr>
                    <w:jc w:val="center"/>
                    <w:outlineLvl w:val="9"/>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电磁和声环境</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敏感目标情况</w:t>
                  </w:r>
                </w:p>
              </w:tc>
              <w:tc>
                <w:tcPr>
                  <w:tcW w:w="2294" w:type="dxa"/>
                  <w:vAlign w:val="center"/>
                </w:tcPr>
                <w:p w14:paraId="51D6C816">
                  <w:pPr>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处</w:t>
                  </w:r>
                </w:p>
              </w:tc>
              <w:tc>
                <w:tcPr>
                  <w:tcW w:w="2101" w:type="dxa"/>
                  <w:vAlign w:val="center"/>
                </w:tcPr>
                <w:p w14:paraId="001424FD">
                  <w:pPr>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处</w:t>
                  </w:r>
                </w:p>
              </w:tc>
              <w:tc>
                <w:tcPr>
                  <w:tcW w:w="2175" w:type="dxa"/>
                  <w:vAlign w:val="center"/>
                </w:tcPr>
                <w:p w14:paraId="2CD29DD1">
                  <w:pPr>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处</w:t>
                  </w:r>
                </w:p>
              </w:tc>
              <w:tc>
                <w:tcPr>
                  <w:tcW w:w="945" w:type="dxa"/>
                  <w:vAlign w:val="center"/>
                </w:tcPr>
                <w:p w14:paraId="644359DD">
                  <w:pPr>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相同</w:t>
                  </w:r>
                </w:p>
              </w:tc>
            </w:tr>
            <w:tr w14:paraId="535EC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Align w:val="center"/>
                </w:tcPr>
                <w:p w14:paraId="3FA997A3">
                  <w:pPr>
                    <w:jc w:val="center"/>
                    <w:outlineLvl w:val="9"/>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cs="Times New Roman"/>
                      <w:b/>
                      <w:bCs/>
                      <w:color w:val="000000" w:themeColor="text1"/>
                      <w:spacing w:val="0"/>
                      <w:sz w:val="21"/>
                      <w:szCs w:val="21"/>
                      <w:highlight w:val="none"/>
                      <w:lang w:val="en-US" w:eastAsia="zh-CN"/>
                      <w14:textFill>
                        <w14:solidFill>
                          <w14:schemeClr w14:val="tx1"/>
                        </w14:solidFill>
                      </w14:textFill>
                    </w:rPr>
                    <w:t>生态敏感区情况</w:t>
                  </w:r>
                </w:p>
              </w:tc>
              <w:tc>
                <w:tcPr>
                  <w:tcW w:w="2294" w:type="dxa"/>
                  <w:vAlign w:val="center"/>
                </w:tcPr>
                <w:p w14:paraId="5708F5F6">
                  <w:pPr>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不涉及</w:t>
                  </w:r>
                </w:p>
              </w:tc>
              <w:tc>
                <w:tcPr>
                  <w:tcW w:w="2101" w:type="dxa"/>
                  <w:vAlign w:val="center"/>
                </w:tcPr>
                <w:p w14:paraId="3340AE7A">
                  <w:pPr>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不涉及</w:t>
                  </w:r>
                </w:p>
              </w:tc>
              <w:tc>
                <w:tcPr>
                  <w:tcW w:w="2175" w:type="dxa"/>
                  <w:vAlign w:val="center"/>
                </w:tcPr>
                <w:p w14:paraId="1E4F2C98">
                  <w:pPr>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不涉及</w:t>
                  </w:r>
                </w:p>
              </w:tc>
              <w:tc>
                <w:tcPr>
                  <w:tcW w:w="945" w:type="dxa"/>
                  <w:vAlign w:val="center"/>
                </w:tcPr>
                <w:p w14:paraId="028D54BC">
                  <w:pPr>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w:t>
                  </w:r>
                </w:p>
              </w:tc>
            </w:tr>
            <w:tr w14:paraId="2423D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Align w:val="center"/>
                </w:tcPr>
                <w:p w14:paraId="457B0C05">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线路路</w:t>
                  </w:r>
                </w:p>
                <w:p w14:paraId="614D8E73">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径制约</w:t>
                  </w:r>
                </w:p>
                <w:p w14:paraId="35D893CB">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因素</w:t>
                  </w:r>
                </w:p>
                <w:p w14:paraId="738C0AD8">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p>
              </w:tc>
              <w:tc>
                <w:tcPr>
                  <w:tcW w:w="2294" w:type="dxa"/>
                  <w:vAlign w:val="center"/>
                </w:tcPr>
                <w:p w14:paraId="6FB667CC">
                  <w:pPr>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并行中贵天然气，需要协调。</w:t>
                  </w:r>
                </w:p>
              </w:tc>
              <w:tc>
                <w:tcPr>
                  <w:tcW w:w="2101" w:type="dxa"/>
                  <w:vAlign w:val="center"/>
                </w:tcPr>
                <w:p w14:paraId="6F0A5EF9">
                  <w:pPr>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并行中贵天然气，需要协调，钻越 110kV线路存在立塔位置受限，钻越条件困难的问题。</w:t>
                  </w:r>
                </w:p>
              </w:tc>
              <w:tc>
                <w:tcPr>
                  <w:tcW w:w="2175" w:type="dxa"/>
                  <w:vAlign w:val="center"/>
                </w:tcPr>
                <w:p w14:paraId="1A0A1BB7">
                  <w:pPr>
                    <w:jc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并行中贵天然气，需要协调，改造330kV线路 1 处，投资过大。</w:t>
                  </w:r>
                </w:p>
              </w:tc>
              <w:tc>
                <w:tcPr>
                  <w:tcW w:w="945" w:type="dxa"/>
                  <w:vAlign w:val="center"/>
                </w:tcPr>
                <w:p w14:paraId="0AF83F1E">
                  <w:pPr>
                    <w:jc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方案1优</w:t>
                  </w:r>
                </w:p>
              </w:tc>
            </w:tr>
            <w:tr w14:paraId="77E5B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0" w:type="dxa"/>
                  <w:vAlign w:val="center"/>
                </w:tcPr>
                <w:p w14:paraId="4BD8E31F">
                  <w:pPr>
                    <w:jc w:val="center"/>
                    <w:outlineLvl w:val="9"/>
                    <w:rPr>
                      <w:rFonts w:hint="eastAsia"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比较结果</w:t>
                  </w:r>
                </w:p>
              </w:tc>
              <w:tc>
                <w:tcPr>
                  <w:tcW w:w="2294" w:type="dxa"/>
                  <w:vAlign w:val="center"/>
                </w:tcPr>
                <w:p w14:paraId="3A8F0BF9">
                  <w:pPr>
                    <w:jc w:val="center"/>
                    <w:outlineLvl w:val="9"/>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推荐</w:t>
                  </w:r>
                </w:p>
              </w:tc>
              <w:tc>
                <w:tcPr>
                  <w:tcW w:w="2101" w:type="dxa"/>
                  <w:vAlign w:val="center"/>
                </w:tcPr>
                <w:p w14:paraId="7EB7BA9C">
                  <w:pPr>
                    <w:jc w:val="center"/>
                    <w:outlineLvl w:val="9"/>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比选</w:t>
                  </w:r>
                </w:p>
              </w:tc>
              <w:tc>
                <w:tcPr>
                  <w:tcW w:w="2175" w:type="dxa"/>
                  <w:vAlign w:val="center"/>
                </w:tcPr>
                <w:p w14:paraId="249BB34B">
                  <w:pPr>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比选</w:t>
                  </w:r>
                </w:p>
              </w:tc>
              <w:tc>
                <w:tcPr>
                  <w:tcW w:w="945" w:type="dxa"/>
                  <w:vAlign w:val="center"/>
                </w:tcPr>
                <w:p w14:paraId="35F06BB4">
                  <w:pPr>
                    <w:jc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tc>
            </w:tr>
          </w:tbl>
          <w:p w14:paraId="2F4BFA0A">
            <w:pPr>
              <w:pStyle w:val="7"/>
              <w:spacing w:after="0" w:line="360" w:lineRule="auto"/>
              <w:ind w:left="0" w:leftChars="0" w:firstLine="480" w:firstLineChars="200"/>
              <w:outlineLvl w:val="9"/>
              <w:rPr>
                <w:rFonts w:ascii="Times New Roman" w:hAnsi="Times New Roman" w:eastAsia="宋体"/>
                <w:b w:val="0"/>
                <w:bCs/>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4"/>
                <w:szCs w:val="24"/>
                <w:highlight w:val="none"/>
                <w:lang w:val="en-US" w:eastAsia="zh-CN" w:bidi="ar-SA"/>
                <w14:textFill>
                  <w14:solidFill>
                    <w14:schemeClr w14:val="tx1"/>
                  </w14:solidFill>
                </w14:textFill>
              </w:rPr>
              <w:t>根据比较结果，</w:t>
            </w:r>
            <w:r>
              <w:rPr>
                <w:rFonts w:hint="eastAsia" w:ascii="Times New Roman" w:hAnsi="Times New Roman" w:eastAsia="宋体" w:cs="Times New Roman"/>
                <w:color w:val="000000" w:themeColor="text1"/>
                <w:spacing w:val="0"/>
                <w:w w:val="100"/>
                <w:kern w:val="0"/>
                <w:position w:val="0"/>
                <w:sz w:val="24"/>
                <w:szCs w:val="24"/>
                <w:highlight w:val="none"/>
                <w:lang w:val="en-US" w:eastAsia="zh-CN" w:bidi="ar-SA"/>
                <w14:textFill>
                  <w14:solidFill>
                    <w14:schemeClr w14:val="tx1"/>
                  </w14:solidFill>
                </w14:textFill>
              </w:rPr>
              <w:t>3个方案大体相当，但是方案1塔基数量、永久占地面积</w:t>
            </w:r>
            <w:r>
              <w:rPr>
                <w:rFonts w:hint="eastAsia" w:cs="Times New Roman"/>
                <w:color w:val="000000" w:themeColor="text1"/>
                <w:spacing w:val="0"/>
                <w:w w:val="100"/>
                <w:kern w:val="0"/>
                <w:position w:val="0"/>
                <w:sz w:val="24"/>
                <w:szCs w:val="24"/>
                <w:highlight w:val="none"/>
                <w:lang w:val="en-US" w:eastAsia="zh-CN" w:bidi="ar-SA"/>
                <w14:textFill>
                  <w14:solidFill>
                    <w14:schemeClr w14:val="tx1"/>
                  </w14:solidFill>
                </w14:textFill>
              </w:rPr>
              <w:t>、土方量</w:t>
            </w:r>
            <w:r>
              <w:rPr>
                <w:rFonts w:hint="eastAsia" w:ascii="Times New Roman" w:hAnsi="Times New Roman" w:eastAsia="宋体" w:cs="Times New Roman"/>
                <w:color w:val="000000" w:themeColor="text1"/>
                <w:spacing w:val="0"/>
                <w:w w:val="100"/>
                <w:kern w:val="0"/>
                <w:position w:val="0"/>
                <w:sz w:val="24"/>
                <w:szCs w:val="24"/>
                <w:highlight w:val="none"/>
                <w:lang w:val="en-US" w:eastAsia="zh-CN" w:bidi="ar-SA"/>
                <w14:textFill>
                  <w14:solidFill>
                    <w14:schemeClr w14:val="tx1"/>
                  </w14:solidFill>
                </w14:textFill>
              </w:rPr>
              <w:t>较少一些，比选方案永久、临时占地</w:t>
            </w:r>
            <w:r>
              <w:rPr>
                <w:rFonts w:hint="eastAsia" w:cs="Times New Roman"/>
                <w:color w:val="000000" w:themeColor="text1"/>
                <w:spacing w:val="0"/>
                <w:w w:val="100"/>
                <w:kern w:val="0"/>
                <w:positio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w w:val="100"/>
                <w:kern w:val="0"/>
                <w:position w:val="0"/>
                <w:sz w:val="24"/>
                <w:szCs w:val="24"/>
                <w:highlight w:val="none"/>
                <w:lang w:val="en-US" w:eastAsia="zh-CN" w:bidi="ar-SA"/>
                <w14:textFill>
                  <w14:solidFill>
                    <w14:schemeClr w14:val="tx1"/>
                  </w14:solidFill>
                </w14:textFill>
              </w:rPr>
              <w:t>土方量均较大，对土壤扰动及植被</w:t>
            </w:r>
            <w:r>
              <w:rPr>
                <w:rFonts w:hint="eastAsia" w:cs="Times New Roman"/>
                <w:color w:val="000000" w:themeColor="text1"/>
                <w:spacing w:val="0"/>
                <w:w w:val="100"/>
                <w:kern w:val="0"/>
                <w:position w:val="0"/>
                <w:sz w:val="24"/>
                <w:szCs w:val="24"/>
                <w:highlight w:val="none"/>
                <w:lang w:val="en-US" w:eastAsia="zh-CN" w:bidi="ar-SA"/>
                <w14:textFill>
                  <w14:solidFill>
                    <w14:schemeClr w14:val="tx1"/>
                  </w14:solidFill>
                </w14:textFill>
              </w:rPr>
              <w:t>的</w:t>
            </w:r>
            <w:r>
              <w:rPr>
                <w:rFonts w:hint="eastAsia" w:ascii="Times New Roman" w:hAnsi="Times New Roman" w:eastAsia="宋体" w:cs="Times New Roman"/>
                <w:color w:val="000000" w:themeColor="text1"/>
                <w:spacing w:val="0"/>
                <w:w w:val="100"/>
                <w:kern w:val="0"/>
                <w:position w:val="0"/>
                <w:sz w:val="24"/>
                <w:szCs w:val="24"/>
                <w:highlight w:val="none"/>
                <w:lang w:val="en-US" w:eastAsia="zh-CN" w:bidi="ar-SA"/>
                <w14:textFill>
                  <w14:solidFill>
                    <w14:schemeClr w14:val="tx1"/>
                  </w14:solidFill>
                </w14:textFill>
              </w:rPr>
              <w:t>破坏均较大</w:t>
            </w:r>
            <w:r>
              <w:rPr>
                <w:rFonts w:hint="eastAsia" w:cs="Times New Roman"/>
                <w:color w:val="000000" w:themeColor="text1"/>
                <w:spacing w:val="0"/>
                <w:w w:val="100"/>
                <w:kern w:val="0"/>
                <w:positio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w w:val="100"/>
                <w:kern w:val="0"/>
                <w:position w:val="0"/>
                <w:sz w:val="24"/>
                <w:szCs w:val="24"/>
                <w:highlight w:val="none"/>
                <w:lang w:val="en-US" w:eastAsia="zh-CN" w:bidi="ar-SA"/>
                <w14:textFill>
                  <w14:solidFill>
                    <w14:schemeClr w14:val="tx1"/>
                  </w14:solidFill>
                </w14:textFill>
              </w:rPr>
              <w:t>且推荐方案路径制约因素明显少于比选方案，综合考量，选取方案1未推荐方案</w:t>
            </w:r>
            <w:r>
              <w:rPr>
                <w:rFonts w:hint="default" w:ascii="Times New Roman" w:hAnsi="Times New Roman" w:eastAsia="宋体" w:cs="Times New Roman"/>
                <w:color w:val="000000" w:themeColor="text1"/>
                <w:spacing w:val="0"/>
                <w:w w:val="100"/>
                <w:kern w:val="0"/>
                <w:position w:val="0"/>
                <w:sz w:val="24"/>
                <w:szCs w:val="24"/>
                <w:highlight w:val="none"/>
                <w:lang w:val="en-US" w:eastAsia="zh-CN" w:bidi="ar-SA"/>
                <w14:textFill>
                  <w14:solidFill>
                    <w14:schemeClr w14:val="tx1"/>
                  </w14:solidFill>
                </w14:textFill>
              </w:rPr>
              <w:t>。</w:t>
            </w:r>
          </w:p>
          <w:p w14:paraId="39B377B7">
            <w:pPr>
              <w:pStyle w:val="7"/>
              <w:spacing w:after="0" w:line="360" w:lineRule="auto"/>
              <w:ind w:left="0" w:leftChars="0" w:firstLine="480" w:firstLineChars="200"/>
              <w:outlineLvl w:val="9"/>
              <w:rPr>
                <w:rFonts w:hint="default"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（3）</w:t>
            </w:r>
            <w:r>
              <w:rPr>
                <w:rFonts w:hint="eastAsia"/>
                <w:color w:val="000000" w:themeColor="text1"/>
                <w:spacing w:val="0"/>
                <w:sz w:val="24"/>
                <w:highlight w:val="none"/>
                <w:lang w:val="en-US" w:eastAsia="zh-CN"/>
                <w14:textFill>
                  <w14:solidFill>
                    <w14:schemeClr w14:val="tx1"/>
                  </w14:solidFill>
                </w14:textFill>
              </w:rPr>
              <w:t>清水河~申庄改接绿塬变电站110kV线路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路径方案</w:t>
            </w:r>
          </w:p>
          <w:p w14:paraId="7DB29683">
            <w:pPr>
              <w:pStyle w:val="7"/>
              <w:spacing w:after="0" w:line="360" w:lineRule="auto"/>
              <w:ind w:left="0" w:leftChars="0" w:firstLine="480" w:firstLineChars="200"/>
              <w:outlineLvl w:val="9"/>
              <w:rPr>
                <w:rFonts w:ascii="Times New Roman" w:hAnsi="Times New Roman" w:eastAsia="宋体"/>
                <w:b w:val="0"/>
                <w:bCs/>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自 110kV 绿拓线#224 采用架空引至新建钢管杆后电缆引下，向北避让已建塔位进行走线，于 110kV 清铎线侧新建电缆平台引上，接至 110kV 清铎线#1。线路长度约 0.25km，其中单回架空线路长约 0.01km；单回电缆线路长约0.24km。本段线路属于短线路路径规划，路径走廊开阔，线路路径唯一，无比选方案。</w:t>
            </w:r>
          </w:p>
          <w:p w14:paraId="639DF2C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outlineLvl w:val="9"/>
              <w:rPr>
                <w:rFonts w:ascii="Times New Roman" w:hAnsi="Times New Roman" w:eastAsia="宋体"/>
                <w:b/>
                <w:bCs/>
                <w:snapToGrid w:val="0"/>
                <w:color w:val="000000" w:themeColor="text1"/>
                <w:spacing w:val="0"/>
                <w:sz w:val="24"/>
                <w:highlight w:val="none"/>
                <w14:textFill>
                  <w14:solidFill>
                    <w14:schemeClr w14:val="tx1"/>
                  </w14:solidFill>
                </w14:textFill>
              </w:rPr>
            </w:pPr>
          </w:p>
          <w:p w14:paraId="61D4524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outlineLvl w:val="9"/>
              <w:rPr>
                <w:rFonts w:ascii="Times New Roman" w:hAnsi="Times New Roman" w:eastAsia="宋体"/>
                <w:b/>
                <w:bCs/>
                <w:snapToGrid w:val="0"/>
                <w:color w:val="000000" w:themeColor="text1"/>
                <w:spacing w:val="0"/>
                <w:sz w:val="24"/>
                <w:highlight w:val="none"/>
                <w14:textFill>
                  <w14:solidFill>
                    <w14:schemeClr w14:val="tx1"/>
                  </w14:solidFill>
                </w14:textFill>
              </w:rPr>
            </w:pPr>
          </w:p>
          <w:p w14:paraId="329E3B1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outlineLvl w:val="9"/>
              <w:rPr>
                <w:rFonts w:ascii="Times New Roman" w:hAnsi="Times New Roman" w:eastAsia="宋体"/>
                <w:b/>
                <w:bCs/>
                <w:snapToGrid w:val="0"/>
                <w:color w:val="000000" w:themeColor="text1"/>
                <w:spacing w:val="0"/>
                <w:sz w:val="24"/>
                <w:highlight w:val="none"/>
                <w14:textFill>
                  <w14:solidFill>
                    <w14:schemeClr w14:val="tx1"/>
                  </w14:solidFill>
                </w14:textFill>
              </w:rPr>
            </w:pPr>
          </w:p>
        </w:tc>
      </w:tr>
    </w:tbl>
    <w:p w14:paraId="51B06175">
      <w:pPr>
        <w:pStyle w:val="23"/>
        <w:spacing w:before="0" w:beforeAutospacing="0" w:after="0" w:afterAutospacing="0" w:line="360" w:lineRule="auto"/>
        <w:jc w:val="center"/>
        <w:outlineLvl w:val="0"/>
        <w:rPr>
          <w:rFonts w:ascii="Times New Roman" w:hAnsi="Times New Roman" w:eastAsia="宋体"/>
          <w:snapToGrid w:val="0"/>
          <w:color w:val="000000" w:themeColor="text1"/>
          <w:spacing w:val="0"/>
          <w:sz w:val="30"/>
          <w:szCs w:val="30"/>
          <w:highlight w:val="none"/>
          <w14:textFill>
            <w14:solidFill>
              <w14:schemeClr w14:val="tx1"/>
            </w14:solidFill>
          </w14:textFill>
        </w:rPr>
      </w:pPr>
      <w:r>
        <w:rPr>
          <w:rFonts w:ascii="Times New Roman" w:hAnsi="Times New Roman" w:eastAsia="宋体"/>
          <w:b/>
          <w:bCs/>
          <w:color w:val="000000" w:themeColor="text1"/>
          <w:spacing w:val="0"/>
          <w:highlight w:val="none"/>
          <w14:textFill>
            <w14:solidFill>
              <w14:schemeClr w14:val="tx1"/>
            </w14:solidFill>
          </w14:textFill>
        </w:rPr>
        <w:br w:type="page"/>
      </w:r>
      <w:bookmarkStart w:id="7" w:name="_Toc7167"/>
      <w:r>
        <w:rPr>
          <w:rFonts w:ascii="Times New Roman" w:hAnsi="Times New Roman" w:eastAsia="宋体"/>
          <w:b/>
          <w:bCs/>
          <w:snapToGrid w:val="0"/>
          <w:color w:val="000000" w:themeColor="text1"/>
          <w:spacing w:val="0"/>
          <w:sz w:val="30"/>
          <w:szCs w:val="30"/>
          <w:highlight w:val="none"/>
          <w14:textFill>
            <w14:solidFill>
              <w14:schemeClr w14:val="tx1"/>
            </w14:solidFill>
          </w14:textFill>
        </w:rPr>
        <w:t>三、生态环境现状、保护目标及评价标准</w:t>
      </w:r>
      <w:bookmarkEnd w:id="7"/>
    </w:p>
    <w:tbl>
      <w:tblPr>
        <w:tblStyle w:val="26"/>
        <w:tblW w:w="94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20"/>
      </w:tblGrid>
      <w:tr w14:paraId="12238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06" w:type="dxa"/>
            <w:vAlign w:val="center"/>
          </w:tcPr>
          <w:p w14:paraId="7697B55E">
            <w:pPr>
              <w:adjustRightInd w:val="0"/>
              <w:snapToGrid w:val="0"/>
              <w:jc w:val="center"/>
              <w:outlineLvl w:val="9"/>
              <w:rPr>
                <w:rFonts w:ascii="Times New Roman" w:hAnsi="Times New Roman" w:eastAsia="宋体"/>
                <w:color w:val="000000" w:themeColor="text1"/>
                <w:spacing w:val="0"/>
                <w:kern w:val="0"/>
                <w:szCs w:val="21"/>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生态环境现状</w:t>
            </w:r>
          </w:p>
        </w:tc>
        <w:tc>
          <w:tcPr>
            <w:tcW w:w="8720" w:type="dxa"/>
            <w:vAlign w:val="center"/>
          </w:tcPr>
          <w:p w14:paraId="3515DE9F">
            <w:pPr>
              <w:adjustRightInd w:val="0"/>
              <w:snapToGrid w:val="0"/>
              <w:spacing w:line="360" w:lineRule="auto"/>
              <w:ind w:firstLine="482" w:firstLineChars="20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1、区域自然环境现状</w:t>
            </w:r>
          </w:p>
          <w:p w14:paraId="230A3CD3">
            <w:pPr>
              <w:spacing w:line="360" w:lineRule="auto"/>
              <w:ind w:firstLine="482"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（1）地形地貌</w:t>
            </w:r>
          </w:p>
          <w:p w14:paraId="37EBB5DF">
            <w:pPr>
              <w:spacing w:line="360" w:lineRule="auto"/>
              <w:ind w:firstLine="480" w:firstLineChars="200"/>
              <w:outlineLvl w:val="9"/>
              <w:rPr>
                <w:rFonts w:hint="default"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拟建三岔110千伏变电站站址站址区现为农田，种植玉米等经济作物，外围交通条件便利，整体地势平坦开阔，所属地貌单元为清水河冲积平原，勘探点地面标高 1665.80～1667.87m，场平标高1667.70m，为填方场地，最大填方厚度 1.67m。线路地貌单元起伏较小。</w:t>
            </w:r>
          </w:p>
          <w:p w14:paraId="5ACC33EE">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本项目</w:t>
            </w:r>
            <w:r>
              <w:rPr>
                <w:rFonts w:ascii="Times New Roman" w:hAnsi="Times New Roman" w:eastAsia="宋体"/>
                <w:color w:val="000000" w:themeColor="text1"/>
                <w:spacing w:val="0"/>
                <w:kern w:val="0"/>
                <w:sz w:val="24"/>
                <w:highlight w:val="none"/>
                <w14:textFill>
                  <w14:solidFill>
                    <w14:schemeClr w14:val="tx1"/>
                  </w14:solidFill>
                </w14:textFill>
              </w:rPr>
              <w:t>变电站站址及输电线路地形地貌如图3-1。</w:t>
            </w:r>
          </w:p>
          <w:tbl>
            <w:tblPr>
              <w:tblStyle w:val="26"/>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0"/>
              <w:gridCol w:w="4180"/>
            </w:tblGrid>
            <w:tr w14:paraId="34A5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tcPr>
                <w:p w14:paraId="66F1240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14:textFill>
                        <w14:solidFill>
                          <w14:schemeClr w14:val="tx1"/>
                        </w14:solidFill>
                      </w14:textFill>
                    </w:rPr>
                    <w:drawing>
                      <wp:inline distT="0" distB="0" distL="114300" distR="114300">
                        <wp:extent cx="2512695" cy="1880235"/>
                        <wp:effectExtent l="0" t="0" r="1905" b="571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stretch>
                                  <a:fillRect/>
                                </a:stretch>
                              </pic:blipFill>
                              <pic:spPr>
                                <a:xfrm>
                                  <a:off x="0" y="0"/>
                                  <a:ext cx="2512695" cy="1880235"/>
                                </a:xfrm>
                                <a:prstGeom prst="rect">
                                  <a:avLst/>
                                </a:prstGeom>
                                <a:noFill/>
                                <a:ln>
                                  <a:noFill/>
                                </a:ln>
                              </pic:spPr>
                            </pic:pic>
                          </a:graphicData>
                        </a:graphic>
                      </wp:inline>
                    </w:drawing>
                  </w:r>
                </w:p>
              </w:tc>
              <w:tc>
                <w:tcPr>
                  <w:tcW w:w="4180" w:type="dxa"/>
                </w:tcPr>
                <w:p w14:paraId="4BFFEFF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14:textFill>
                        <w14:solidFill>
                          <w14:schemeClr w14:val="tx1"/>
                        </w14:solidFill>
                      </w14:textFill>
                    </w:rPr>
                    <w:drawing>
                      <wp:inline distT="0" distB="0" distL="114300" distR="114300">
                        <wp:extent cx="2482215" cy="1815465"/>
                        <wp:effectExtent l="0" t="0" r="13335" b="133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rcRect l="1263"/>
                                <a:stretch>
                                  <a:fillRect/>
                                </a:stretch>
                              </pic:blipFill>
                              <pic:spPr>
                                <a:xfrm>
                                  <a:off x="0" y="0"/>
                                  <a:ext cx="2482215" cy="1815465"/>
                                </a:xfrm>
                                <a:prstGeom prst="rect">
                                  <a:avLst/>
                                </a:prstGeom>
                                <a:noFill/>
                                <a:ln>
                                  <a:noFill/>
                                </a:ln>
                              </pic:spPr>
                            </pic:pic>
                          </a:graphicData>
                        </a:graphic>
                      </wp:inline>
                    </w:drawing>
                  </w:r>
                </w:p>
              </w:tc>
            </w:tr>
            <w:tr w14:paraId="7A20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0" w:type="dxa"/>
                  <w:gridSpan w:val="2"/>
                </w:tcPr>
                <w:p w14:paraId="568CFF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b/>
                      <w:bCs/>
                      <w:color w:val="000000" w:themeColor="text1"/>
                      <w:spacing w:val="0"/>
                      <w:szCs w:val="21"/>
                      <w:highlight w:val="none"/>
                      <w:lang w:val="en-US" w:eastAsia="zh-CN"/>
                      <w14:textFill>
                        <w14:solidFill>
                          <w14:schemeClr w14:val="tx1"/>
                        </w14:solidFill>
                      </w14:textFill>
                    </w:rPr>
                    <w:t>拟建三岔110千伏</w:t>
                  </w:r>
                  <w:r>
                    <w:rPr>
                      <w:rFonts w:ascii="Times New Roman" w:hAnsi="Times New Roman" w:eastAsia="宋体"/>
                      <w:b/>
                      <w:bCs/>
                      <w:color w:val="000000" w:themeColor="text1"/>
                      <w:spacing w:val="0"/>
                      <w:szCs w:val="21"/>
                      <w:highlight w:val="none"/>
                      <w14:textFill>
                        <w14:solidFill>
                          <w14:schemeClr w14:val="tx1"/>
                        </w14:solidFill>
                      </w14:textFill>
                    </w:rPr>
                    <w:t>变电站站址区域</w:t>
                  </w:r>
                </w:p>
              </w:tc>
            </w:tr>
            <w:tr w14:paraId="7047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tcPr>
                <w:p w14:paraId="13B2200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color w:val="000000" w:themeColor="text1"/>
                      <w:spacing w:val="0"/>
                      <w:highlight w:val="no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161925</wp:posOffset>
                            </wp:positionH>
                            <wp:positionV relativeFrom="paragraph">
                              <wp:posOffset>530860</wp:posOffset>
                            </wp:positionV>
                            <wp:extent cx="1675765" cy="472440"/>
                            <wp:effectExtent l="0" t="0" r="0" b="0"/>
                            <wp:wrapNone/>
                            <wp:docPr id="7" name="文本框 7"/>
                            <wp:cNvGraphicFramePr/>
                            <a:graphic xmlns:a="http://schemas.openxmlformats.org/drawingml/2006/main">
                              <a:graphicData uri="http://schemas.microsoft.com/office/word/2010/wordprocessingShape">
                                <wps:wsp>
                                  <wps:cNvSpPr txBox="1"/>
                                  <wps:spPr>
                                    <a:xfrm>
                                      <a:off x="2013585" y="6517640"/>
                                      <a:ext cx="1675765" cy="472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99904">
                                        <w:pPr>
                                          <w:rPr>
                                            <w:rFonts w:hint="eastAsia" w:ascii="宋体" w:hAnsi="宋体" w:eastAsia="宋体" w:cs="宋体"/>
                                            <w:b/>
                                            <w:bCs/>
                                            <w:color w:val="FF0000"/>
                                          </w:rPr>
                                        </w:pPr>
                                        <w:r>
                                          <w:rPr>
                                            <w:rFonts w:hint="eastAsia" w:ascii="宋体" w:hAnsi="宋体" w:eastAsia="宋体" w:cs="宋体"/>
                                            <w:b/>
                                            <w:bCs/>
                                            <w:color w:val="FF0000"/>
                                          </w:rPr>
                                          <w:t>申庄~黄铎堡π入三岔变电站110千伏架空线路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5pt;margin-top:41.8pt;height:37.2pt;width:131.95pt;z-index:251677696;mso-width-relative:page;mso-height-relative:page;" filled="f" stroked="f" coordsize="21600,21600" o:gfxdata="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SfkuXaAAAACQEAAA8AAAAAAAAAAQAg&#10;AAAAIgAAAGRycy9kb3ducmV2LnhtbFBLAQIUABQAAAAIAIdO4kDY2T4eRQIAAHIEAAAOAAAAAAAA&#10;AAEAIAAAACkBAABkcnMvZTJvRG9jLnhtbFBLBQYAAAAABgAGAFkBAADgBQAAAAA=&#10;">
                            <v:fill on="f" focussize="0,0"/>
                            <v:stroke on="f" weight="0.5pt"/>
                            <v:imagedata o:title=""/>
                            <o:lock v:ext="edit" aspectratio="f"/>
                            <v:textbox>
                              <w:txbxContent>
                                <w:p w14:paraId="27699904">
                                  <w:pPr>
                                    <w:rPr>
                                      <w:rFonts w:hint="eastAsia" w:ascii="宋体" w:hAnsi="宋体" w:eastAsia="宋体" w:cs="宋体"/>
                                      <w:b/>
                                      <w:bCs/>
                                      <w:color w:val="FF0000"/>
                                    </w:rPr>
                                  </w:pPr>
                                  <w:r>
                                    <w:rPr>
                                      <w:rFonts w:hint="eastAsia" w:ascii="宋体" w:hAnsi="宋体" w:eastAsia="宋体" w:cs="宋体"/>
                                      <w:b/>
                                      <w:bCs/>
                                      <w:color w:val="FF0000"/>
                                    </w:rPr>
                                    <w:t>申庄~黄铎堡π入三岔变电站110千伏架空线路</w:t>
                                  </w:r>
                                </w:p>
                              </w:txbxContent>
                            </v:textbox>
                          </v:shape>
                        </w:pict>
                      </mc:Fallback>
                    </mc:AlternateContent>
                  </w:r>
                  <w:r>
                    <w:rPr>
                      <w:rFonts w:ascii="Times New Roman" w:hAnsi="Times New Roman" w:eastAsia="宋体"/>
                      <w:color w:val="000000" w:themeColor="text1"/>
                      <w:spacing w:val="0"/>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868045</wp:posOffset>
                            </wp:positionH>
                            <wp:positionV relativeFrom="paragraph">
                              <wp:posOffset>83185</wp:posOffset>
                            </wp:positionV>
                            <wp:extent cx="819150" cy="438150"/>
                            <wp:effectExtent l="3175" t="5715" r="15875" b="13335"/>
                            <wp:wrapNone/>
                            <wp:docPr id="8" name="直接箭头连接符 8"/>
                            <wp:cNvGraphicFramePr/>
                            <a:graphic xmlns:a="http://schemas.openxmlformats.org/drawingml/2006/main">
                              <a:graphicData uri="http://schemas.microsoft.com/office/word/2010/wordprocessingShape">
                                <wps:wsp>
                                  <wps:cNvCnPr/>
                                  <wps:spPr>
                                    <a:xfrm>
                                      <a:off x="2435225" y="1728470"/>
                                      <a:ext cx="819150" cy="4381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8.35pt;margin-top:6.55pt;height:34.5pt;width:64.5pt;z-index:251662336;mso-width-relative:page;mso-height-relative:page;" filled="f" stroked="t" coordsize="21600,21600" o:gfxdata="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WfzXdUAAAAJAQAADwAAAAAA&#10;AAABACAAAAAiAAAAZHJzL2Rvd25yZXYueG1sUEsBAhQAFAAAAAgAh07iQMR3i6AWAgAA7wMAAA4A&#10;AAAAAAAAAQAgAAAAJAEAAGRycy9lMm9Eb2MueG1sUEsFBgAAAAAGAAYAWQEAAKwFAAAAAA==&#10;">
                            <v:fill on="f" focussize="0,0"/>
                            <v:stroke weight="1pt" color="#FF0000 [3204]" miterlimit="8" joinstyle="miter" endarrow="open"/>
                            <v:imagedata o:title=""/>
                            <o:lock v:ext="edit" aspectratio="f"/>
                          </v:shape>
                        </w:pict>
                      </mc:Fallback>
                    </mc:AlternateContent>
                  </w:r>
                  <w:r>
                    <w:rPr>
                      <w:rFonts w:ascii="Times New Roman" w:hAnsi="Times New Roman" w:eastAsia="宋体"/>
                      <w:color w:val="000000" w:themeColor="text1"/>
                      <w:spacing w:val="0"/>
                      <w:highlight w:val="none"/>
                      <w14:textFill>
                        <w14:solidFill>
                          <w14:schemeClr w14:val="tx1"/>
                        </w14:solidFill>
                      </w14:textFill>
                    </w:rPr>
                    <w:drawing>
                      <wp:inline distT="0" distB="0" distL="114300" distR="114300">
                        <wp:extent cx="2516505" cy="1757680"/>
                        <wp:effectExtent l="0" t="0" r="17145" b="13970"/>
                        <wp:docPr id="118" name="图片 118" descr="IMG_20251125_14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IMG_20251125_144412"/>
                                <pic:cNvPicPr>
                                  <a:picLocks noChangeAspect="1"/>
                                </pic:cNvPicPr>
                              </pic:nvPicPr>
                              <pic:blipFill>
                                <a:blip r:embed="rId12"/>
                                <a:stretch>
                                  <a:fillRect/>
                                </a:stretch>
                              </pic:blipFill>
                              <pic:spPr>
                                <a:xfrm>
                                  <a:off x="0" y="0"/>
                                  <a:ext cx="2516505" cy="1757680"/>
                                </a:xfrm>
                                <a:prstGeom prst="rect">
                                  <a:avLst/>
                                </a:prstGeom>
                              </pic:spPr>
                            </pic:pic>
                          </a:graphicData>
                        </a:graphic>
                      </wp:inline>
                    </w:drawing>
                  </w:r>
                </w:p>
              </w:tc>
              <w:tc>
                <w:tcPr>
                  <w:tcW w:w="4180" w:type="dxa"/>
                </w:tcPr>
                <w:p w14:paraId="3424836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1805305</wp:posOffset>
                            </wp:positionV>
                            <wp:extent cx="1762125" cy="4724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762125" cy="472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6AC67">
                                        <w:pPr>
                                          <w:rPr>
                                            <w:rFonts w:hint="eastAsia" w:ascii="宋体" w:hAnsi="宋体" w:eastAsia="宋体" w:cs="宋体"/>
                                            <w:b/>
                                            <w:bCs/>
                                            <w:color w:val="FF0000"/>
                                          </w:rPr>
                                        </w:pPr>
                                        <w:r>
                                          <w:rPr>
                                            <w:rFonts w:hint="eastAsia" w:ascii="宋体" w:hAnsi="宋体" w:eastAsia="宋体" w:cs="宋体"/>
                                            <w:b/>
                                            <w:bCs/>
                                            <w:color w:val="FF0000"/>
                                          </w:rPr>
                                          <w:t>申庄～黄铎堡改接清水河变电站110kV线路工程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25pt;margin-top:142.15pt;height:37.2pt;width:138.75pt;z-index:251679744;mso-width-relative:page;mso-height-relative:page;" filled="f" stroked="f" coordsize="21600,21600" o:gfxdata="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laxe9sAAAALAQAADwAAAAAAAAABACAAAAAiAAAAZHJz&#10;L2Rvd25yZXYueG1sUEsBAhQAFAAAAAgAh07iQByQEpg6AgAAaAQAAA4AAAAAAAAAAQAgAAAAKgEA&#10;AGRycy9lMm9Eb2MueG1sUEsFBgAAAAAGAAYAWQEAANYFAAAAAA==&#10;">
                            <v:fill on="f" focussize="0,0"/>
                            <v:stroke on="f" weight="0.5pt"/>
                            <v:imagedata o:title=""/>
                            <o:lock v:ext="edit" aspectratio="f"/>
                            <v:textbox>
                              <w:txbxContent>
                                <w:p w14:paraId="5E86AC67">
                                  <w:pPr>
                                    <w:rPr>
                                      <w:rFonts w:hint="eastAsia" w:ascii="宋体" w:hAnsi="宋体" w:eastAsia="宋体" w:cs="宋体"/>
                                      <w:b/>
                                      <w:bCs/>
                                      <w:color w:val="FF0000"/>
                                    </w:rPr>
                                  </w:pPr>
                                  <w:r>
                                    <w:rPr>
                                      <w:rFonts w:hint="eastAsia" w:ascii="宋体" w:hAnsi="宋体" w:eastAsia="宋体" w:cs="宋体"/>
                                      <w:b/>
                                      <w:bCs/>
                                      <w:color w:val="FF0000"/>
                                    </w:rPr>
                                    <w:t>申庄～黄铎堡改接清水河变电站110kV线路工程</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665480</wp:posOffset>
                            </wp:positionH>
                            <wp:positionV relativeFrom="paragraph">
                              <wp:posOffset>1089660</wp:posOffset>
                            </wp:positionV>
                            <wp:extent cx="1762125" cy="472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762125" cy="472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A3862">
                                        <w:pPr>
                                          <w:keepNext w:val="0"/>
                                          <w:keepLines w:val="0"/>
                                          <w:pageBreakBefore w:val="0"/>
                                          <w:widowControl w:val="0"/>
                                          <w:kinsoku/>
                                          <w:wordWrap/>
                                          <w:overflowPunct/>
                                          <w:topLinePunct w:val="0"/>
                                          <w:bidi w:val="0"/>
                                          <w:adjustRightInd w:val="0"/>
                                          <w:snapToGrid w:val="0"/>
                                          <w:textAlignment w:val="auto"/>
                                          <w:rPr>
                                            <w:rFonts w:hint="eastAsia" w:ascii="宋体" w:hAnsi="宋体" w:eastAsia="宋体" w:cs="宋体"/>
                                            <w:b/>
                                            <w:bCs/>
                                            <w:color w:val="FF0000"/>
                                          </w:rPr>
                                        </w:pPr>
                                        <w:r>
                                          <w:rPr>
                                            <w:rFonts w:hint="eastAsia" w:ascii="宋体" w:hAnsi="宋体" w:eastAsia="宋体" w:cs="宋体"/>
                                            <w:b/>
                                            <w:bCs/>
                                            <w:color w:val="FF0000"/>
                                          </w:rPr>
                                          <w:t>申庄～黄铎堡改接清水河变电站110kV线路工程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pt;margin-top:85.8pt;height:37.2pt;width:138.75pt;z-index:251678720;mso-width-relative:page;mso-height-relative:page;" filled="f" stroked="f" coordsize="21600,21600" o:gfxdata="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Efg49sAAAALAQAADwAAAAAAAAABACAAAAAiAAAAZHJz&#10;L2Rvd25yZXYueG1sUEsBAhQAFAAAAAgAh07iQCljfYA6AgAAZgQAAA4AAAAAAAAAAQAgAAAAKgEA&#10;AGRycy9lMm9Eb2MueG1sUEsFBgAAAAAGAAYAWQEAANYFAAAAAA==&#10;">
                            <v:fill on="f" focussize="0,0"/>
                            <v:stroke on="f" weight="0.5pt"/>
                            <v:imagedata o:title=""/>
                            <o:lock v:ext="edit" aspectratio="f"/>
                            <v:textbox>
                              <w:txbxContent>
                                <w:p w14:paraId="278A3862">
                                  <w:pPr>
                                    <w:keepNext w:val="0"/>
                                    <w:keepLines w:val="0"/>
                                    <w:pageBreakBefore w:val="0"/>
                                    <w:widowControl w:val="0"/>
                                    <w:kinsoku/>
                                    <w:wordWrap/>
                                    <w:overflowPunct/>
                                    <w:topLinePunct w:val="0"/>
                                    <w:bidi w:val="0"/>
                                    <w:adjustRightInd w:val="0"/>
                                    <w:snapToGrid w:val="0"/>
                                    <w:textAlignment w:val="auto"/>
                                    <w:rPr>
                                      <w:rFonts w:hint="eastAsia" w:ascii="宋体" w:hAnsi="宋体" w:eastAsia="宋体" w:cs="宋体"/>
                                      <w:b/>
                                      <w:bCs/>
                                      <w:color w:val="FF0000"/>
                                    </w:rPr>
                                  </w:pPr>
                                  <w:r>
                                    <w:rPr>
                                      <w:rFonts w:hint="eastAsia" w:ascii="宋体" w:hAnsi="宋体" w:eastAsia="宋体" w:cs="宋体"/>
                                      <w:b/>
                                      <w:bCs/>
                                      <w:color w:val="FF0000"/>
                                    </w:rPr>
                                    <w:t>申庄～黄铎堡改接清水河变电站110kV线路工程</w:t>
                                  </w:r>
                                </w:p>
                              </w:txbxContent>
                            </v:textbox>
                          </v:shape>
                        </w:pict>
                      </mc:Fallback>
                    </mc:AlternateContent>
                  </w:r>
                  <w:r>
                    <w:rPr>
                      <w:rFonts w:ascii="Times New Roman" w:hAnsi="Times New Roman" w:eastAsia="宋体"/>
                      <w:color w:val="000000" w:themeColor="text1"/>
                      <w:spacing w:val="0"/>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361315</wp:posOffset>
                            </wp:positionH>
                            <wp:positionV relativeFrom="paragraph">
                              <wp:posOffset>177165</wp:posOffset>
                            </wp:positionV>
                            <wp:extent cx="1865630" cy="775970"/>
                            <wp:effectExtent l="2540" t="5715" r="17780" b="18415"/>
                            <wp:wrapNone/>
                            <wp:docPr id="17" name="直接箭头连接符 17"/>
                            <wp:cNvGraphicFramePr/>
                            <a:graphic xmlns:a="http://schemas.openxmlformats.org/drawingml/2006/main">
                              <a:graphicData uri="http://schemas.microsoft.com/office/word/2010/wordprocessingShape">
                                <wps:wsp>
                                  <wps:cNvCnPr/>
                                  <wps:spPr>
                                    <a:xfrm>
                                      <a:off x="1988820" y="6845300"/>
                                      <a:ext cx="1865630" cy="77597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45pt;margin-top:13.95pt;height:61.1pt;width:146.9pt;z-index:251663360;mso-width-relative:page;mso-height-relative:page;" filled="f" stroked="t" coordsize="21600,21600" o:gfxdata="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NPi11wAAAAkBAAAP&#10;AAAAAAAAAAEAIAAAACIAAABkcnMvZG93bnJldi54bWxQSwECFAAUAAAACACHTuJA7TR2xhkCAADy&#10;AwAADgAAAAAAAAABACAAAAAmAQAAZHJzL2Uyb0RvYy54bWxQSwUGAAAAAAYABgBZAQAAsQUAAAAA&#10;">
                            <v:fill on="f" focussize="0,0"/>
                            <v:stroke weight="1pt" color="#FF0000 [3204]" miterlimit="8" joinstyle="miter" endarrow="open"/>
                            <v:imagedata o:title=""/>
                            <o:lock v:ext="edit" aspectratio="f"/>
                          </v:shape>
                        </w:pict>
                      </mc:Fallback>
                    </mc:AlternateContent>
                  </w:r>
                  <w:r>
                    <w:rPr>
                      <w:rFonts w:hint="eastAsia" w:ascii="Times New Roman" w:hAnsi="Times New Roman" w:eastAsia="宋体"/>
                      <w:color w:val="000000" w:themeColor="text1"/>
                      <w:spacing w:val="0"/>
                      <w:highlight w:val="none"/>
                      <w:lang w:eastAsia="zh-CN"/>
                      <w14:textFill>
                        <w14:solidFill>
                          <w14:schemeClr w14:val="tx1"/>
                        </w14:solidFill>
                      </w14:textFill>
                    </w:rPr>
                    <w:drawing>
                      <wp:inline distT="0" distB="0" distL="114300" distR="114300">
                        <wp:extent cx="2489200" cy="1797685"/>
                        <wp:effectExtent l="0" t="0" r="6350" b="12065"/>
                        <wp:docPr id="119" name="图片 119" descr="清水河变电站周围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清水河变电站周围 (17)"/>
                                <pic:cNvPicPr>
                                  <a:picLocks noChangeAspect="1"/>
                                </pic:cNvPicPr>
                              </pic:nvPicPr>
                              <pic:blipFill>
                                <a:blip r:embed="rId13"/>
                                <a:stretch>
                                  <a:fillRect/>
                                </a:stretch>
                              </pic:blipFill>
                              <pic:spPr>
                                <a:xfrm>
                                  <a:off x="0" y="0"/>
                                  <a:ext cx="2489200" cy="1797685"/>
                                </a:xfrm>
                                <a:prstGeom prst="rect">
                                  <a:avLst/>
                                </a:prstGeom>
                              </pic:spPr>
                            </pic:pic>
                          </a:graphicData>
                        </a:graphic>
                      </wp:inline>
                    </w:drawing>
                  </w:r>
                </w:p>
              </w:tc>
            </w:tr>
            <w:tr w14:paraId="08B3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tcPr>
                <w:p w14:paraId="35B1114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213995</wp:posOffset>
                            </wp:positionH>
                            <wp:positionV relativeFrom="paragraph">
                              <wp:posOffset>834390</wp:posOffset>
                            </wp:positionV>
                            <wp:extent cx="1762125" cy="47244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762125" cy="472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17BB2">
                                        <w:pPr>
                                          <w:rPr>
                                            <w:rFonts w:hint="eastAsia" w:ascii="宋体" w:hAnsi="宋体" w:eastAsia="宋体" w:cs="宋体"/>
                                            <w:b/>
                                            <w:bCs/>
                                            <w:color w:val="FF0000"/>
                                          </w:rPr>
                                        </w:pPr>
                                        <w:r>
                                          <w:rPr>
                                            <w:rFonts w:hint="eastAsia" w:ascii="宋体" w:hAnsi="宋体" w:eastAsia="宋体" w:cs="宋体"/>
                                            <w:b/>
                                            <w:bCs/>
                                            <w:color w:val="FF0000"/>
                                          </w:rPr>
                                          <w:t>清水河~申庄改接绿塬变电站110kV线路工程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5pt;margin-top:65.7pt;height:37.2pt;width:138.75pt;z-index:251680768;mso-width-relative:page;mso-height-relative:page;" filled="f" stroked="f" coordsize="21600,21600" o:gfxdata="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gbCNoAAAAKAQAADwAAAAAAAAABACAAAAAiAAAAZHJz&#10;L2Rvd25yZXYueG1sUEsBAhQAFAAAAAgAh07iQOIamd47AgAAaAQAAA4AAAAAAAAAAQAgAAAAKQEA&#10;AGRycy9lMm9Eb2MueG1sUEsFBgAAAAAGAAYAWQEAANYFAAAAAA==&#10;">
                            <v:fill on="f" focussize="0,0"/>
                            <v:stroke on="f" weight="0.5pt"/>
                            <v:imagedata o:title=""/>
                            <o:lock v:ext="edit" aspectratio="f"/>
                            <v:textbox>
                              <w:txbxContent>
                                <w:p w14:paraId="2D317BB2">
                                  <w:pPr>
                                    <w:rPr>
                                      <w:rFonts w:hint="eastAsia" w:ascii="宋体" w:hAnsi="宋体" w:eastAsia="宋体" w:cs="宋体"/>
                                      <w:b/>
                                      <w:bCs/>
                                      <w:color w:val="FF0000"/>
                                    </w:rPr>
                                  </w:pPr>
                                  <w:r>
                                    <w:rPr>
                                      <w:rFonts w:hint="eastAsia" w:ascii="宋体" w:hAnsi="宋体" w:eastAsia="宋体" w:cs="宋体"/>
                                      <w:b/>
                                      <w:bCs/>
                                      <w:color w:val="FF0000"/>
                                    </w:rPr>
                                    <w:t>清水河~申庄改接绿塬变电站110kV线路工程</w:t>
                                  </w:r>
                                </w:p>
                              </w:txbxContent>
                            </v:textbox>
                          </v:shape>
                        </w:pict>
                      </mc:Fallback>
                    </mc:AlternateContent>
                  </w:r>
                  <w:r>
                    <w:rPr>
                      <w:rFonts w:ascii="Times New Roman" w:hAnsi="Times New Roman" w:eastAsia="宋体"/>
                      <w:color w:val="000000" w:themeColor="text1"/>
                      <w:spacing w:val="0"/>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744220</wp:posOffset>
                            </wp:positionH>
                            <wp:positionV relativeFrom="paragraph">
                              <wp:posOffset>635</wp:posOffset>
                            </wp:positionV>
                            <wp:extent cx="876300" cy="495300"/>
                            <wp:effectExtent l="3175" t="5715" r="15875" b="13335"/>
                            <wp:wrapNone/>
                            <wp:docPr id="122" name="直接箭头连接符 122"/>
                            <wp:cNvGraphicFramePr/>
                            <a:graphic xmlns:a="http://schemas.openxmlformats.org/drawingml/2006/main">
                              <a:graphicData uri="http://schemas.microsoft.com/office/word/2010/wordprocessingShape">
                                <wps:wsp>
                                  <wps:cNvCnPr/>
                                  <wps:spPr>
                                    <a:xfrm>
                                      <a:off x="0" y="0"/>
                                      <a:ext cx="876300" cy="4953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8.6pt;margin-top:0.05pt;height:39pt;width:69pt;z-index:251673600;mso-width-relative:page;mso-height-relative:page;" filled="f" stroked="t" coordsize="21600,21600" o:gfxdata="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pNulNMAAAAHAQAADwAAAAAAAAABACAAAAAiAAAAZHJz&#10;L2Rvd25yZXYueG1sUEsBAhQAFAAAAAgAh07iQKs07NoJAgAA5wMAAA4AAAAAAAAAAQAgAAAAIgEA&#10;AGRycy9lMm9Eb2MueG1sUEsFBgAAAAAGAAYAWQEAAJ0FAAAAAA==&#10;">
                            <v:fill on="f" focussize="0,0"/>
                            <v:stroke weight="1pt" color="#FF0000 [3204]" miterlimit="8" joinstyle="miter" endarrow="open"/>
                            <v:imagedata o:title=""/>
                            <o:lock v:ext="edit" aspectratio="f"/>
                          </v:shape>
                        </w:pict>
                      </mc:Fallback>
                    </mc:AlternateContent>
                  </w:r>
                  <w:r>
                    <w:rPr>
                      <w:rFonts w:hint="eastAsia" w:ascii="Times New Roman" w:hAnsi="Times New Roman" w:eastAsia="宋体"/>
                      <w:color w:val="000000" w:themeColor="text1"/>
                      <w:spacing w:val="0"/>
                      <w:highlight w:val="none"/>
                      <w:lang w:eastAsia="zh-CN"/>
                      <w14:textFill>
                        <w14:solidFill>
                          <w14:schemeClr w14:val="tx1"/>
                        </w14:solidFill>
                      </w14:textFill>
                    </w:rPr>
                    <w:drawing>
                      <wp:inline distT="0" distB="0" distL="114300" distR="114300">
                        <wp:extent cx="2516505" cy="1887220"/>
                        <wp:effectExtent l="0" t="0" r="17145" b="17780"/>
                        <wp:docPr id="120" name="图片 120" descr="IMG_20251125_15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0251125_154249"/>
                                <pic:cNvPicPr>
                                  <a:picLocks noChangeAspect="1"/>
                                </pic:cNvPicPr>
                              </pic:nvPicPr>
                              <pic:blipFill>
                                <a:blip r:embed="rId14"/>
                                <a:stretch>
                                  <a:fillRect/>
                                </a:stretch>
                              </pic:blipFill>
                              <pic:spPr>
                                <a:xfrm>
                                  <a:off x="0" y="0"/>
                                  <a:ext cx="2516505" cy="1887220"/>
                                </a:xfrm>
                                <a:prstGeom prst="rect">
                                  <a:avLst/>
                                </a:prstGeom>
                              </pic:spPr>
                            </pic:pic>
                          </a:graphicData>
                        </a:graphic>
                      </wp:inline>
                    </w:drawing>
                  </w:r>
                </w:p>
              </w:tc>
              <w:tc>
                <w:tcPr>
                  <w:tcW w:w="4180" w:type="dxa"/>
                </w:tcPr>
                <w:p w14:paraId="64F0E5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1264920</wp:posOffset>
                            </wp:positionH>
                            <wp:positionV relativeFrom="paragraph">
                              <wp:posOffset>816610</wp:posOffset>
                            </wp:positionV>
                            <wp:extent cx="1221740" cy="67310"/>
                            <wp:effectExtent l="635" t="45720" r="15875" b="20320"/>
                            <wp:wrapNone/>
                            <wp:docPr id="124" name="直接箭头连接符 124"/>
                            <wp:cNvGraphicFramePr/>
                            <a:graphic xmlns:a="http://schemas.openxmlformats.org/drawingml/2006/main">
                              <a:graphicData uri="http://schemas.microsoft.com/office/word/2010/wordprocessingShape">
                                <wps:wsp>
                                  <wps:cNvCnPr/>
                                  <wps:spPr>
                                    <a:xfrm flipV="1">
                                      <a:off x="0" y="0"/>
                                      <a:ext cx="1221740" cy="6731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9.6pt;margin-top:64.3pt;height:5.3pt;width:96.2pt;z-index:251675648;mso-width-relative:page;mso-height-relative:page;" filled="f" stroked="t" coordsize="21600,21600" o:gfxdata="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Idqd1QAAAAsBAAAPAAAAAAAAAAEA&#10;IAAAACIAAABkcnMvZG93bnJldi54bWxQSwECFAAUAAAACACHTuJAZSQ1PhICAADxAwAADgAAAAAA&#10;AAABACAAAAAkAQAAZHJzL2Uyb0RvYy54bWxQSwUGAAAAAAYABgBZAQAAqAUAAAAA&#10;">
                            <v:fill on="f" focussize="0,0"/>
                            <v:stroke weight="1pt" color="#FF0000 [3204]" miterlimit="8" joinstyle="miter" endarrow="open"/>
                            <v:imagedata o:title=""/>
                            <o:lock v:ext="edit" aspectratio="f"/>
                          </v:shape>
                        </w:pict>
                      </mc:Fallback>
                    </mc:AlternateContent>
                  </w:r>
                  <w:r>
                    <w:rPr>
                      <w:rFonts w:ascii="Times New Roman" w:hAnsi="Times New Roman" w:eastAsia="宋体"/>
                      <w:color w:val="000000" w:themeColor="text1"/>
                      <w:spacing w:val="0"/>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359410</wp:posOffset>
                            </wp:positionH>
                            <wp:positionV relativeFrom="paragraph">
                              <wp:posOffset>30480</wp:posOffset>
                            </wp:positionV>
                            <wp:extent cx="889635" cy="847090"/>
                            <wp:effectExtent l="4445" t="4445" r="1270" b="5715"/>
                            <wp:wrapNone/>
                            <wp:docPr id="123" name="直接箭头连接符 123"/>
                            <wp:cNvGraphicFramePr/>
                            <a:graphic xmlns:a="http://schemas.openxmlformats.org/drawingml/2006/main">
                              <a:graphicData uri="http://schemas.microsoft.com/office/word/2010/wordprocessingShape">
                                <wps:wsp>
                                  <wps:cNvCnPr/>
                                  <wps:spPr>
                                    <a:xfrm>
                                      <a:off x="0" y="0"/>
                                      <a:ext cx="889635" cy="84709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3pt;margin-top:2.4pt;height:66.7pt;width:70.05pt;z-index:251674624;mso-width-relative:page;mso-height-relative:page;" filled="f" stroked="t" coordsize="21600,21600" o:gfxdata="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ZyeONYAAAAIAQAADwAAAAAAAAABACAAAAAi&#10;AAAAZHJzL2Rvd25yZXYueG1sUEsBAhQAFAAAAAgAh07iQCYl4O4MAgAA5wMAAA4AAAAAAAAAAQAg&#10;AAAAJQEAAGRycy9lMm9Eb2MueG1sUEsFBgAAAAAGAAYAWQEAAKMFAAAAAA==&#10;">
                            <v:fill on="f" focussize="0,0"/>
                            <v:stroke weight="1pt" color="#FF0000 [3204]" miterlimit="8" joinstyle="miter" endarrow="open"/>
                            <v:imagedata o:title=""/>
                            <o:lock v:ext="edit" aspectratio="f"/>
                          </v:shape>
                        </w:pict>
                      </mc:Fallback>
                    </mc:AlternateContent>
                  </w:r>
                  <w:r>
                    <w:rPr>
                      <w:rFonts w:hint="eastAsia" w:ascii="Times New Roman" w:hAnsi="Times New Roman" w:eastAsia="宋体"/>
                      <w:color w:val="000000" w:themeColor="text1"/>
                      <w:spacing w:val="0"/>
                      <w:highlight w:val="none"/>
                      <w:lang w:eastAsia="zh-CN"/>
                      <w14:textFill>
                        <w14:solidFill>
                          <w14:schemeClr w14:val="tx1"/>
                        </w14:solidFill>
                      </w14:textFill>
                    </w:rPr>
                    <w:drawing>
                      <wp:inline distT="0" distB="0" distL="114300" distR="114300">
                        <wp:extent cx="2489200" cy="1832610"/>
                        <wp:effectExtent l="0" t="0" r="6350" b="15240"/>
                        <wp:docPr id="121" name="图片 121" descr="清水河变电站周围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清水河变电站周围 (6)"/>
                                <pic:cNvPicPr>
                                  <a:picLocks noChangeAspect="1"/>
                                </pic:cNvPicPr>
                              </pic:nvPicPr>
                              <pic:blipFill>
                                <a:blip r:embed="rId15"/>
                                <a:stretch>
                                  <a:fillRect/>
                                </a:stretch>
                              </pic:blipFill>
                              <pic:spPr>
                                <a:xfrm>
                                  <a:off x="0" y="0"/>
                                  <a:ext cx="2489200" cy="1832610"/>
                                </a:xfrm>
                                <a:prstGeom prst="rect">
                                  <a:avLst/>
                                </a:prstGeom>
                              </pic:spPr>
                            </pic:pic>
                          </a:graphicData>
                        </a:graphic>
                      </wp:inline>
                    </w:drawing>
                  </w:r>
                </w:p>
              </w:tc>
            </w:tr>
            <w:tr w14:paraId="43CD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0" w:type="dxa"/>
                  <w:gridSpan w:val="2"/>
                </w:tcPr>
                <w:p w14:paraId="6779B97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Cs w:val="21"/>
                      <w:highlight w:val="none"/>
                      <w14:textFill>
                        <w14:solidFill>
                          <w14:schemeClr w14:val="tx1"/>
                        </w14:solidFill>
                      </w14:textFill>
                    </w:rPr>
                    <w:t>输电线路</w:t>
                  </w:r>
                  <w:r>
                    <w:rPr>
                      <w:rFonts w:hint="eastAsia" w:ascii="Times New Roman" w:hAnsi="Times New Roman" w:eastAsia="宋体"/>
                      <w:b/>
                      <w:bCs/>
                      <w:color w:val="000000" w:themeColor="text1"/>
                      <w:spacing w:val="0"/>
                      <w:kern w:val="0"/>
                      <w:szCs w:val="21"/>
                      <w:highlight w:val="none"/>
                      <w:lang w:val="en-US" w:eastAsia="zh-CN"/>
                      <w14:textFill>
                        <w14:solidFill>
                          <w14:schemeClr w14:val="tx1"/>
                        </w14:solidFill>
                      </w14:textFill>
                    </w:rPr>
                    <w:t>路径走廊</w:t>
                  </w:r>
                  <w:r>
                    <w:rPr>
                      <w:rFonts w:ascii="Times New Roman" w:hAnsi="Times New Roman" w:eastAsia="宋体"/>
                      <w:b/>
                      <w:bCs/>
                      <w:color w:val="000000" w:themeColor="text1"/>
                      <w:spacing w:val="0"/>
                      <w:kern w:val="0"/>
                      <w:szCs w:val="21"/>
                      <w:highlight w:val="none"/>
                      <w14:textFill>
                        <w14:solidFill>
                          <w14:schemeClr w14:val="tx1"/>
                        </w14:solidFill>
                      </w14:textFill>
                    </w:rPr>
                    <w:t>地形地貌</w:t>
                  </w:r>
                </w:p>
              </w:tc>
            </w:tr>
            <w:tr w14:paraId="1A5C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360" w:type="dxa"/>
                  <w:gridSpan w:val="2"/>
                  <w:tcBorders>
                    <w:top w:val="nil"/>
                    <w:left w:val="nil"/>
                    <w:bottom w:val="nil"/>
                    <w:right w:val="nil"/>
                  </w:tcBorders>
                </w:tcPr>
                <w:p w14:paraId="2D686E4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b/>
                      <w:bCs/>
                      <w:color w:val="000000" w:themeColor="text1"/>
                      <w:spacing w:val="0"/>
                      <w:kern w:val="0"/>
                      <w:szCs w:val="21"/>
                      <w:highlight w:val="none"/>
                      <w14:textFill>
                        <w14:solidFill>
                          <w14:schemeClr w14:val="tx1"/>
                        </w14:solidFill>
                      </w14:textFill>
                    </w:rPr>
                  </w:pPr>
                  <w:r>
                    <w:rPr>
                      <w:rFonts w:ascii="Times New Roman" w:hAnsi="Times New Roman" w:eastAsia="宋体"/>
                      <w:b/>
                      <w:color w:val="000000" w:themeColor="text1"/>
                      <w:spacing w:val="0"/>
                      <w:kern w:val="0"/>
                      <w:sz w:val="24"/>
                      <w:highlight w:val="none"/>
                      <w14:textFill>
                        <w14:solidFill>
                          <w14:schemeClr w14:val="tx1"/>
                        </w14:solidFill>
                      </w14:textFill>
                    </w:rPr>
                    <w:t>图3-1  本项目所经区域地形地貌</w:t>
                  </w:r>
                </w:p>
              </w:tc>
            </w:tr>
          </w:tbl>
          <w:p w14:paraId="6660F60A">
            <w:pPr>
              <w:tabs>
                <w:tab w:val="left" w:pos="420"/>
                <w:tab w:val="left" w:pos="840"/>
                <w:tab w:val="left" w:pos="1260"/>
              </w:tabs>
              <w:spacing w:line="360" w:lineRule="auto"/>
              <w:ind w:firstLine="482" w:firstLineChars="200"/>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（2）地层结构</w:t>
            </w:r>
          </w:p>
          <w:p w14:paraId="30CBCD5A">
            <w:pPr>
              <w:pStyle w:val="14"/>
              <w:spacing w:line="360" w:lineRule="auto"/>
              <w:ind w:firstLine="480" w:firstLineChars="200"/>
              <w:outlineLvl w:val="9"/>
              <w:rPr>
                <w:rFonts w:hint="default" w:ascii="Times New Roman" w:hAnsi="Times New Roman" w:eastAsia="宋体"/>
                <w:color w:val="000000" w:themeColor="text1"/>
                <w:spacing w:val="0"/>
                <w:kern w:val="0"/>
                <w:sz w:val="24"/>
                <w:highlight w:val="none"/>
                <w14:textFill>
                  <w14:solidFill>
                    <w14:schemeClr w14:val="tx1"/>
                  </w14:solidFill>
                </w14:textFill>
              </w:rPr>
            </w:pPr>
            <w:r>
              <w:rPr>
                <w:rFonts w:hint="default" w:ascii="Times New Roman" w:hAnsi="Times New Roman" w:eastAsia="宋体"/>
                <w:color w:val="000000" w:themeColor="text1"/>
                <w:spacing w:val="0"/>
                <w:kern w:val="0"/>
                <w:sz w:val="24"/>
                <w:highlight w:val="none"/>
                <w14:textFill>
                  <w14:solidFill>
                    <w14:schemeClr w14:val="tx1"/>
                  </w14:solidFill>
                </w14:textFill>
              </w:rPr>
              <w:t>根据本工程地质勘察报告，将</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项目所在区域</w:t>
            </w:r>
            <w:r>
              <w:rPr>
                <w:rFonts w:hint="default" w:ascii="Times New Roman" w:hAnsi="Times New Roman" w:eastAsia="宋体"/>
                <w:color w:val="000000" w:themeColor="text1"/>
                <w:spacing w:val="0"/>
                <w:kern w:val="0"/>
                <w:sz w:val="24"/>
                <w:highlight w:val="none"/>
                <w14:textFill>
                  <w14:solidFill>
                    <w14:schemeClr w14:val="tx1"/>
                  </w14:solidFill>
                </w14:textFill>
              </w:rPr>
              <w:t>地层岩性及其分布和特性自上而下描述如下：</w:t>
            </w:r>
          </w:p>
          <w:p w14:paraId="28B109A1">
            <w:pPr>
              <w:pStyle w:val="14"/>
              <w:spacing w:line="360" w:lineRule="auto"/>
              <w:ind w:firstLine="480" w:firstLineChars="200"/>
              <w:outlineLvl w:val="9"/>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1）</w:t>
            </w:r>
            <w:r>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t>申铎线</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π</w:t>
            </w:r>
            <w:r>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t>入三岔变110kV线路</w:t>
            </w:r>
          </w:p>
          <w:p w14:paraId="0B8AC30C">
            <w:pPr>
              <w:pStyle w:val="14"/>
              <w:spacing w:line="360" w:lineRule="auto"/>
              <w:ind w:firstLine="480" w:firstLineChars="200"/>
              <w:outlineLvl w:val="9"/>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pPr>
            <w:r>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t>①素填土：浅黄色，稍湿，松散，成分以粉土主。该层普遍位于该段线路表层，层厚 0.8～1.5m，平均层厚 1.0m。</w:t>
            </w:r>
          </w:p>
          <w:p w14:paraId="1D55A6E7">
            <w:pPr>
              <w:pStyle w:val="14"/>
              <w:spacing w:line="360" w:lineRule="auto"/>
              <w:ind w:firstLine="480" w:firstLineChars="200"/>
              <w:outlineLvl w:val="9"/>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pPr>
            <w:r>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t>②黄土状粉土：褐黄色，稍密，稍湿，白色条带状钙质粉末，具湿陷性，湿陷程度多为严重-中等。该层在该段沿线普遍分布，位于①素填土之下，层厚 2.0～5.0m，部分地段层厚大于 10.0m。</w:t>
            </w:r>
          </w:p>
          <w:p w14:paraId="058C4271">
            <w:pPr>
              <w:pStyle w:val="14"/>
              <w:spacing w:line="360" w:lineRule="auto"/>
              <w:ind w:firstLine="480" w:firstLineChars="200"/>
              <w:outlineLvl w:val="9"/>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pPr>
            <w:r>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t>③角砾：杂色，次棱角状、片状，稍湿-饱和，稍密-中密，砾石成分以砂岩、灰岩为主，直径一般在 2～40mm 之间，多充填粉土、中粗砂，局部与粉土呈互层状分布。该层位于②黄土状粉土或③黄土状粉质黏土之下，层厚大于 10.0m，仅在部分地段揭露。</w:t>
            </w:r>
          </w:p>
          <w:p w14:paraId="39A6AFB6">
            <w:pPr>
              <w:pStyle w:val="14"/>
              <w:spacing w:line="360" w:lineRule="auto"/>
              <w:ind w:firstLine="480" w:firstLineChars="200"/>
              <w:outlineLvl w:val="9"/>
              <w:rPr>
                <w:rFonts w:hint="default" w:ascii="Times New Roman" w:hAnsi="Times New Roman" w:eastAsia="宋体"/>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2）</w:t>
            </w:r>
            <w:r>
              <w:rPr>
                <w:rFonts w:hint="eastAsia" w:ascii="Times New Roman" w:eastAsia="宋体"/>
                <w:color w:val="000000" w:themeColor="text1"/>
                <w:spacing w:val="0"/>
                <w:kern w:val="0"/>
                <w:sz w:val="24"/>
                <w:highlight w:val="none"/>
                <w:lang w:val="en-US" w:eastAsia="zh-CN"/>
                <w14:textFill>
                  <w14:solidFill>
                    <w14:schemeClr w14:val="tx1"/>
                  </w14:solidFill>
                </w14:textFill>
              </w:rPr>
              <w:t>清水河~申庄改接绿塬变电站110kV线路</w:t>
            </w:r>
          </w:p>
          <w:p w14:paraId="4FA4FD8F">
            <w:pPr>
              <w:pStyle w:val="14"/>
              <w:spacing w:line="360" w:lineRule="auto"/>
              <w:ind w:firstLine="480" w:firstLineChars="200"/>
              <w:outlineLvl w:val="9"/>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①素填土：浅黄色，稍湿，松散，成分以粉土主。该层普遍位于该段线路表层，层厚 0.8～1.5m，平均层厚 1.0m。</w:t>
            </w:r>
          </w:p>
          <w:p w14:paraId="2CA6C2F5">
            <w:pPr>
              <w:pStyle w:val="14"/>
              <w:spacing w:line="360" w:lineRule="auto"/>
              <w:ind w:firstLine="480" w:firstLineChars="200"/>
              <w:outlineLvl w:val="9"/>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②黄土状粉土：褐黄色，稍密，稍湿，白色条带状钙质粉末，具湿陷性，湿陷程度多为严重-中等。该层在该段沿线普遍分布，位于①素填土之下，层厚 2.0～5.0m，部分地段层厚大于 10.0m。</w:t>
            </w:r>
          </w:p>
          <w:p w14:paraId="1F095331">
            <w:pPr>
              <w:pStyle w:val="14"/>
              <w:spacing w:line="360" w:lineRule="auto"/>
              <w:ind w:firstLine="480" w:firstLineChars="200"/>
              <w:outlineLvl w:val="9"/>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③角砾：杂色，次棱角状、片状，稍湿-饱和，稍密-中密，砾石成分以砂岩、灰岩为主，直径一般在 2～40mm 之间，多充填粉土、中粗砂，局部与粉土呈互层状分布。该层位于②黄土状粉土或③黄土状粉质黏土之下，层厚大于 10.0m，仅在部分地段揭露。</w:t>
            </w:r>
          </w:p>
          <w:p w14:paraId="6C447F14">
            <w:pPr>
              <w:pStyle w:val="14"/>
              <w:spacing w:line="360" w:lineRule="auto"/>
              <w:ind w:firstLine="480" w:firstLineChars="200"/>
              <w:outlineLvl w:val="9"/>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3）</w:t>
            </w:r>
            <w:r>
              <w:rPr>
                <w:rFonts w:hint="eastAsia" w:ascii="Times New Roman" w:eastAsia="宋体" w:cs="Times New Roman"/>
                <w:color w:val="000000" w:themeColor="text1"/>
                <w:spacing w:val="0"/>
                <w:kern w:val="0"/>
                <w:sz w:val="24"/>
                <w:highlight w:val="none"/>
                <w:lang w:val="en-US" w:eastAsia="zh-CN"/>
                <w14:textFill>
                  <w14:solidFill>
                    <w14:schemeClr w14:val="tx1"/>
                  </w14:solidFill>
                </w14:textFill>
              </w:rPr>
              <w:t>申庄～黄铎堡改接清水河变电站110kV线路</w:t>
            </w:r>
          </w:p>
          <w:p w14:paraId="7ED614E3">
            <w:pPr>
              <w:pStyle w:val="14"/>
              <w:spacing w:line="360" w:lineRule="auto"/>
              <w:ind w:firstLine="480" w:firstLineChars="200"/>
              <w:outlineLvl w:val="9"/>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①素填土：浅黄色，稍湿，松散，成分以粉土主。该层普遍位于该段线路表层，层厚 0.8～1.5m，平均层厚 1.0m。</w:t>
            </w:r>
          </w:p>
          <w:p w14:paraId="5D0FD96F">
            <w:pPr>
              <w:pStyle w:val="14"/>
              <w:spacing w:line="360" w:lineRule="auto"/>
              <w:ind w:firstLine="480" w:firstLineChars="200"/>
              <w:outlineLvl w:val="9"/>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②黄土状粉土：褐黄色，稍密，稍湿，白色条带状钙质粉末，具湿陷性，湿陷程度多为严重-中等。该层在该段沿线普遍分布，位于①素填土之下，层厚 2.0～5.0m，部分地段层厚大于 10.0m。</w:t>
            </w:r>
          </w:p>
          <w:p w14:paraId="3BB4FEBE">
            <w:pPr>
              <w:pStyle w:val="14"/>
              <w:spacing w:line="360" w:lineRule="auto"/>
              <w:ind w:firstLine="480" w:firstLineChars="200"/>
              <w:outlineLvl w:val="9"/>
              <w:rPr>
                <w:rFonts w:ascii="Times New Roman" w:hAnsi="Times New Roman" w:eastAsia="宋体"/>
                <w:color w:val="000000" w:themeColor="text1"/>
                <w:spacing w:val="0"/>
                <w14:textFill>
                  <w14:solidFill>
                    <w14:schemeClr w14:val="tx1"/>
                  </w14:solidFill>
                </w14:textFill>
              </w:rPr>
            </w:pP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③角砾：杂色，次棱角状、片状，稍湿-饱和，稍密-中密，砾石成分以砂岩、灰岩为主，直径一般在 2～40mm 之间，多充填粉土、中粗砂，局部与粉土呈互层状分布。该层位于②黄土状粉土或③黄土状粉质黏土之下，层厚大于 10.0m，仅在部分地段揭露。</w:t>
            </w:r>
          </w:p>
          <w:p w14:paraId="43C94575">
            <w:pPr>
              <w:spacing w:line="360" w:lineRule="auto"/>
              <w:ind w:left="420" w:left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（3）气候气象</w:t>
            </w:r>
          </w:p>
          <w:p w14:paraId="1B7A7E5C">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本项目位于</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highlight w:val="none"/>
                <w14:textFill>
                  <w14:solidFill>
                    <w14:schemeClr w14:val="tx1"/>
                  </w14:solidFill>
                </w14:textFill>
              </w:rPr>
              <w:t>属中温带半湿润区</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气候</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全年大部分时间受高压空西北风的环流影响，受青藏高原大气团的控制，境内降水少、蒸发量大，干燥度较高，大陆性气候特征明显，四季气候分明</w:t>
            </w:r>
            <w:r>
              <w:rPr>
                <w:rFonts w:ascii="Times New Roman" w:hAnsi="Times New Roman" w:eastAsia="宋体"/>
                <w:color w:val="000000" w:themeColor="text1"/>
                <w:spacing w:val="0"/>
                <w:sz w:val="24"/>
                <w:highlight w:val="none"/>
                <w14:textFill>
                  <w14:solidFill>
                    <w14:schemeClr w14:val="tx1"/>
                  </w14:solidFill>
                </w14:textFill>
              </w:rPr>
              <w:t>。</w:t>
            </w:r>
          </w:p>
          <w:p w14:paraId="454E55A1">
            <w:pPr>
              <w:pStyle w:val="14"/>
              <w:spacing w:line="360" w:lineRule="auto"/>
              <w:ind w:firstLine="482" w:firstLineChars="200"/>
              <w:outlineLvl w:val="9"/>
              <w:rPr>
                <w:rFonts w:hint="default" w:ascii="Times New Roman" w:hAnsi="Times New Roman" w:eastAsia="宋体"/>
                <w:b/>
                <w:bCs/>
                <w:color w:val="000000" w:themeColor="text1"/>
                <w:spacing w:val="0"/>
                <w:kern w:val="0"/>
                <w:sz w:val="24"/>
                <w:highlight w:val="none"/>
                <w14:textFill>
                  <w14:solidFill>
                    <w14:schemeClr w14:val="tx1"/>
                  </w14:solidFill>
                </w14:textFill>
              </w:rPr>
            </w:pPr>
            <w:r>
              <w:rPr>
                <w:rFonts w:hint="default" w:ascii="Times New Roman" w:hAnsi="Times New Roman" w:eastAsia="宋体"/>
                <w:b/>
                <w:bCs/>
                <w:color w:val="000000" w:themeColor="text1"/>
                <w:spacing w:val="0"/>
                <w:kern w:val="0"/>
                <w:sz w:val="24"/>
                <w:highlight w:val="none"/>
                <w14:textFill>
                  <w14:solidFill>
                    <w14:schemeClr w14:val="tx1"/>
                  </w14:solidFill>
                </w14:textFill>
              </w:rPr>
              <w:t>（4）水文</w:t>
            </w:r>
          </w:p>
          <w:p w14:paraId="208542DD">
            <w:pPr>
              <w:pStyle w:val="11"/>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outlineLvl w:val="9"/>
              <w:rPr>
                <w:rFonts w:hint="eastAsia"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拟建三岔110千伏变电站周围无稳定地表径流；拟建</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线路工程</w:t>
            </w:r>
            <w:r>
              <w:rPr>
                <w:rFonts w:hint="eastAsia"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一档跨越华木林沟。</w:t>
            </w:r>
          </w:p>
          <w:p w14:paraId="20084A21">
            <w:pPr>
              <w:spacing w:line="360" w:lineRule="auto"/>
              <w:ind w:firstLine="482" w:firstLineChars="20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2、区域生态环境现状</w:t>
            </w:r>
          </w:p>
          <w:p w14:paraId="79108CC8">
            <w:pPr>
              <w:adjustRightInd w:val="0"/>
              <w:snapToGrid w:val="0"/>
              <w:spacing w:line="360" w:lineRule="auto"/>
              <w:ind w:firstLine="482"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（1）生态环境现状</w:t>
            </w:r>
          </w:p>
          <w:p w14:paraId="0AF5C8B9">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本项目所</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在</w:t>
            </w:r>
            <w:r>
              <w:rPr>
                <w:rFonts w:ascii="Times New Roman" w:hAnsi="Times New Roman" w:eastAsia="宋体"/>
                <w:color w:val="000000" w:themeColor="text1"/>
                <w:spacing w:val="0"/>
                <w:sz w:val="24"/>
                <w:highlight w:val="none"/>
                <w14:textFill>
                  <w14:solidFill>
                    <w14:schemeClr w14:val="tx1"/>
                  </w14:solidFill>
                </w14:textFill>
              </w:rPr>
              <w:t>区域土地现状主要为</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旱地、果园、农村道路</w:t>
            </w:r>
            <w:r>
              <w:rPr>
                <w:rFonts w:hint="eastAsia"/>
                <w:color w:val="000000" w:themeColor="text1"/>
                <w:spacing w:val="0"/>
                <w:sz w:val="24"/>
                <w:highlight w:val="none"/>
                <w:lang w:val="en-US" w:eastAsia="zh-CN"/>
                <w14:textFill>
                  <w14:solidFill>
                    <w14:schemeClr w14:val="tx1"/>
                  </w14:solidFill>
                </w14:textFill>
              </w:rPr>
              <w:t>、其他林地、其他草地等</w:t>
            </w:r>
            <w:r>
              <w:rPr>
                <w:rFonts w:hint="eastAsia"/>
                <w:color w:val="000000" w:themeColor="text1"/>
                <w:spacing w:val="0"/>
                <w:sz w:val="24"/>
                <w:highlight w:val="none"/>
                <w:lang w:eastAsia="zh-CN"/>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项目用地范围现状主要为旱地、果园</w:t>
            </w:r>
            <w:r>
              <w:rPr>
                <w:rFonts w:ascii="Times New Roman" w:hAnsi="Times New Roman" w:eastAsia="宋体"/>
                <w:color w:val="000000" w:themeColor="text1"/>
                <w:spacing w:val="0"/>
                <w:sz w:val="24"/>
                <w:highlight w:val="none"/>
                <w14:textFill>
                  <w14:solidFill>
                    <w14:schemeClr w14:val="tx1"/>
                  </w14:solidFill>
                </w14:textFill>
              </w:rPr>
              <w:t>。经现场调查，</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项目所在区域地表植被主要为农田栽培植被、人工栽培果树、人工种植林木和自然草本植被，农田栽培植被主要有小麦、玉米等</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人工栽培果树主要有苹果树、梨树等，人工种植林木主要有杨树</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槐树</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等，自然草本</w:t>
            </w:r>
            <w:r>
              <w:rPr>
                <w:rFonts w:hint="eastAsia" w:ascii="Times New Roman" w:hAnsi="Times New Roman" w:eastAsia="宋体"/>
                <w:color w:val="000000" w:themeColor="text1"/>
                <w:spacing w:val="0"/>
                <w:sz w:val="24"/>
                <w:highlight w:val="none"/>
                <w14:textFill>
                  <w14:solidFill>
                    <w14:schemeClr w14:val="tx1"/>
                  </w14:solidFill>
                </w14:textFill>
              </w:rPr>
              <w:t>植被主要</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有沙蒿、油蒿、白刺、芒草、马齿苋、狗尾巴草、蒲公英等。</w:t>
            </w:r>
            <w:r>
              <w:rPr>
                <w:rFonts w:ascii="Times New Roman" w:hAnsi="Times New Roman" w:eastAsia="宋体"/>
                <w:bCs/>
                <w:color w:val="000000" w:themeColor="text1"/>
                <w:spacing w:val="0"/>
                <w:sz w:val="24"/>
                <w:highlight w:val="none"/>
                <w14:textFill>
                  <w14:solidFill>
                    <w14:schemeClr w14:val="tx1"/>
                  </w14:solidFill>
                </w14:textFill>
              </w:rPr>
              <w:t>本项目</w:t>
            </w:r>
            <w:r>
              <w:rPr>
                <w:rFonts w:ascii="Times New Roman" w:hAnsi="Times New Roman" w:eastAsia="宋体"/>
                <w:color w:val="000000" w:themeColor="text1"/>
                <w:spacing w:val="0"/>
                <w:sz w:val="24"/>
                <w:highlight w:val="none"/>
                <w14:textFill>
                  <w14:solidFill>
                    <w14:schemeClr w14:val="tx1"/>
                  </w14:solidFill>
                </w14:textFill>
              </w:rPr>
              <w:t>所经区域</w:t>
            </w:r>
            <w:r>
              <w:rPr>
                <w:rFonts w:ascii="Times New Roman" w:hAnsi="Times New Roman" w:eastAsia="宋体"/>
                <w:bCs/>
                <w:color w:val="000000" w:themeColor="text1"/>
                <w:spacing w:val="0"/>
                <w:sz w:val="24"/>
                <w:highlight w:val="none"/>
                <w14:textFill>
                  <w14:solidFill>
                    <w14:schemeClr w14:val="tx1"/>
                  </w14:solidFill>
                </w14:textFill>
              </w:rPr>
              <w:t>动物种类较少，动物</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均</w:t>
            </w:r>
            <w:r>
              <w:rPr>
                <w:rFonts w:ascii="Times New Roman" w:hAnsi="Times New Roman" w:eastAsia="宋体"/>
                <w:bCs/>
                <w:color w:val="000000" w:themeColor="text1"/>
                <w:spacing w:val="0"/>
                <w:sz w:val="24"/>
                <w:highlight w:val="none"/>
                <w14:textFill>
                  <w14:solidFill>
                    <w14:schemeClr w14:val="tx1"/>
                  </w14:solidFill>
                </w14:textFill>
              </w:rPr>
              <w:t>为当地常见种，如鼠类、麻雀</w:t>
            </w:r>
            <w:r>
              <w:rPr>
                <w:rFonts w:hint="eastAsia" w:ascii="Times New Roman" w:hAnsi="Times New Roman" w:eastAsia="宋体"/>
                <w:bCs/>
                <w:color w:val="000000" w:themeColor="text1"/>
                <w:spacing w:val="0"/>
                <w:sz w:val="24"/>
                <w:highlight w:val="none"/>
                <w:lang w:eastAsia="zh-CN"/>
                <w14:textFill>
                  <w14:solidFill>
                    <w14:schemeClr w14:val="tx1"/>
                  </w14:solidFill>
                </w14:textFill>
              </w:rPr>
              <w:t>、</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野兔</w:t>
            </w:r>
            <w:r>
              <w:rPr>
                <w:rFonts w:ascii="Times New Roman" w:hAnsi="Times New Roman" w:eastAsia="宋体"/>
                <w:bCs/>
                <w:color w:val="000000" w:themeColor="text1"/>
                <w:spacing w:val="0"/>
                <w:sz w:val="24"/>
                <w:highlight w:val="none"/>
                <w14:textFill>
                  <w14:solidFill>
                    <w14:schemeClr w14:val="tx1"/>
                  </w14:solidFill>
                </w14:textFill>
              </w:rPr>
              <w:t>等常见种类。</w:t>
            </w:r>
          </w:p>
          <w:p w14:paraId="1222229F">
            <w:pPr>
              <w:spacing w:line="360" w:lineRule="auto"/>
              <w:ind w:firstLine="470" w:firstLineChars="196"/>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根据现场调查和访问，本项目评价范围内</w:t>
            </w:r>
            <w:r>
              <w:rPr>
                <w:rFonts w:ascii="Times New Roman" w:hAnsi="Times New Roman" w:eastAsia="宋体"/>
                <w:color w:val="000000" w:themeColor="text1"/>
                <w:spacing w:val="0"/>
                <w:sz w:val="24"/>
                <w:highlight w:val="none"/>
                <w14:textFill>
                  <w14:solidFill>
                    <w14:schemeClr w14:val="tx1"/>
                  </w14:solidFill>
                </w14:textFill>
              </w:rPr>
              <w:t>调查期间</w:t>
            </w:r>
            <w:r>
              <w:rPr>
                <w:rFonts w:ascii="Times New Roman" w:hAnsi="Times New Roman" w:eastAsia="宋体"/>
                <w:bCs/>
                <w:color w:val="000000" w:themeColor="text1"/>
                <w:spacing w:val="0"/>
                <w:sz w:val="24"/>
                <w:highlight w:val="none"/>
                <w14:textFill>
                  <w14:solidFill>
                    <w14:schemeClr w14:val="tx1"/>
                  </w14:solidFill>
                </w14:textFill>
              </w:rPr>
              <w:t>未发现国家级及自治区级</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受</w:t>
            </w:r>
            <w:r>
              <w:rPr>
                <w:rFonts w:ascii="Times New Roman" w:hAnsi="Times New Roman" w:eastAsia="宋体"/>
                <w:bCs/>
                <w:color w:val="000000" w:themeColor="text1"/>
                <w:spacing w:val="0"/>
                <w:sz w:val="24"/>
                <w:highlight w:val="none"/>
                <w14:textFill>
                  <w14:solidFill>
                    <w14:schemeClr w14:val="tx1"/>
                  </w14:solidFill>
                </w14:textFill>
              </w:rPr>
              <w:t>保护的珍稀濒危动植物</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等重要物种</w:t>
            </w:r>
            <w:r>
              <w:rPr>
                <w:rFonts w:ascii="Times New Roman" w:hAnsi="Times New Roman" w:eastAsia="宋体"/>
                <w:color w:val="000000" w:themeColor="text1"/>
                <w:spacing w:val="0"/>
                <w:sz w:val="24"/>
                <w:highlight w:val="none"/>
                <w14:textFill>
                  <w14:solidFill>
                    <w14:schemeClr w14:val="tx1"/>
                  </w14:solidFill>
                </w14:textFill>
              </w:rPr>
              <w:t>，不涉及国家公园、自然保护区、</w:t>
            </w:r>
            <w:r>
              <w:rPr>
                <w:rFonts w:hint="default"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自然公园</w:t>
            </w:r>
            <w:r>
              <w:rPr>
                <w:rFonts w:hint="eastAsia"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等自然保护地</w:t>
            </w:r>
            <w:r>
              <w:rPr>
                <w:rFonts w:hint="default"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、世界自然遗产、</w:t>
            </w:r>
            <w:r>
              <w:rPr>
                <w:rFonts w:hint="eastAsia"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重要生境等生态敏感区</w:t>
            </w:r>
            <w:r>
              <w:rPr>
                <w:rFonts w:ascii="Times New Roman" w:hAnsi="Times New Roman" w:eastAsia="宋体"/>
                <w:color w:val="000000" w:themeColor="text1"/>
                <w:spacing w:val="0"/>
                <w:sz w:val="24"/>
                <w:highlight w:val="none"/>
                <w14:textFill>
                  <w14:solidFill>
                    <w14:schemeClr w14:val="tx1"/>
                  </w14:solidFill>
                </w14:textFill>
              </w:rPr>
              <w:t>。</w:t>
            </w:r>
          </w:p>
          <w:p w14:paraId="4296F731">
            <w:pPr>
              <w:tabs>
                <w:tab w:val="left" w:pos="614"/>
              </w:tabs>
              <w:spacing w:line="360" w:lineRule="auto"/>
              <w:ind w:firstLine="482" w:firstLineChars="20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（2）主体功能定位</w:t>
            </w:r>
          </w:p>
          <w:p w14:paraId="12A6662E">
            <w:pPr>
              <w:adjustRightInd w:val="0"/>
              <w:snapToGrid w:val="0"/>
              <w:spacing w:line="360" w:lineRule="auto"/>
              <w:ind w:firstLine="480" w:firstLineChars="200"/>
              <w:jc w:val="left"/>
              <w:outlineLvl w:val="9"/>
              <w:rPr>
                <w:rFonts w:hint="default" w:ascii="Times New Roman" w:hAnsi="Times New Roman" w:eastAsia="宋体"/>
                <w:color w:val="000000" w:themeColor="text1"/>
                <w:spacing w:val="0"/>
                <w:kern w:val="0"/>
                <w:sz w:val="24"/>
                <w:highlight w:val="green"/>
                <w:lang w:val="en-US"/>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本项目所在区域位于《宁夏回族自治区主体功能区划》中的</w:t>
            </w:r>
            <w:r>
              <w:rPr>
                <w:rFonts w:hint="eastAsia"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省级重点生态功能区</w:t>
            </w:r>
            <w:r>
              <w:rPr>
                <w:rFonts w:hint="eastAsia"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与“省级重点开发区域”</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省级重点生态功能区</w:t>
            </w:r>
            <w:r>
              <w:rPr>
                <w:rFonts w:hint="eastAsia"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功能定位为“以修复生态、保护环境、提供生态产品为首要任务，增强水源涵养、水土保持、防风固沙、维护湿地生态等功能，提高生态产品供给的能力，因地制宜地发展资源环境可承载的适宜产业，引导超载人口逐步有序转移。”；“省级重点开发区域”功能定位为“现代产业的集聚区，统筹城乡发展的示范区，生态文明的先行区，内陆开放型经济试验区的核心区，国家向西开放的战略高地，能源化工“金三角”重要增长极，带动全区实现全面建设小康社会的重要区域”。</w:t>
            </w:r>
          </w:p>
          <w:p w14:paraId="3495ECF1">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本项目为输变电项目，永久占地主要为变电站占地及少量塔基零星占地，项目占地主要以临时占地为主，施工期结束后，对临时占地根据其原有土地及植被类型，恢复其原有土地类型及植被。因此，</w:t>
            </w:r>
            <w:r>
              <w:rPr>
                <w:rFonts w:hint="eastAsia" w:ascii="Times New Roman" w:hAnsi="Times New Roman" w:eastAsia="宋体"/>
                <w:color w:val="000000" w:themeColor="text1"/>
                <w:spacing w:val="0"/>
                <w:kern w:val="0"/>
                <w:sz w:val="24"/>
                <w:highlight w:val="none"/>
                <w14:textFill>
                  <w14:solidFill>
                    <w14:schemeClr w14:val="tx1"/>
                  </w14:solidFill>
                </w14:textFill>
              </w:rPr>
              <w:t>项目建设与《宁夏回族自治区主体功能区规划》确定的发展方向及开发管制原则相符</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本项目与宁夏主体功能区划位置关系详见</w:t>
            </w:r>
            <w:r>
              <w:rPr>
                <w:rFonts w:ascii="Times New Roman" w:hAnsi="Times New Roman" w:eastAsia="宋体"/>
                <w:b/>
                <w:bCs/>
                <w:color w:val="000000" w:themeColor="text1"/>
                <w:spacing w:val="0"/>
                <w:kern w:val="0"/>
                <w:sz w:val="24"/>
                <w:highlight w:val="none"/>
                <w14:textFill>
                  <w14:solidFill>
                    <w14:schemeClr w14:val="tx1"/>
                  </w14:solidFill>
                </w14:textFill>
              </w:rPr>
              <w:t>附图</w:t>
            </w:r>
            <w:r>
              <w:rPr>
                <w:rFonts w:hint="eastAsia" w:ascii="Times New Roman" w:hAnsi="Times New Roman" w:eastAsia="宋体"/>
                <w:b/>
                <w:bCs/>
                <w:color w:val="000000" w:themeColor="text1"/>
                <w:spacing w:val="0"/>
                <w:kern w:val="0"/>
                <w:sz w:val="24"/>
                <w:highlight w:val="none"/>
                <w:lang w:val="en-US" w:eastAsia="zh-CN"/>
                <w14:textFill>
                  <w14:solidFill>
                    <w14:schemeClr w14:val="tx1"/>
                  </w14:solidFill>
                </w14:textFill>
              </w:rPr>
              <w:t>4</w:t>
            </w:r>
            <w:r>
              <w:rPr>
                <w:rFonts w:ascii="Times New Roman" w:hAnsi="Times New Roman" w:eastAsia="宋体"/>
                <w:color w:val="000000" w:themeColor="text1"/>
                <w:spacing w:val="0"/>
                <w:kern w:val="0"/>
                <w:sz w:val="24"/>
                <w:highlight w:val="none"/>
                <w14:textFill>
                  <w14:solidFill>
                    <w14:schemeClr w14:val="tx1"/>
                  </w14:solidFill>
                </w14:textFill>
              </w:rPr>
              <w:t>。</w:t>
            </w:r>
          </w:p>
          <w:p w14:paraId="76AFA0BB">
            <w:pPr>
              <w:adjustRightInd w:val="0"/>
              <w:snapToGrid w:val="0"/>
              <w:spacing w:line="360" w:lineRule="auto"/>
              <w:ind w:firstLine="482" w:firstLineChars="20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（3）生态功能定位</w:t>
            </w:r>
          </w:p>
          <w:p w14:paraId="0BD9F694">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本项目所在区域位于《宁夏回族自治区生态功能区划》中的</w:t>
            </w:r>
            <w:r>
              <w:rPr>
                <w:rFonts w:hint="eastAsia"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I1-3六盘山北段、月亮山、南华山林草保护生态功能区</w:t>
            </w:r>
            <w:r>
              <w:rPr>
                <w:rFonts w:hint="eastAsia" w:ascii="Times New Roman" w:hAnsi="Times New Roman" w:eastAsia="宋体"/>
                <w:color w:val="000000" w:themeColor="text1"/>
                <w:spacing w:val="0"/>
                <w:kern w:val="0"/>
                <w:sz w:val="24"/>
                <w:highlight w:val="none"/>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最为突出的生态敏感问题是草场退化，其退化面积达98%，其次是水土流失，因此应采取封山禁发，并结合人工补播优质发革，灭除毒草和鼠害等措施，保护和恢复单场植被。对于沟谷及阴坡的宜林地、已垦的耕地应退耕还林。增加水源涵养林地的面积、同时还要采取治淘与治坡相结合的小流域综合治理措施，层层拦截水土。</w:t>
            </w:r>
          </w:p>
          <w:p w14:paraId="4AB61534">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本项目为输变电项目，主要为变电站永久占地及少量塔基零星占地，占地类型为旱地、果园、农村道路，占地较为分散且占地面积小，主要以临时占地为主，不涉及草场退化问题，施工结束后对临时占地进行生态恢复，不会加剧水土流失影响。因此，</w:t>
            </w:r>
            <w:r>
              <w:rPr>
                <w:rFonts w:hint="eastAsia" w:ascii="Times New Roman" w:hAnsi="Times New Roman" w:eastAsia="宋体"/>
                <w:color w:val="000000" w:themeColor="text1"/>
                <w:spacing w:val="0"/>
                <w:kern w:val="0"/>
                <w:sz w:val="24"/>
                <w:highlight w:val="none"/>
                <w14:textFill>
                  <w14:solidFill>
                    <w14:schemeClr w14:val="tx1"/>
                  </w14:solidFill>
                </w14:textFill>
              </w:rPr>
              <w:t>项目建设与《宁夏回族自治区</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生态</w:t>
            </w:r>
            <w:r>
              <w:rPr>
                <w:rFonts w:hint="eastAsia" w:ascii="Times New Roman" w:hAnsi="Times New Roman" w:eastAsia="宋体"/>
                <w:color w:val="000000" w:themeColor="text1"/>
                <w:spacing w:val="0"/>
                <w:kern w:val="0"/>
                <w:sz w:val="24"/>
                <w:highlight w:val="none"/>
                <w14:textFill>
                  <w14:solidFill>
                    <w14:schemeClr w14:val="tx1"/>
                  </w14:solidFill>
                </w14:textFill>
              </w:rPr>
              <w:t>功能区规划》相符</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本项目与宁夏</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生态</w:t>
            </w:r>
            <w:r>
              <w:rPr>
                <w:rFonts w:ascii="Times New Roman" w:hAnsi="Times New Roman" w:eastAsia="宋体"/>
                <w:color w:val="000000" w:themeColor="text1"/>
                <w:spacing w:val="0"/>
                <w:kern w:val="0"/>
                <w:sz w:val="24"/>
                <w:highlight w:val="none"/>
                <w14:textFill>
                  <w14:solidFill>
                    <w14:schemeClr w14:val="tx1"/>
                  </w14:solidFill>
                </w14:textFill>
              </w:rPr>
              <w:t>功能区划位置关系详见</w:t>
            </w:r>
            <w:r>
              <w:rPr>
                <w:rFonts w:ascii="Times New Roman" w:hAnsi="Times New Roman" w:eastAsia="宋体"/>
                <w:b/>
                <w:bCs/>
                <w:color w:val="000000" w:themeColor="text1"/>
                <w:spacing w:val="0"/>
                <w:kern w:val="0"/>
                <w:sz w:val="24"/>
                <w:highlight w:val="none"/>
                <w14:textFill>
                  <w14:solidFill>
                    <w14:schemeClr w14:val="tx1"/>
                  </w14:solidFill>
                </w14:textFill>
              </w:rPr>
              <w:t>附图</w:t>
            </w:r>
            <w:r>
              <w:rPr>
                <w:rFonts w:hint="eastAsia" w:ascii="Times New Roman" w:hAnsi="Times New Roman" w:eastAsia="宋体"/>
                <w:b/>
                <w:bCs/>
                <w:color w:val="000000" w:themeColor="text1"/>
                <w:spacing w:val="0"/>
                <w:kern w:val="0"/>
                <w:sz w:val="24"/>
                <w:highlight w:val="none"/>
                <w:lang w:val="en-US" w:eastAsia="zh-CN"/>
                <w14:textFill>
                  <w14:solidFill>
                    <w14:schemeClr w14:val="tx1"/>
                  </w14:solidFill>
                </w14:textFill>
              </w:rPr>
              <w:t>5</w:t>
            </w:r>
            <w:r>
              <w:rPr>
                <w:rFonts w:ascii="Times New Roman" w:hAnsi="Times New Roman" w:eastAsia="宋体"/>
                <w:color w:val="000000" w:themeColor="text1"/>
                <w:spacing w:val="0"/>
                <w:kern w:val="0"/>
                <w:sz w:val="24"/>
                <w:highlight w:val="none"/>
                <w14:textFill>
                  <w14:solidFill>
                    <w14:schemeClr w14:val="tx1"/>
                  </w14:solidFill>
                </w14:textFill>
              </w:rPr>
              <w:t>。</w:t>
            </w:r>
          </w:p>
          <w:p w14:paraId="46583BB0">
            <w:pPr>
              <w:adjustRightInd w:val="0"/>
              <w:snapToGrid w:val="0"/>
              <w:spacing w:line="360" w:lineRule="auto"/>
              <w:ind w:firstLine="482" w:firstLineChars="20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（4）项目区域土地利用类型</w:t>
            </w:r>
          </w:p>
          <w:p w14:paraId="6290B480">
            <w:pPr>
              <w:pStyle w:val="7"/>
              <w:spacing w:after="0" w:line="360" w:lineRule="auto"/>
              <w:ind w:left="0" w:leftChars="0" w:firstLine="480" w:firstLineChars="200"/>
              <w:outlineLvl w:val="9"/>
              <w:rPr>
                <w:rFonts w:hint="default"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所在区域</w:t>
            </w:r>
            <w:r>
              <w:rPr>
                <w:rFonts w:ascii="Times New Roman" w:hAnsi="Times New Roman" w:eastAsia="宋体"/>
                <w:color w:val="000000" w:themeColor="text1"/>
                <w:spacing w:val="0"/>
                <w:sz w:val="24"/>
                <w:highlight w:val="none"/>
                <w14:textFill>
                  <w14:solidFill>
                    <w14:schemeClr w14:val="tx1"/>
                  </w14:solidFill>
                </w14:textFill>
              </w:rPr>
              <w:t>土地利用类型</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为旱地</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本</w:t>
            </w:r>
            <w:r>
              <w:rPr>
                <w:rFonts w:ascii="Times New Roman" w:hAnsi="Times New Roman" w:eastAsia="宋体"/>
                <w:color w:val="000000" w:themeColor="text1"/>
                <w:spacing w:val="0"/>
                <w:kern w:val="0"/>
                <w:sz w:val="24"/>
                <w:highlight w:val="none"/>
                <w14:textFill>
                  <w14:solidFill>
                    <w14:schemeClr w14:val="tx1"/>
                  </w14:solidFill>
                </w14:textFill>
              </w:rPr>
              <w:t>项目所在区域土地利用</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现状</w:t>
            </w:r>
            <w:r>
              <w:rPr>
                <w:rFonts w:ascii="Times New Roman" w:hAnsi="Times New Roman" w:eastAsia="宋体"/>
                <w:color w:val="000000" w:themeColor="text1"/>
                <w:spacing w:val="0"/>
                <w:kern w:val="0"/>
                <w:sz w:val="24"/>
                <w:highlight w:val="none"/>
                <w14:textFill>
                  <w14:solidFill>
                    <w14:schemeClr w14:val="tx1"/>
                  </w14:solidFill>
                </w14:textFill>
              </w:rPr>
              <w:t>见</w:t>
            </w:r>
            <w:r>
              <w:rPr>
                <w:rFonts w:ascii="Times New Roman" w:hAnsi="Times New Roman" w:eastAsia="宋体"/>
                <w:b/>
                <w:bCs/>
                <w:color w:val="000000" w:themeColor="text1"/>
                <w:spacing w:val="0"/>
                <w:sz w:val="24"/>
                <w:highlight w:val="none"/>
                <w14:textFill>
                  <w14:solidFill>
                    <w14:schemeClr w14:val="tx1"/>
                  </w14:solidFill>
                </w14:textFill>
              </w:rPr>
              <w:t>附图</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6</w:t>
            </w:r>
            <w:r>
              <w:rPr>
                <w:rFonts w:hint="default" w:ascii="Times New Roman" w:hAnsi="Times New Roman" w:eastAsia="宋体"/>
                <w:color w:val="000000" w:themeColor="text1"/>
                <w:spacing w:val="0"/>
                <w:sz w:val="24"/>
                <w:highlight w:val="none"/>
                <w14:textFill>
                  <w14:solidFill>
                    <w14:schemeClr w14:val="tx1"/>
                  </w14:solidFill>
                </w14:textFill>
              </w:rPr>
              <w:t>。</w:t>
            </w:r>
          </w:p>
          <w:p w14:paraId="3147EE5A">
            <w:pPr>
              <w:adjustRightInd w:val="0"/>
              <w:snapToGrid w:val="0"/>
              <w:spacing w:line="360" w:lineRule="auto"/>
              <w:ind w:firstLine="482" w:firstLineChars="20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（5）项目区域植被类型</w:t>
            </w:r>
          </w:p>
          <w:p w14:paraId="1CC2412A">
            <w:pPr>
              <w:pStyle w:val="7"/>
              <w:spacing w:after="0" w:line="360" w:lineRule="auto"/>
              <w:ind w:left="0" w:leftChars="0" w:firstLine="480" w:firstLineChars="200"/>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根据现场实际调查，本</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项目所在区域自然植被主要为农田栽培植被，如小麦、玉米等。本</w:t>
            </w:r>
            <w:r>
              <w:rPr>
                <w:rFonts w:ascii="Times New Roman" w:hAnsi="Times New Roman" w:eastAsia="宋体"/>
                <w:color w:val="000000" w:themeColor="text1"/>
                <w:spacing w:val="0"/>
                <w:kern w:val="0"/>
                <w:sz w:val="24"/>
                <w:highlight w:val="none"/>
                <w14:textFill>
                  <w14:solidFill>
                    <w14:schemeClr w14:val="tx1"/>
                  </w14:solidFill>
                </w14:textFill>
              </w:rPr>
              <w:t>项目所在区域</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植被类型</w:t>
            </w:r>
            <w:r>
              <w:rPr>
                <w:rFonts w:ascii="Times New Roman" w:hAnsi="Times New Roman" w:eastAsia="宋体"/>
                <w:color w:val="000000" w:themeColor="text1"/>
                <w:spacing w:val="0"/>
                <w:kern w:val="0"/>
                <w:sz w:val="24"/>
                <w:highlight w:val="none"/>
                <w14:textFill>
                  <w14:solidFill>
                    <w14:schemeClr w14:val="tx1"/>
                  </w14:solidFill>
                </w14:textFill>
              </w:rPr>
              <w:t>见</w:t>
            </w:r>
            <w:r>
              <w:rPr>
                <w:rFonts w:hint="eastAsia" w:ascii="Times New Roman" w:hAnsi="Times New Roman" w:eastAsia="宋体"/>
                <w:b/>
                <w:bCs/>
                <w:color w:val="000000" w:themeColor="text1"/>
                <w:spacing w:val="0"/>
                <w:kern w:val="0"/>
                <w:sz w:val="24"/>
                <w:highlight w:val="none"/>
                <w:lang w:eastAsia="zh-CN"/>
                <w14:textFill>
                  <w14:solidFill>
                    <w14:schemeClr w14:val="tx1"/>
                  </w14:solidFill>
                </w14:textFill>
              </w:rPr>
              <w:t>附</w:t>
            </w:r>
            <w:r>
              <w:rPr>
                <w:rFonts w:ascii="Times New Roman" w:hAnsi="Times New Roman" w:eastAsia="宋体"/>
                <w:b/>
                <w:bCs/>
                <w:color w:val="000000" w:themeColor="text1"/>
                <w:spacing w:val="0"/>
                <w:kern w:val="0"/>
                <w:sz w:val="24"/>
                <w:highlight w:val="none"/>
                <w14:textFill>
                  <w14:solidFill>
                    <w14:schemeClr w14:val="tx1"/>
                  </w14:solidFill>
                </w14:textFill>
              </w:rPr>
              <w:t>图</w:t>
            </w:r>
            <w:r>
              <w:rPr>
                <w:rFonts w:hint="eastAsia"/>
                <w:b/>
                <w:bCs/>
                <w:color w:val="000000" w:themeColor="text1"/>
                <w:spacing w:val="0"/>
                <w:kern w:val="0"/>
                <w:sz w:val="24"/>
                <w:highlight w:val="none"/>
                <w:lang w:val="en-US" w:eastAsia="zh-CN"/>
                <w14:textFill>
                  <w14:solidFill>
                    <w14:schemeClr w14:val="tx1"/>
                  </w14:solidFill>
                </w14:textFill>
              </w:rPr>
              <w:t>7</w:t>
            </w:r>
            <w:r>
              <w:rPr>
                <w:rFonts w:ascii="Times New Roman" w:hAnsi="Times New Roman" w:eastAsia="宋体"/>
                <w:color w:val="000000" w:themeColor="text1"/>
                <w:spacing w:val="0"/>
                <w:kern w:val="0"/>
                <w:sz w:val="24"/>
                <w:highlight w:val="none"/>
                <w14:textFill>
                  <w14:solidFill>
                    <w14:schemeClr w14:val="tx1"/>
                  </w14:solidFill>
                </w14:textFill>
              </w:rPr>
              <w:t>。</w:t>
            </w:r>
          </w:p>
          <w:p w14:paraId="3722BDEC">
            <w:pPr>
              <w:adjustRightInd w:val="0"/>
              <w:snapToGrid w:val="0"/>
              <w:spacing w:line="360" w:lineRule="auto"/>
              <w:ind w:firstLine="482" w:firstLineChars="20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3、区域环境质量现状</w:t>
            </w:r>
          </w:p>
          <w:p w14:paraId="1C81F42B">
            <w:pPr>
              <w:adjustRightInd w:val="0"/>
              <w:snapToGrid w:val="0"/>
              <w:spacing w:line="360" w:lineRule="auto"/>
              <w:ind w:firstLine="482" w:firstLineChars="20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w:t>
            </w:r>
            <w:r>
              <w:rPr>
                <w:rFonts w:hint="eastAsia" w:ascii="Times New Roman" w:hAnsi="Times New Roman" w:eastAsia="宋体"/>
                <w:b/>
                <w:bCs/>
                <w:color w:val="000000" w:themeColor="text1"/>
                <w:spacing w:val="0"/>
                <w:kern w:val="0"/>
                <w:sz w:val="24"/>
                <w:highlight w:val="none"/>
                <w:lang w:val="en-US" w:eastAsia="zh-CN"/>
                <w14:textFill>
                  <w14:solidFill>
                    <w14:schemeClr w14:val="tx1"/>
                  </w14:solidFill>
                </w14:textFill>
              </w:rPr>
              <w:t>1</w:t>
            </w:r>
            <w:r>
              <w:rPr>
                <w:rFonts w:ascii="Times New Roman" w:hAnsi="Times New Roman" w:eastAsia="宋体"/>
                <w:b/>
                <w:bCs/>
                <w:color w:val="000000" w:themeColor="text1"/>
                <w:spacing w:val="0"/>
                <w:kern w:val="0"/>
                <w:sz w:val="24"/>
                <w:highlight w:val="none"/>
                <w14:textFill>
                  <w14:solidFill>
                    <w14:schemeClr w14:val="tx1"/>
                  </w14:solidFill>
                </w14:textFill>
              </w:rPr>
              <w:t>）电磁环境现状</w:t>
            </w:r>
          </w:p>
          <w:p w14:paraId="242E25C3">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为了解本项目运行前的电磁环境质量现状，我单位委托</w:t>
            </w:r>
            <w:r>
              <w:rPr>
                <w:rFonts w:hint="default" w:ascii="Times New Roman" w:hAnsi="Times New Roman" w:eastAsia="宋体" w:cs="Times New Roman"/>
                <w:bCs/>
                <w:color w:val="000000" w:themeColor="text1"/>
                <w:spacing w:val="0"/>
                <w:sz w:val="24"/>
                <w:szCs w:val="24"/>
                <w:highlight w:val="none"/>
                <w:lang w:eastAsia="zh-CN"/>
                <w14:textFill>
                  <w14:solidFill>
                    <w14:schemeClr w14:val="tx1"/>
                  </w14:solidFill>
                </w14:textFill>
              </w:rPr>
              <w:t>长润安测科技有限公司</w:t>
            </w:r>
            <w:r>
              <w:rPr>
                <w:rFonts w:ascii="Times New Roman" w:hAnsi="Times New Roman" w:eastAsia="宋体"/>
                <w:color w:val="000000" w:themeColor="text1"/>
                <w:spacing w:val="0"/>
                <w:kern w:val="0"/>
                <w:sz w:val="24"/>
                <w:highlight w:val="none"/>
                <w14:textFill>
                  <w14:solidFill>
                    <w14:schemeClr w14:val="tx1"/>
                  </w14:solidFill>
                </w14:textFill>
              </w:rPr>
              <w:t>于</w:t>
            </w:r>
            <w:r>
              <w:rPr>
                <w:rFonts w:hint="eastAsia" w:ascii="Times New Roman" w:hAnsi="Times New Roman" w:eastAsia="宋体"/>
                <w:color w:val="000000" w:themeColor="text1"/>
                <w:spacing w:val="0"/>
                <w:kern w:val="0"/>
                <w:sz w:val="24"/>
                <w:highlight w:val="none"/>
                <w14:textFill>
                  <w14:solidFill>
                    <w14:schemeClr w14:val="tx1"/>
                  </w14:solidFill>
                </w14:textFill>
              </w:rPr>
              <w:t>2025年12月13日</w:t>
            </w:r>
            <w:r>
              <w:rPr>
                <w:rFonts w:ascii="Times New Roman" w:hAnsi="Times New Roman" w:eastAsia="宋体"/>
                <w:color w:val="000000" w:themeColor="text1"/>
                <w:spacing w:val="0"/>
                <w:kern w:val="0"/>
                <w:sz w:val="24"/>
                <w:highlight w:val="none"/>
                <w14:textFill>
                  <w14:solidFill>
                    <w14:schemeClr w14:val="tx1"/>
                  </w14:solidFill>
                </w14:textFill>
              </w:rPr>
              <w:t>对项目周边的电磁环境进行了现状监测。</w:t>
            </w:r>
            <w:r>
              <w:rPr>
                <w:rFonts w:ascii="Times New Roman" w:hAnsi="Times New Roman" w:eastAsia="宋体"/>
                <w:b/>
                <w:bCs/>
                <w:color w:val="000000" w:themeColor="text1"/>
                <w:spacing w:val="0"/>
                <w:kern w:val="0"/>
                <w:sz w:val="24"/>
                <w:highlight w:val="none"/>
                <w14:textFill>
                  <w14:solidFill>
                    <w14:schemeClr w14:val="tx1"/>
                  </w14:solidFill>
                </w14:textFill>
              </w:rPr>
              <w:t>具体电磁环境现状评价详见本报告电磁环境影响专题评价。</w:t>
            </w:r>
          </w:p>
          <w:p w14:paraId="4BE9D889">
            <w:pPr>
              <w:adjustRightInd w:val="0"/>
              <w:snapToGrid w:val="0"/>
              <w:spacing w:line="360" w:lineRule="auto"/>
              <w:ind w:firstLine="480" w:firstLineChars="200"/>
              <w:jc w:val="left"/>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根据监测结果可知，该项目建设区域内，工频电场强度、工频磁感应强度均低于《电磁环境控制限值》（GB8702-2014）规定的相应标准限值。</w:t>
            </w:r>
          </w:p>
          <w:p w14:paraId="4ADCD1AA">
            <w:pPr>
              <w:adjustRightInd w:val="0"/>
              <w:snapToGrid w:val="0"/>
              <w:spacing w:line="360" w:lineRule="auto"/>
              <w:ind w:left="420" w:leftChars="200"/>
              <w:jc w:val="left"/>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w:t>
            </w:r>
            <w:r>
              <w:rPr>
                <w:rFonts w:hint="eastAsia" w:ascii="Times New Roman" w:hAnsi="Times New Roman" w:eastAsia="宋体"/>
                <w:b/>
                <w:bCs/>
                <w:color w:val="000000" w:themeColor="text1"/>
                <w:spacing w:val="0"/>
                <w:kern w:val="0"/>
                <w:sz w:val="24"/>
                <w:highlight w:val="none"/>
                <w:lang w:val="en-US" w:eastAsia="zh-CN"/>
                <w14:textFill>
                  <w14:solidFill>
                    <w14:schemeClr w14:val="tx1"/>
                  </w14:solidFill>
                </w14:textFill>
              </w:rPr>
              <w:t>2</w:t>
            </w:r>
            <w:r>
              <w:rPr>
                <w:rFonts w:ascii="Times New Roman" w:hAnsi="Times New Roman" w:eastAsia="宋体"/>
                <w:b/>
                <w:bCs/>
                <w:color w:val="000000" w:themeColor="text1"/>
                <w:spacing w:val="0"/>
                <w:kern w:val="0"/>
                <w:sz w:val="24"/>
                <w:highlight w:val="none"/>
                <w14:textFill>
                  <w14:solidFill>
                    <w14:schemeClr w14:val="tx1"/>
                  </w14:solidFill>
                </w14:textFill>
              </w:rPr>
              <w:t>）声环境现状</w:t>
            </w:r>
          </w:p>
          <w:p w14:paraId="146432D0">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为了解本项目运行前的声环境质量现状，我单位委托</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长润安测科技有限公司</w:t>
            </w:r>
            <w:r>
              <w:rPr>
                <w:rFonts w:ascii="Times New Roman" w:hAnsi="Times New Roman" w:eastAsia="宋体"/>
                <w:color w:val="000000" w:themeColor="text1"/>
                <w:spacing w:val="0"/>
                <w:kern w:val="0"/>
                <w:sz w:val="24"/>
                <w:highlight w:val="none"/>
                <w14:textFill>
                  <w14:solidFill>
                    <w14:schemeClr w14:val="tx1"/>
                  </w14:solidFill>
                </w14:textFill>
              </w:rPr>
              <w:t>于</w:t>
            </w:r>
            <w:r>
              <w:rPr>
                <w:rFonts w:hint="eastAsia" w:ascii="Times New Roman" w:hAnsi="Times New Roman" w:eastAsia="宋体"/>
                <w:color w:val="000000" w:themeColor="text1"/>
                <w:spacing w:val="0"/>
                <w:kern w:val="0"/>
                <w:sz w:val="24"/>
                <w:highlight w:val="none"/>
                <w14:textFill>
                  <w14:solidFill>
                    <w14:schemeClr w14:val="tx1"/>
                  </w14:solidFill>
                </w14:textFill>
              </w:rPr>
              <w:t>2025年12月11日</w:t>
            </w:r>
            <w:r>
              <w:rPr>
                <w:rFonts w:ascii="Times New Roman" w:hAnsi="Times New Roman" w:eastAsia="宋体"/>
                <w:color w:val="000000" w:themeColor="text1"/>
                <w:spacing w:val="0"/>
                <w:kern w:val="0"/>
                <w:sz w:val="24"/>
                <w:highlight w:val="none"/>
                <w14:textFill>
                  <w14:solidFill>
                    <w14:schemeClr w14:val="tx1"/>
                  </w14:solidFill>
                </w14:textFill>
              </w:rPr>
              <w:t>项目</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周边</w:t>
            </w:r>
            <w:r>
              <w:rPr>
                <w:rFonts w:ascii="Times New Roman" w:hAnsi="Times New Roman" w:eastAsia="宋体"/>
                <w:color w:val="000000" w:themeColor="text1"/>
                <w:spacing w:val="0"/>
                <w:kern w:val="0"/>
                <w:sz w:val="24"/>
                <w:highlight w:val="none"/>
                <w14:textFill>
                  <w14:solidFill>
                    <w14:schemeClr w14:val="tx1"/>
                  </w14:solidFill>
                </w14:textFill>
              </w:rPr>
              <w:t>的声环境进行了现状监测</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具体详见</w:t>
            </w:r>
            <w:r>
              <w:rPr>
                <w:rFonts w:hint="eastAsia"/>
                <w:color w:val="000000" w:themeColor="text1"/>
                <w:spacing w:val="0"/>
                <w:kern w:val="0"/>
                <w:sz w:val="24"/>
                <w:highlight w:val="none"/>
                <w:lang w:val="en-US" w:eastAsia="zh-CN"/>
                <w14:textFill>
                  <w14:solidFill>
                    <w14:schemeClr w14:val="tx1"/>
                  </w14:solidFill>
                </w14:textFill>
              </w:rPr>
              <w:t>附件</w:t>
            </w:r>
            <w:r>
              <w:rPr>
                <w:rFonts w:ascii="Times New Roman" w:hAnsi="Times New Roman" w:eastAsia="宋体"/>
                <w:color w:val="000000" w:themeColor="text1"/>
                <w:spacing w:val="0"/>
                <w:kern w:val="0"/>
                <w:sz w:val="24"/>
                <w:highlight w:val="none"/>
                <w14:textFill>
                  <w14:solidFill>
                    <w14:schemeClr w14:val="tx1"/>
                  </w14:solidFill>
                </w14:textFill>
              </w:rPr>
              <w:t>。</w:t>
            </w:r>
          </w:p>
          <w:p w14:paraId="62FE170C">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1）监测项目</w:t>
            </w:r>
          </w:p>
          <w:p w14:paraId="48C71E1F">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测量离地1.5m高度处的噪声。</w:t>
            </w:r>
          </w:p>
          <w:p w14:paraId="19DB6148">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2）监测方法</w:t>
            </w:r>
          </w:p>
          <w:p w14:paraId="102FCEB7">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严格按照《声环境质量标准》（GB3096-2008）进行监测。</w:t>
            </w:r>
          </w:p>
          <w:p w14:paraId="151A07DE">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3）监测仪器</w:t>
            </w:r>
          </w:p>
          <w:p w14:paraId="4E2EB34D">
            <w:pPr>
              <w:spacing w:line="360" w:lineRule="auto"/>
              <w:ind w:firstLine="480" w:firstLineChars="200"/>
              <w:jc w:val="both"/>
              <w:outlineLvl w:val="9"/>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监测使用的仪器见</w:t>
            </w:r>
            <w:r>
              <w:rPr>
                <w:rFonts w:hint="default" w:ascii="Times New Roman" w:hAnsi="Times New Roman" w:eastAsia="宋体" w:cs="Times New Roman"/>
                <w:b w:val="0"/>
                <w:bCs w:val="0"/>
                <w:color w:val="000000" w:themeColor="text1"/>
                <w:spacing w:val="0"/>
                <w:sz w:val="24"/>
                <w:highlight w:val="none"/>
                <w:lang w:val="en-US" w:eastAsia="zh-CN"/>
                <w14:textFill>
                  <w14:solidFill>
                    <w14:schemeClr w14:val="tx1"/>
                  </w14:solidFill>
                </w14:textFill>
              </w:rPr>
              <w:t>表</w:t>
            </w:r>
            <w:r>
              <w:rPr>
                <w:rFonts w:hint="eastAsia" w:ascii="Times New Roman" w:hAnsi="Times New Roman" w:eastAsia="宋体" w:cs="Times New Roman"/>
                <w:b w:val="0"/>
                <w:bCs w:val="0"/>
                <w:color w:val="000000" w:themeColor="text1"/>
                <w:spacing w:val="0"/>
                <w:sz w:val="24"/>
                <w:highlight w:val="none"/>
                <w:lang w:val="en-US" w:eastAsia="zh-CN"/>
                <w14:textFill>
                  <w14:solidFill>
                    <w14:schemeClr w14:val="tx1"/>
                  </w14:solidFill>
                </w14:textFill>
              </w:rPr>
              <w:t>3-1</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，监测仪器校准记录见表3-2</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p>
          <w:p w14:paraId="5D52CD0F">
            <w:pPr>
              <w:pStyle w:val="46"/>
              <w:keepNext w:val="0"/>
              <w:keepLines w:val="0"/>
              <w:pageBreakBefore w:val="0"/>
              <w:widowControl w:val="0"/>
              <w:kinsoku/>
              <w:wordWrap/>
              <w:overflowPunct/>
              <w:topLinePunct w:val="0"/>
              <w:autoSpaceDE/>
              <w:autoSpaceDN/>
              <w:bidi w:val="0"/>
              <w:adjustRightInd/>
              <w:snapToGrid/>
              <w:spacing w:line="360" w:lineRule="auto"/>
              <w:ind w:firstLine="422"/>
              <w:jc w:val="center"/>
              <w:textAlignment w:val="auto"/>
              <w:outlineLvl w:val="9"/>
              <w:rPr>
                <w:rFonts w:hint="eastAsia"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表3-1  本项目监测使用的仪器一览表</w:t>
            </w:r>
          </w:p>
          <w:tbl>
            <w:tblPr>
              <w:tblStyle w:val="26"/>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131"/>
              <w:gridCol w:w="786"/>
              <w:gridCol w:w="1268"/>
              <w:gridCol w:w="1352"/>
              <w:gridCol w:w="1136"/>
              <w:gridCol w:w="866"/>
              <w:gridCol w:w="1118"/>
            </w:tblGrid>
            <w:tr w14:paraId="4A638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tcBorders>
                    <w:tl2br w:val="nil"/>
                    <w:tr2bl w:val="nil"/>
                  </w:tcBorders>
                  <w:noWrap/>
                  <w:vAlign w:val="center"/>
                </w:tcPr>
                <w:p w14:paraId="79238240">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设备名称</w:t>
                  </w:r>
                </w:p>
              </w:tc>
              <w:tc>
                <w:tcPr>
                  <w:tcW w:w="1131" w:type="dxa"/>
                  <w:tcBorders>
                    <w:tl2br w:val="nil"/>
                    <w:tr2bl w:val="nil"/>
                  </w:tcBorders>
                  <w:vAlign w:val="center"/>
                </w:tcPr>
                <w:p w14:paraId="4AE0CC29">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生产厂家</w:t>
                  </w:r>
                </w:p>
              </w:tc>
              <w:tc>
                <w:tcPr>
                  <w:tcW w:w="786" w:type="dxa"/>
                  <w:tcBorders>
                    <w:tl2br w:val="nil"/>
                    <w:tr2bl w:val="nil"/>
                  </w:tcBorders>
                  <w:vAlign w:val="center"/>
                </w:tcPr>
                <w:p w14:paraId="2E52EC02">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出厂编号</w:t>
                  </w:r>
                </w:p>
              </w:tc>
              <w:tc>
                <w:tcPr>
                  <w:tcW w:w="1268" w:type="dxa"/>
                  <w:tcBorders>
                    <w:tl2br w:val="nil"/>
                    <w:tr2bl w:val="nil"/>
                  </w:tcBorders>
                  <w:vAlign w:val="center"/>
                </w:tcPr>
                <w:p w14:paraId="5DEE81C7">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型号</w:t>
                  </w:r>
                </w:p>
                <w:p w14:paraId="57D66C26">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（编号）</w:t>
                  </w:r>
                </w:p>
              </w:tc>
              <w:tc>
                <w:tcPr>
                  <w:tcW w:w="1352" w:type="dxa"/>
                  <w:tcBorders>
                    <w:tl2br w:val="nil"/>
                    <w:tr2bl w:val="nil"/>
                  </w:tcBorders>
                  <w:vAlign w:val="center"/>
                </w:tcPr>
                <w:p w14:paraId="5317327D">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检定单位</w:t>
                  </w:r>
                </w:p>
              </w:tc>
              <w:tc>
                <w:tcPr>
                  <w:tcW w:w="1136" w:type="dxa"/>
                  <w:tcBorders>
                    <w:tl2br w:val="nil"/>
                    <w:tr2bl w:val="nil"/>
                  </w:tcBorders>
                  <w:noWrap/>
                  <w:vAlign w:val="center"/>
                </w:tcPr>
                <w:p w14:paraId="1031DB12">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测量范围</w:t>
                  </w:r>
                </w:p>
              </w:tc>
              <w:tc>
                <w:tcPr>
                  <w:tcW w:w="866" w:type="dxa"/>
                  <w:tcBorders>
                    <w:tl2br w:val="nil"/>
                    <w:tr2bl w:val="nil"/>
                  </w:tcBorders>
                  <w:noWrap/>
                  <w:vAlign w:val="center"/>
                </w:tcPr>
                <w:p w14:paraId="7C09B434">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证书编号</w:t>
                  </w:r>
                </w:p>
              </w:tc>
              <w:tc>
                <w:tcPr>
                  <w:tcW w:w="1118" w:type="dxa"/>
                  <w:tcBorders>
                    <w:tl2br w:val="nil"/>
                    <w:tr2bl w:val="nil"/>
                  </w:tcBorders>
                  <w:noWrap/>
                  <w:vAlign w:val="center"/>
                </w:tcPr>
                <w:p w14:paraId="4ACD7EC2">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有效期至</w:t>
                  </w:r>
                </w:p>
              </w:tc>
            </w:tr>
            <w:tr w14:paraId="19908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tcBorders>
                    <w:tl2br w:val="nil"/>
                    <w:tr2bl w:val="nil"/>
                  </w:tcBorders>
                  <w:vAlign w:val="center"/>
                </w:tcPr>
                <w:p w14:paraId="23D41E3C">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多功能声级计</w:t>
                  </w:r>
                </w:p>
              </w:tc>
              <w:tc>
                <w:tcPr>
                  <w:tcW w:w="1131" w:type="dxa"/>
                  <w:tcBorders>
                    <w:tl2br w:val="nil"/>
                    <w:tr2bl w:val="nil"/>
                  </w:tcBorders>
                  <w:vAlign w:val="center"/>
                </w:tcPr>
                <w:p w14:paraId="2E4C02C7">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杭州爱华仪器有限公司</w:t>
                  </w:r>
                </w:p>
              </w:tc>
              <w:tc>
                <w:tcPr>
                  <w:tcW w:w="786" w:type="dxa"/>
                  <w:tcBorders>
                    <w:tl2br w:val="nil"/>
                    <w:tr2bl w:val="nil"/>
                  </w:tcBorders>
                  <w:vAlign w:val="center"/>
                </w:tcPr>
                <w:p w14:paraId="75D9C9F8">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10344276</w:t>
                  </w:r>
                </w:p>
              </w:tc>
              <w:tc>
                <w:tcPr>
                  <w:tcW w:w="1268" w:type="dxa"/>
                  <w:tcBorders>
                    <w:tl2br w:val="nil"/>
                    <w:tr2bl w:val="nil"/>
                  </w:tcBorders>
                  <w:vAlign w:val="center"/>
                </w:tcPr>
                <w:p w14:paraId="78C171F9">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AWA5688</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（CR-YQ-126）</w:t>
                  </w:r>
                </w:p>
              </w:tc>
              <w:tc>
                <w:tcPr>
                  <w:tcW w:w="1352" w:type="dxa"/>
                  <w:tcBorders>
                    <w:tl2br w:val="nil"/>
                    <w:tr2bl w:val="nil"/>
                  </w:tcBorders>
                  <w:vAlign w:val="center"/>
                </w:tcPr>
                <w:p w14:paraId="5832645A">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北京市计量检测科学研究院</w:t>
                  </w:r>
                </w:p>
              </w:tc>
              <w:tc>
                <w:tcPr>
                  <w:tcW w:w="1136" w:type="dxa"/>
                  <w:tcBorders>
                    <w:tl2br w:val="nil"/>
                    <w:tr2bl w:val="nil"/>
                  </w:tcBorders>
                  <w:vAlign w:val="center"/>
                </w:tcPr>
                <w:p w14:paraId="72958E5F">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28dB（A）-133dB（A）</w:t>
                  </w:r>
                </w:p>
              </w:tc>
              <w:tc>
                <w:tcPr>
                  <w:tcW w:w="866" w:type="dxa"/>
                  <w:tcBorders>
                    <w:tl2br w:val="nil"/>
                    <w:tr2bl w:val="nil"/>
                  </w:tcBorders>
                  <w:vAlign w:val="center"/>
                </w:tcPr>
                <w:p w14:paraId="58B97BF8">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JA2</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J-CD101</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414</w:t>
                  </w:r>
                </w:p>
              </w:tc>
              <w:tc>
                <w:tcPr>
                  <w:tcW w:w="1118" w:type="dxa"/>
                  <w:tcBorders>
                    <w:tl2br w:val="nil"/>
                    <w:tr2bl w:val="nil"/>
                  </w:tcBorders>
                  <w:vAlign w:val="center"/>
                </w:tcPr>
                <w:p w14:paraId="6A43372F">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202</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年</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09</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月</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21</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日</w:t>
                  </w:r>
                </w:p>
              </w:tc>
            </w:tr>
            <w:tr w14:paraId="3A954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tcBorders>
                    <w:tl2br w:val="nil"/>
                    <w:tr2bl w:val="nil"/>
                  </w:tcBorders>
                  <w:vAlign w:val="center"/>
                </w:tcPr>
                <w:p w14:paraId="322D2A2F">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声校准器</w:t>
                  </w:r>
                </w:p>
              </w:tc>
              <w:tc>
                <w:tcPr>
                  <w:tcW w:w="1131" w:type="dxa"/>
                  <w:tcBorders>
                    <w:tl2br w:val="nil"/>
                    <w:tr2bl w:val="nil"/>
                  </w:tcBorders>
                  <w:vAlign w:val="center"/>
                </w:tcPr>
                <w:p w14:paraId="0318D23B">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杭州爱华仪器有限公司</w:t>
                  </w:r>
                </w:p>
              </w:tc>
              <w:tc>
                <w:tcPr>
                  <w:tcW w:w="786" w:type="dxa"/>
                  <w:tcBorders>
                    <w:tl2br w:val="nil"/>
                    <w:tr2bl w:val="nil"/>
                  </w:tcBorders>
                  <w:vAlign w:val="center"/>
                </w:tcPr>
                <w:p w14:paraId="26D92233">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2020139</w:t>
                  </w:r>
                </w:p>
              </w:tc>
              <w:tc>
                <w:tcPr>
                  <w:tcW w:w="1268" w:type="dxa"/>
                  <w:tcBorders>
                    <w:tl2br w:val="nil"/>
                    <w:tr2bl w:val="nil"/>
                  </w:tcBorders>
                  <w:vAlign w:val="center"/>
                </w:tcPr>
                <w:p w14:paraId="16F5947F">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AWA6022A</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（CR-YQ-114）</w:t>
                  </w:r>
                </w:p>
              </w:tc>
              <w:tc>
                <w:tcPr>
                  <w:tcW w:w="1352" w:type="dxa"/>
                  <w:tcBorders>
                    <w:tl2br w:val="nil"/>
                    <w:tr2bl w:val="nil"/>
                  </w:tcBorders>
                  <w:vAlign w:val="center"/>
                </w:tcPr>
                <w:p w14:paraId="2658134D">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北京市计量检测科学研究院</w:t>
                  </w:r>
                </w:p>
              </w:tc>
              <w:tc>
                <w:tcPr>
                  <w:tcW w:w="1136" w:type="dxa"/>
                  <w:tcBorders>
                    <w:tl2br w:val="nil"/>
                    <w:tr2bl w:val="nil"/>
                  </w:tcBorders>
                  <w:vAlign w:val="center"/>
                </w:tcPr>
                <w:p w14:paraId="01973095">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w:t>
                  </w:r>
                </w:p>
              </w:tc>
              <w:tc>
                <w:tcPr>
                  <w:tcW w:w="866" w:type="dxa"/>
                  <w:tcBorders>
                    <w:tl2br w:val="nil"/>
                    <w:tr2bl w:val="nil"/>
                  </w:tcBorders>
                  <w:vAlign w:val="center"/>
                </w:tcPr>
                <w:p w14:paraId="15615637">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JA2</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J-CD101</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426</w:t>
                  </w:r>
                </w:p>
              </w:tc>
              <w:tc>
                <w:tcPr>
                  <w:tcW w:w="1118" w:type="dxa"/>
                  <w:tcBorders>
                    <w:tl2br w:val="nil"/>
                    <w:tr2bl w:val="nil"/>
                  </w:tcBorders>
                  <w:vAlign w:val="center"/>
                </w:tcPr>
                <w:p w14:paraId="51266B68">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202</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年</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09</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月</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23</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日</w:t>
                  </w:r>
                </w:p>
              </w:tc>
            </w:tr>
            <w:tr w14:paraId="4BAE2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tcBorders>
                    <w:tl2br w:val="nil"/>
                    <w:tr2bl w:val="nil"/>
                  </w:tcBorders>
                  <w:vAlign w:val="center"/>
                </w:tcPr>
                <w:p w14:paraId="20F4ED1E">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风速仪</w:t>
                  </w:r>
                </w:p>
              </w:tc>
              <w:tc>
                <w:tcPr>
                  <w:tcW w:w="1131" w:type="dxa"/>
                  <w:tcBorders>
                    <w:tl2br w:val="nil"/>
                    <w:tr2bl w:val="nil"/>
                  </w:tcBorders>
                  <w:vAlign w:val="center"/>
                </w:tcPr>
                <w:p w14:paraId="17EB03CA">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Kestrel</w:t>
                  </w:r>
                </w:p>
              </w:tc>
              <w:tc>
                <w:tcPr>
                  <w:tcW w:w="786" w:type="dxa"/>
                  <w:tcBorders>
                    <w:tl2br w:val="nil"/>
                    <w:tr2bl w:val="nil"/>
                  </w:tcBorders>
                  <w:vAlign w:val="center"/>
                </w:tcPr>
                <w:p w14:paraId="38C30FC7">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2086519</w:t>
                  </w:r>
                </w:p>
              </w:tc>
              <w:tc>
                <w:tcPr>
                  <w:tcW w:w="1268" w:type="dxa"/>
                  <w:tcBorders>
                    <w:tl2br w:val="nil"/>
                    <w:tr2bl w:val="nil"/>
                  </w:tcBorders>
                  <w:vAlign w:val="center"/>
                </w:tcPr>
                <w:p w14:paraId="3F4FB933">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3500</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（CR-YQ-012）</w:t>
                  </w:r>
                </w:p>
              </w:tc>
              <w:tc>
                <w:tcPr>
                  <w:tcW w:w="1352" w:type="dxa"/>
                  <w:tcBorders>
                    <w:tl2br w:val="nil"/>
                    <w:tr2bl w:val="nil"/>
                  </w:tcBorders>
                  <w:vAlign w:val="center"/>
                </w:tcPr>
                <w:p w14:paraId="6B51B966">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中检（宁夏）计量检测有限公司</w:t>
                  </w:r>
                </w:p>
              </w:tc>
              <w:tc>
                <w:tcPr>
                  <w:tcW w:w="1136" w:type="dxa"/>
                  <w:tcBorders>
                    <w:tl2br w:val="nil"/>
                    <w:tr2bl w:val="nil"/>
                  </w:tcBorders>
                  <w:vAlign w:val="center"/>
                </w:tcPr>
                <w:p w14:paraId="091AB5E2">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0</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25</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s</w:t>
                  </w:r>
                </w:p>
              </w:tc>
              <w:tc>
                <w:tcPr>
                  <w:tcW w:w="866" w:type="dxa"/>
                  <w:tcBorders>
                    <w:tl2br w:val="nil"/>
                    <w:tr2bl w:val="nil"/>
                  </w:tcBorders>
                  <w:vAlign w:val="center"/>
                </w:tcPr>
                <w:p w14:paraId="261F4E28">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RL2</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50512788</w:t>
                  </w:r>
                </w:p>
              </w:tc>
              <w:tc>
                <w:tcPr>
                  <w:tcW w:w="1118" w:type="dxa"/>
                  <w:tcBorders>
                    <w:tl2br w:val="nil"/>
                    <w:tr2bl w:val="nil"/>
                  </w:tcBorders>
                  <w:vAlign w:val="center"/>
                </w:tcPr>
                <w:p w14:paraId="6D1F5CFF">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202</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年</w:t>
                  </w:r>
                  <w:r>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0</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月</w:t>
                  </w: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14</w:t>
                  </w: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日</w:t>
                  </w:r>
                </w:p>
              </w:tc>
            </w:tr>
          </w:tbl>
          <w:p w14:paraId="75147FB0">
            <w:pPr>
              <w:pStyle w:val="46"/>
              <w:keepNext w:val="0"/>
              <w:keepLines w:val="0"/>
              <w:pageBreakBefore w:val="0"/>
              <w:widowControl w:val="0"/>
              <w:kinsoku/>
              <w:wordWrap/>
              <w:overflowPunct/>
              <w:topLinePunct w:val="0"/>
              <w:autoSpaceDE/>
              <w:autoSpaceDN/>
              <w:bidi w:val="0"/>
              <w:adjustRightInd/>
              <w:snapToGrid/>
              <w:spacing w:before="192" w:beforeLines="50" w:line="360" w:lineRule="auto"/>
              <w:jc w:val="center"/>
              <w:textAlignment w:val="auto"/>
              <w:outlineLvl w:val="9"/>
              <w:rPr>
                <w:rFonts w:hint="default"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3-2</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监测仪器校准记录一览</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表</w:t>
            </w:r>
          </w:p>
          <w:tbl>
            <w:tblPr>
              <w:tblStyle w:val="26"/>
              <w:tblW w:w="85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290"/>
              <w:gridCol w:w="879"/>
              <w:gridCol w:w="1559"/>
              <w:gridCol w:w="1386"/>
              <w:gridCol w:w="969"/>
              <w:gridCol w:w="1050"/>
              <w:gridCol w:w="909"/>
            </w:tblGrid>
            <w:tr w14:paraId="3A34B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tcBorders>
                    <w:tl2br w:val="nil"/>
                    <w:tr2bl w:val="nil"/>
                  </w:tcBorders>
                  <w:vAlign w:val="center"/>
                </w:tcPr>
                <w:p w14:paraId="221E0158">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序号</w:t>
                  </w:r>
                </w:p>
              </w:tc>
              <w:tc>
                <w:tcPr>
                  <w:tcW w:w="2169" w:type="dxa"/>
                  <w:gridSpan w:val="2"/>
                  <w:tcBorders>
                    <w:tl2br w:val="nil"/>
                    <w:tr2bl w:val="nil"/>
                  </w:tcBorders>
                  <w:vAlign w:val="center"/>
                </w:tcPr>
                <w:p w14:paraId="5A1FC35E">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校准日期</w:t>
                  </w:r>
                </w:p>
              </w:tc>
              <w:tc>
                <w:tcPr>
                  <w:tcW w:w="1559" w:type="dxa"/>
                  <w:tcBorders>
                    <w:tl2br w:val="nil"/>
                    <w:tr2bl w:val="nil"/>
                  </w:tcBorders>
                  <w:vAlign w:val="center"/>
                </w:tcPr>
                <w:p w14:paraId="6D5E0579">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测量前校准示值（dB（A））</w:t>
                  </w:r>
                </w:p>
              </w:tc>
              <w:tc>
                <w:tcPr>
                  <w:tcW w:w="1386" w:type="dxa"/>
                  <w:tcBorders>
                    <w:tl2br w:val="nil"/>
                    <w:tr2bl w:val="nil"/>
                  </w:tcBorders>
                  <w:vAlign w:val="center"/>
                </w:tcPr>
                <w:p w14:paraId="2E16D4DA">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 xml:space="preserve"> 测量后校准示值（dB（A））</w:t>
                  </w:r>
                </w:p>
              </w:tc>
              <w:tc>
                <w:tcPr>
                  <w:tcW w:w="969" w:type="dxa"/>
                  <w:tcBorders>
                    <w:tl2br w:val="nil"/>
                    <w:tr2bl w:val="nil"/>
                  </w:tcBorders>
                  <w:vAlign w:val="center"/>
                </w:tcPr>
                <w:p w14:paraId="39C5DBAB">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差值</w:t>
                  </w:r>
                </w:p>
              </w:tc>
              <w:tc>
                <w:tcPr>
                  <w:tcW w:w="1050" w:type="dxa"/>
                  <w:tcBorders>
                    <w:tl2br w:val="nil"/>
                    <w:tr2bl w:val="nil"/>
                  </w:tcBorders>
                  <w:vAlign w:val="center"/>
                </w:tcPr>
                <w:p w14:paraId="585C638D">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是否合格</w:t>
                  </w:r>
                </w:p>
              </w:tc>
              <w:tc>
                <w:tcPr>
                  <w:tcW w:w="909" w:type="dxa"/>
                  <w:tcBorders>
                    <w:tl2br w:val="nil"/>
                    <w:tr2bl w:val="nil"/>
                  </w:tcBorders>
                  <w:vAlign w:val="center"/>
                </w:tcPr>
                <w:p w14:paraId="688FEA55">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标准声压级</w:t>
                  </w:r>
                </w:p>
                <w:p w14:paraId="46315022">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t>(dB(A</w:t>
                  </w:r>
                  <w:r>
                    <w:rPr>
                      <w:rFonts w:hint="eastAsia" w:ascii="Times New Roman" w:hAnsi="Times New Roman" w:eastAsia="宋体" w:cs="Times New Roman"/>
                      <w:b w:val="0"/>
                      <w:bCs w:val="0"/>
                      <w:color w:val="000000" w:themeColor="text1"/>
                      <w:spacing w:val="0"/>
                      <w:kern w:val="2"/>
                      <w:sz w:val="21"/>
                      <w:szCs w:val="21"/>
                      <w:highlight w:val="none"/>
                      <w:lang w:eastAsia="zh-CN"/>
                      <w14:textFill>
                        <w14:solidFill>
                          <w14:schemeClr w14:val="tx1"/>
                        </w14:solidFill>
                      </w14:textFill>
                    </w:rPr>
                    <w:t>））</w:t>
                  </w:r>
                </w:p>
              </w:tc>
            </w:tr>
            <w:tr w14:paraId="2A138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tcBorders>
                    <w:tl2br w:val="nil"/>
                    <w:tr2bl w:val="nil"/>
                  </w:tcBorders>
                  <w:vAlign w:val="center"/>
                </w:tcPr>
                <w:p w14:paraId="5C90094B">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1</w:t>
                  </w:r>
                </w:p>
              </w:tc>
              <w:tc>
                <w:tcPr>
                  <w:tcW w:w="1290" w:type="dxa"/>
                  <w:vMerge w:val="restart"/>
                  <w:tcBorders>
                    <w:tl2br w:val="nil"/>
                    <w:tr2bl w:val="nil"/>
                  </w:tcBorders>
                  <w:vAlign w:val="center"/>
                </w:tcPr>
                <w:p w14:paraId="65D20EF7">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lang w:val="en-US"/>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2025.12.11</w:t>
                  </w:r>
                </w:p>
              </w:tc>
              <w:tc>
                <w:tcPr>
                  <w:tcW w:w="879" w:type="dxa"/>
                  <w:tcBorders>
                    <w:tl2br w:val="nil"/>
                    <w:tr2bl w:val="nil"/>
                  </w:tcBorders>
                  <w:vAlign w:val="center"/>
                </w:tcPr>
                <w:p w14:paraId="47492C8D">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昼间</w:t>
                  </w:r>
                </w:p>
              </w:tc>
              <w:tc>
                <w:tcPr>
                  <w:tcW w:w="1559" w:type="dxa"/>
                  <w:tcBorders>
                    <w:tl2br w:val="nil"/>
                    <w:tr2bl w:val="nil"/>
                  </w:tcBorders>
                  <w:vAlign w:val="center"/>
                </w:tcPr>
                <w:p w14:paraId="3E9D9B0D">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93.9</w:t>
                  </w:r>
                </w:p>
              </w:tc>
              <w:tc>
                <w:tcPr>
                  <w:tcW w:w="1386" w:type="dxa"/>
                  <w:tcBorders>
                    <w:tl2br w:val="nil"/>
                    <w:tr2bl w:val="nil"/>
                  </w:tcBorders>
                  <w:vAlign w:val="center"/>
                </w:tcPr>
                <w:p w14:paraId="34BEFDF8">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93.8</w:t>
                  </w:r>
                </w:p>
              </w:tc>
              <w:tc>
                <w:tcPr>
                  <w:tcW w:w="969" w:type="dxa"/>
                  <w:tcBorders>
                    <w:tl2br w:val="nil"/>
                    <w:tr2bl w:val="nil"/>
                  </w:tcBorders>
                  <w:vAlign w:val="center"/>
                </w:tcPr>
                <w:p w14:paraId="0DA4E59E">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0.1</w:t>
                  </w:r>
                </w:p>
              </w:tc>
              <w:tc>
                <w:tcPr>
                  <w:tcW w:w="1050" w:type="dxa"/>
                  <w:tcBorders>
                    <w:tl2br w:val="nil"/>
                    <w:tr2bl w:val="nil"/>
                  </w:tcBorders>
                  <w:vAlign w:val="center"/>
                </w:tcPr>
                <w:p w14:paraId="6CCE4260">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合格</w:t>
                  </w:r>
                </w:p>
              </w:tc>
              <w:tc>
                <w:tcPr>
                  <w:tcW w:w="909" w:type="dxa"/>
                  <w:tcBorders>
                    <w:tl2br w:val="nil"/>
                    <w:tr2bl w:val="nil"/>
                  </w:tcBorders>
                  <w:vAlign w:val="center"/>
                </w:tcPr>
                <w:p w14:paraId="6DD2375D">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94</w:t>
                  </w:r>
                </w:p>
              </w:tc>
            </w:tr>
            <w:tr w14:paraId="0EEE0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tcBorders>
                    <w:tl2br w:val="nil"/>
                    <w:tr2bl w:val="nil"/>
                  </w:tcBorders>
                  <w:vAlign w:val="center"/>
                </w:tcPr>
                <w:p w14:paraId="2E752942">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2</w:t>
                  </w:r>
                </w:p>
              </w:tc>
              <w:tc>
                <w:tcPr>
                  <w:tcW w:w="1290" w:type="dxa"/>
                  <w:vMerge w:val="continue"/>
                  <w:tcBorders>
                    <w:tl2br w:val="nil"/>
                    <w:tr2bl w:val="nil"/>
                  </w:tcBorders>
                  <w:vAlign w:val="center"/>
                </w:tcPr>
                <w:p w14:paraId="0E89847A">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p>
              </w:tc>
              <w:tc>
                <w:tcPr>
                  <w:tcW w:w="879" w:type="dxa"/>
                  <w:tcBorders>
                    <w:tl2br w:val="nil"/>
                    <w:tr2bl w:val="nil"/>
                  </w:tcBorders>
                  <w:vAlign w:val="center"/>
                </w:tcPr>
                <w:p w14:paraId="0E9638D2">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夜间</w:t>
                  </w:r>
                </w:p>
              </w:tc>
              <w:tc>
                <w:tcPr>
                  <w:tcW w:w="1559" w:type="dxa"/>
                  <w:tcBorders>
                    <w:tl2br w:val="nil"/>
                    <w:tr2bl w:val="nil"/>
                  </w:tcBorders>
                  <w:vAlign w:val="center"/>
                </w:tcPr>
                <w:p w14:paraId="51B41E53">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93.9</w:t>
                  </w:r>
                </w:p>
              </w:tc>
              <w:tc>
                <w:tcPr>
                  <w:tcW w:w="1386" w:type="dxa"/>
                  <w:tcBorders>
                    <w:tl2br w:val="nil"/>
                    <w:tr2bl w:val="nil"/>
                  </w:tcBorders>
                  <w:vAlign w:val="center"/>
                </w:tcPr>
                <w:p w14:paraId="47539F23">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lang w:val="en-US"/>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93.7</w:t>
                  </w:r>
                </w:p>
              </w:tc>
              <w:tc>
                <w:tcPr>
                  <w:tcW w:w="969" w:type="dxa"/>
                  <w:tcBorders>
                    <w:tl2br w:val="nil"/>
                    <w:tr2bl w:val="nil"/>
                  </w:tcBorders>
                  <w:vAlign w:val="center"/>
                </w:tcPr>
                <w:p w14:paraId="7E6CDF02">
                  <w:pPr>
                    <w:keepNext w:val="0"/>
                    <w:keepLines w:val="0"/>
                    <w:suppressLineNumbers w:val="0"/>
                    <w:spacing w:before="0" w:beforeAutospacing="0" w:after="0" w:afterAutospacing="0" w:line="240" w:lineRule="atLeast"/>
                    <w:ind w:left="0" w:leftChars="0" w:right="0" w:firstLine="0" w:firstLineChars="0"/>
                    <w:jc w:val="center"/>
                    <w:outlineLvl w:val="9"/>
                    <w:rPr>
                      <w:rFonts w:hint="eastAsia"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0.2</w:t>
                  </w:r>
                </w:p>
              </w:tc>
              <w:tc>
                <w:tcPr>
                  <w:tcW w:w="1050" w:type="dxa"/>
                  <w:tcBorders>
                    <w:tl2br w:val="nil"/>
                    <w:tr2bl w:val="nil"/>
                  </w:tcBorders>
                  <w:vAlign w:val="center"/>
                </w:tcPr>
                <w:p w14:paraId="5A493CBA">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合格</w:t>
                  </w:r>
                </w:p>
              </w:tc>
              <w:tc>
                <w:tcPr>
                  <w:tcW w:w="909" w:type="dxa"/>
                  <w:tcBorders>
                    <w:tl2br w:val="nil"/>
                    <w:tr2bl w:val="nil"/>
                  </w:tcBorders>
                  <w:vAlign w:val="center"/>
                </w:tcPr>
                <w:p w14:paraId="52890C76">
                  <w:pPr>
                    <w:keepNext w:val="0"/>
                    <w:keepLines w:val="0"/>
                    <w:suppressLineNumbers w:val="0"/>
                    <w:spacing w:before="0" w:beforeAutospacing="0" w:after="0" w:afterAutospacing="0" w:line="240" w:lineRule="atLeast"/>
                    <w:ind w:left="0" w:leftChars="0" w:right="0" w:firstLine="0" w:firstLineChars="0"/>
                    <w:jc w:val="center"/>
                    <w:outlineLvl w:val="9"/>
                    <w:rPr>
                      <w:rFonts w:hint="default" w:ascii="Times New Roman" w:hAnsi="Times New Roman" w:eastAsia="宋体" w:cs="Times New Roman"/>
                      <w:b w:val="0"/>
                      <w:bCs w:val="0"/>
                      <w:color w:val="000000" w:themeColor="text1"/>
                      <w:spacing w:val="0"/>
                      <w:kern w:val="2"/>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kern w:val="2"/>
                      <w:sz w:val="21"/>
                      <w:szCs w:val="21"/>
                      <w:highlight w:val="none"/>
                      <w:lang w:val="en-US" w:eastAsia="zh-CN"/>
                      <w14:textFill>
                        <w14:solidFill>
                          <w14:schemeClr w14:val="tx1"/>
                        </w14:solidFill>
                      </w14:textFill>
                    </w:rPr>
                    <w:t>94</w:t>
                  </w:r>
                </w:p>
              </w:tc>
            </w:tr>
          </w:tbl>
          <w:p w14:paraId="2123B4EB">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4）监测布点</w:t>
            </w:r>
          </w:p>
          <w:p w14:paraId="71E04DF2">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按照《环境影响评价技术导则 声环境》（HJ2.4-2021）布点。</w:t>
            </w:r>
          </w:p>
          <w:p w14:paraId="63DF27F8">
            <w:pPr>
              <w:spacing w:line="360" w:lineRule="auto"/>
              <w:ind w:firstLine="480" w:firstLineChars="200"/>
              <w:outlineLvl w:val="9"/>
              <w:rPr>
                <w:rFonts w:hint="default" w:ascii="Times New Roman" w:hAnsi="Times New Roman" w:eastAsia="宋体" w:cs="Times New Roman"/>
                <w:color w:val="000000" w:themeColor="text1"/>
                <w:spacing w:val="0"/>
                <w:sz w:val="24"/>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①三岔110千伏变电站新建工程：</w:t>
            </w:r>
            <w:r>
              <w:rPr>
                <w:rFonts w:hint="default" w:ascii="Times New Roman" w:hAnsi="Times New Roman" w:eastAsia="宋体" w:cs="Times New Roman"/>
                <w:color w:val="000000" w:themeColor="text1"/>
                <w:spacing w:val="0"/>
                <w:sz w:val="24"/>
                <w14:textFill>
                  <w14:solidFill>
                    <w14:schemeClr w14:val="tx1"/>
                  </w14:solidFill>
                </w14:textFill>
              </w:rPr>
              <w:t>本次监测选择拟建站界四周围墙外1m布设监测点，共布设4个现状监测点。</w:t>
            </w:r>
          </w:p>
          <w:p w14:paraId="25261B87">
            <w:pPr>
              <w:numPr>
                <w:ilvl w:val="0"/>
                <w:numId w:val="0"/>
              </w:numPr>
              <w:adjustRightInd w:val="0"/>
              <w:snapToGrid w:val="0"/>
              <w:spacing w:line="360" w:lineRule="auto"/>
              <w:ind w:firstLine="480" w:firstLineChars="200"/>
              <w:jc w:val="left"/>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4"/>
                <w:szCs w:val="24"/>
                <w:lang w:val="en-US" w:eastAsia="zh-CN" w:bidi="ar-SA"/>
                <w14:textFill>
                  <w14:solidFill>
                    <w14:schemeClr w14:val="tx1"/>
                  </w14:solidFill>
                </w14:textFill>
              </w:rPr>
              <w:t>②</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申铎线π入三岔变110kV线路：</w:t>
            </w:r>
            <w:r>
              <w:rPr>
                <w:rFonts w:ascii="Times New Roman" w:hAnsi="Times New Roman" w:eastAsia="宋体"/>
                <w:color w:val="000000" w:themeColor="text1"/>
                <w:spacing w:val="0"/>
                <w:kern w:val="0"/>
                <w:sz w:val="24"/>
                <w:highlight w:val="none"/>
                <w14:textFill>
                  <w14:solidFill>
                    <w14:schemeClr w14:val="tx1"/>
                  </w14:solidFill>
                </w14:textFill>
              </w:rPr>
              <w:t>监测点布设尽量沿线路路径均匀布点，兼顾行政区及环境特征的代表性</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进行布设</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本次在两条π接线路路径上各</w:t>
            </w:r>
            <w:r>
              <w:rPr>
                <w:rFonts w:ascii="Times New Roman" w:hAnsi="Times New Roman" w:eastAsia="宋体"/>
                <w:color w:val="000000" w:themeColor="text1"/>
                <w:spacing w:val="0"/>
                <w:kern w:val="0"/>
                <w:sz w:val="24"/>
                <w:highlight w:val="none"/>
                <w14:textFill>
                  <w14:solidFill>
                    <w14:schemeClr w14:val="tx1"/>
                  </w14:solidFill>
                </w14:textFill>
              </w:rPr>
              <w:t>布设</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2</w:t>
            </w:r>
            <w:r>
              <w:rPr>
                <w:rFonts w:ascii="Times New Roman" w:hAnsi="Times New Roman" w:eastAsia="宋体"/>
                <w:color w:val="000000" w:themeColor="text1"/>
                <w:spacing w:val="0"/>
                <w:kern w:val="0"/>
                <w:sz w:val="24"/>
                <w:highlight w:val="none"/>
                <w14:textFill>
                  <w14:solidFill>
                    <w14:schemeClr w14:val="tx1"/>
                  </w14:solidFill>
                </w14:textFill>
              </w:rPr>
              <w:t>监测点</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14:textFill>
                  <w14:solidFill>
                    <w14:schemeClr w14:val="tx1"/>
                  </w14:solidFill>
                </w14:textFill>
              </w:rPr>
              <w:t>共布设4个现状监测点</w:t>
            </w:r>
            <w:r>
              <w:rPr>
                <w:rFonts w:ascii="Times New Roman" w:hAnsi="Times New Roman" w:eastAsia="宋体"/>
                <w:color w:val="000000" w:themeColor="text1"/>
                <w:spacing w:val="0"/>
                <w:kern w:val="0"/>
                <w:sz w:val="24"/>
                <w:highlight w:val="none"/>
                <w14:textFill>
                  <w14:solidFill>
                    <w14:schemeClr w14:val="tx1"/>
                  </w14:solidFill>
                </w14:textFill>
              </w:rPr>
              <w:t>。</w:t>
            </w:r>
          </w:p>
          <w:p w14:paraId="085D1607">
            <w:pPr>
              <w:numPr>
                <w:ilvl w:val="0"/>
                <w:numId w:val="0"/>
              </w:numPr>
              <w:adjustRightInd w:val="0"/>
              <w:snapToGrid w:val="0"/>
              <w:spacing w:line="360" w:lineRule="auto"/>
              <w:ind w:firstLine="480" w:firstLineChars="200"/>
              <w:jc w:val="left"/>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③</w:t>
            </w:r>
            <w:r>
              <w:rPr>
                <w:rFonts w:hint="eastAsia"/>
                <w:color w:val="000000" w:themeColor="text1"/>
                <w:spacing w:val="0"/>
                <w:sz w:val="24"/>
                <w:highlight w:val="none"/>
                <w:lang w:val="en-US" w:eastAsia="zh-CN"/>
                <w14:textFill>
                  <w14:solidFill>
                    <w14:schemeClr w14:val="tx1"/>
                  </w14:solidFill>
                </w14:textFill>
              </w:rPr>
              <w:t>申庄～黄铎堡改接清水河变电站110kV线路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监测点布设尽量沿线路路径均匀布点，兼顾行政区及环境特征的代表性</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进行布设，在架空线路段布设2个监测点，共布设</w:t>
            </w:r>
            <w:r>
              <w:rPr>
                <w:rFonts w:hint="eastAsia"/>
                <w:color w:val="000000" w:themeColor="text1"/>
                <w:spacing w:val="0"/>
                <w:kern w:val="0"/>
                <w:sz w:val="24"/>
                <w:highlight w:val="none"/>
                <w:lang w:val="en-US" w:eastAsia="zh-CN"/>
                <w14:textFill>
                  <w14:solidFill>
                    <w14:schemeClr w14:val="tx1"/>
                  </w14:solidFill>
                </w14:textFill>
              </w:rPr>
              <w:t>2</w:t>
            </w:r>
            <w:r>
              <w:rPr>
                <w:rFonts w:ascii="Times New Roman" w:hAnsi="Times New Roman" w:eastAsia="宋体"/>
                <w:color w:val="000000" w:themeColor="text1"/>
                <w:spacing w:val="0"/>
                <w:kern w:val="0"/>
                <w:sz w:val="24"/>
                <w:highlight w:val="none"/>
                <w14:textFill>
                  <w14:solidFill>
                    <w14:schemeClr w14:val="tx1"/>
                  </w14:solidFill>
                </w14:textFill>
              </w:rPr>
              <w:t>监测点</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p>
          <w:p w14:paraId="7C7778D4">
            <w:pPr>
              <w:numPr>
                <w:ilvl w:val="0"/>
                <w:numId w:val="0"/>
              </w:numPr>
              <w:adjustRightInd w:val="0"/>
              <w:snapToGrid w:val="0"/>
              <w:spacing w:line="360" w:lineRule="auto"/>
              <w:ind w:firstLine="480" w:firstLineChars="200"/>
              <w:jc w:val="left"/>
              <w:outlineLvl w:val="9"/>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④</w:t>
            </w:r>
            <w:r>
              <w:rPr>
                <w:rFonts w:hint="eastAsia"/>
                <w:color w:val="000000" w:themeColor="text1"/>
                <w:spacing w:val="0"/>
                <w:sz w:val="24"/>
                <w:highlight w:val="none"/>
                <w:lang w:val="en-US" w:eastAsia="zh-CN"/>
                <w14:textFill>
                  <w14:solidFill>
                    <w14:schemeClr w14:val="tx1"/>
                  </w14:solidFill>
                </w14:textFill>
              </w:rPr>
              <w:t>清水河~申庄改接绿塬变电站110kV线路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监测点布设尽量沿线路路径均匀布点，兼顾行政区及环境特征的代表性</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进行布设</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本条线路较短，在架空线路段布设1个监测点，共布设</w:t>
            </w:r>
            <w:r>
              <w:rPr>
                <w:rFonts w:hint="eastAsia"/>
                <w:color w:val="000000" w:themeColor="text1"/>
                <w:spacing w:val="0"/>
                <w:kern w:val="0"/>
                <w:sz w:val="24"/>
                <w:highlight w:val="none"/>
                <w:lang w:val="en-US" w:eastAsia="zh-CN"/>
                <w14:textFill>
                  <w14:solidFill>
                    <w14:schemeClr w14:val="tx1"/>
                  </w14:solidFill>
                </w14:textFill>
              </w:rPr>
              <w:t>1</w:t>
            </w:r>
            <w:r>
              <w:rPr>
                <w:rFonts w:ascii="Times New Roman" w:hAnsi="Times New Roman" w:eastAsia="宋体"/>
                <w:color w:val="000000" w:themeColor="text1"/>
                <w:spacing w:val="0"/>
                <w:kern w:val="0"/>
                <w:sz w:val="24"/>
                <w:highlight w:val="none"/>
                <w14:textFill>
                  <w14:solidFill>
                    <w14:schemeClr w14:val="tx1"/>
                  </w14:solidFill>
                </w14:textFill>
              </w:rPr>
              <w:t>监测点。</w:t>
            </w:r>
          </w:p>
          <w:p w14:paraId="3EC2B3B7">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⑤</w:t>
            </w:r>
            <w:r>
              <w:rPr>
                <w:rFonts w:ascii="Times New Roman" w:hAnsi="Times New Roman" w:eastAsia="宋体"/>
                <w:color w:val="000000" w:themeColor="text1"/>
                <w:spacing w:val="0"/>
                <w:kern w:val="0"/>
                <w:sz w:val="24"/>
                <w:highlight w:val="none"/>
                <w14:textFill>
                  <w14:solidFill>
                    <w14:schemeClr w14:val="tx1"/>
                  </w14:solidFill>
                </w14:textFill>
              </w:rPr>
              <w:t>环境敏感目标：</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拟建变电站无敏感目标，敏感目标都在输电线路段。</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本次监测选取具有代表性声环境敏感目标进行监测，</w:t>
            </w:r>
            <w:r>
              <w:rPr>
                <w:rFonts w:hint="default" w:ascii="Times New Roman" w:hAnsi="Times New Roman" w:eastAsia="宋体" w:cs="Times New Roman"/>
                <w:b w:val="0"/>
                <w:bCs w:val="0"/>
                <w:color w:val="000000" w:themeColor="text1"/>
                <w:spacing w:val="0"/>
                <w:w w:val="100"/>
                <w:kern w:val="0"/>
                <w:position w:val="0"/>
                <w:sz w:val="24"/>
                <w:highlight w:val="none"/>
                <w:lang w:val="en-US" w:eastAsia="zh-CN"/>
                <w14:textFill>
                  <w14:solidFill>
                    <w14:schemeClr w14:val="tx1"/>
                  </w14:solidFill>
                </w14:textFill>
              </w:rPr>
              <w:t>监测点选在距离本项目较近的环境敏感目标建筑物户外，距离墙壁1m处，距离地面1.5m的位置</w:t>
            </w:r>
            <w:r>
              <w:rPr>
                <w:rFonts w:hint="eastAsia" w:ascii="Times New Roman" w:hAnsi="Times New Roman" w:eastAsia="宋体" w:cs="Times New Roman"/>
                <w:b w:val="0"/>
                <w:bCs w:val="0"/>
                <w:color w:val="000000" w:themeColor="text1"/>
                <w:spacing w:val="0"/>
                <w:w w:val="100"/>
                <w:kern w:val="0"/>
                <w:position w:val="0"/>
                <w:sz w:val="24"/>
                <w:highlight w:val="none"/>
                <w:lang w:val="en-US" w:eastAsia="zh-CN"/>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共布设</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4</w:t>
            </w:r>
            <w:r>
              <w:rPr>
                <w:rFonts w:ascii="Times New Roman" w:hAnsi="Times New Roman" w:eastAsia="宋体"/>
                <w:color w:val="000000" w:themeColor="text1"/>
                <w:spacing w:val="0"/>
                <w:kern w:val="0"/>
                <w:sz w:val="24"/>
                <w:highlight w:val="none"/>
                <w14:textFill>
                  <w14:solidFill>
                    <w14:schemeClr w14:val="tx1"/>
                  </w14:solidFill>
                </w14:textFill>
              </w:rPr>
              <w:t>个监测点。</w:t>
            </w:r>
          </w:p>
          <w:p w14:paraId="50E32DA2">
            <w:pPr>
              <w:adjustRightInd w:val="0"/>
              <w:snapToGrid w:val="0"/>
              <w:spacing w:line="360" w:lineRule="auto"/>
              <w:ind w:firstLine="480" w:firstLineChars="200"/>
              <w:jc w:val="both"/>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监测点位详见图3-2。</w:t>
            </w:r>
          </w:p>
          <w:p w14:paraId="5BF0505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color w:val="000000" w:themeColor="text1"/>
                <w:spacing w:val="0"/>
                <w:w w:val="100"/>
                <w:kern w:val="0"/>
                <w:position w:val="0"/>
                <w:sz w:val="24"/>
                <w:szCs w:val="24"/>
                <w:highlight w:val="none"/>
                <w:lang w:eastAsia="zh-CN"/>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p w14:paraId="12921177">
            <w:pPr>
              <w:pStyle w:val="7"/>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outlineLvl w:val="9"/>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41910</wp:posOffset>
                  </wp:positionH>
                  <wp:positionV relativeFrom="paragraph">
                    <wp:posOffset>5600065</wp:posOffset>
                  </wp:positionV>
                  <wp:extent cx="1464945" cy="709295"/>
                  <wp:effectExtent l="0" t="0" r="1905" b="14605"/>
                  <wp:wrapNone/>
                  <wp:docPr id="136" name="图片 136" descr="5fd234cd-7cc5-40e4-9f97-1b67db06d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5fd234cd-7cc5-40e4-9f97-1b67db06d06f"/>
                          <pic:cNvPicPr>
                            <a:picLocks noChangeAspect="1"/>
                          </pic:cNvPicPr>
                        </pic:nvPicPr>
                        <pic:blipFill>
                          <a:blip r:embed="rId16"/>
                          <a:stretch>
                            <a:fillRect/>
                          </a:stretch>
                        </pic:blipFill>
                        <pic:spPr>
                          <a:xfrm>
                            <a:off x="0" y="0"/>
                            <a:ext cx="1464945" cy="709295"/>
                          </a:xfrm>
                          <a:prstGeom prst="rect">
                            <a:avLst/>
                          </a:prstGeom>
                        </pic:spPr>
                      </pic:pic>
                    </a:graphicData>
                  </a:graphic>
                </wp:anchor>
              </w:drawing>
            </w:r>
            <w:r>
              <w:rPr>
                <w:rFonts w:hint="eastAsia" w:ascii="宋体" w:hAnsi="宋体" w:cs="宋体"/>
                <w:color w:val="000000" w:themeColor="text1"/>
                <w:kern w:val="0"/>
                <w:sz w:val="21"/>
                <w:szCs w:val="21"/>
                <w:lang w:val="en-US" w:eastAsia="zh-CN" w:bidi="ar"/>
                <w14:textFill>
                  <w14:solidFill>
                    <w14:schemeClr w14:val="tx1"/>
                  </w14:solidFill>
                </w14:textFill>
              </w:rPr>
              <w:t>****</w:t>
            </w:r>
          </w:p>
          <w:p w14:paraId="365A70C6">
            <w:pPr>
              <w:pStyle w:val="7"/>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outlineLvl w:val="9"/>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图3-2  本项目监测点位示意图</w:t>
            </w:r>
          </w:p>
          <w:p w14:paraId="46A53C5D">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5）监测频次</w:t>
            </w:r>
          </w:p>
          <w:p w14:paraId="4C098CDB">
            <w:pPr>
              <w:adjustRightInd w:val="0"/>
              <w:snapToGrid w:val="0"/>
              <w:spacing w:line="360" w:lineRule="auto"/>
              <w:ind w:firstLine="480" w:firstLineChars="200"/>
              <w:jc w:val="left"/>
              <w:outlineLvl w:val="9"/>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昼夜各1次，监测1天。</w:t>
            </w:r>
          </w:p>
          <w:p w14:paraId="256D9BEE">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6）监测条件</w:t>
            </w:r>
          </w:p>
          <w:p w14:paraId="04E47A1B">
            <w:pPr>
              <w:adjustRightInd w:val="0"/>
              <w:snapToGrid w:val="0"/>
              <w:spacing w:line="360" w:lineRule="auto"/>
              <w:ind w:firstLine="480" w:firstLineChars="200"/>
              <w:jc w:val="left"/>
              <w:outlineLvl w:val="9"/>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pPr>
            <w:r>
              <w:rPr>
                <w:rFonts w:hint="eastAsia" w:ascii="Times New Roman" w:hAnsi="Times New Roman" w:eastAsia="宋体"/>
                <w:color w:val="000000" w:themeColor="text1"/>
                <w:spacing w:val="0"/>
                <w:kern w:val="0"/>
                <w:sz w:val="24"/>
                <w:highlight w:val="none"/>
                <w14:textFill>
                  <w14:solidFill>
                    <w14:schemeClr w14:val="tx1"/>
                  </w14:solidFill>
                </w14:textFill>
              </w:rPr>
              <w:t>12 月11日昼间天气多云，温度 4℃，湿度37.7%，风速 1.9m/s；12月11日夜间天气多云，温度 -3℃，湿度 38.1%，风速 1.8m/s</w:t>
            </w:r>
            <w:r>
              <w:rPr>
                <w:rFonts w:hint="eastAsia"/>
                <w:color w:val="000000" w:themeColor="text1"/>
                <w:spacing w:val="0"/>
                <w:kern w:val="0"/>
                <w:sz w:val="24"/>
                <w:highlight w:val="none"/>
                <w:lang w:eastAsia="zh-CN"/>
                <w14:textFill>
                  <w14:solidFill>
                    <w14:schemeClr w14:val="tx1"/>
                  </w14:solidFill>
                </w14:textFill>
              </w:rPr>
              <w:t>。</w:t>
            </w:r>
          </w:p>
          <w:p w14:paraId="0BD8683B">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7）质量控制</w:t>
            </w:r>
          </w:p>
          <w:p w14:paraId="561B82EC">
            <w:pPr>
              <w:adjustRightInd w:val="0"/>
              <w:snapToGrid w:val="0"/>
              <w:spacing w:line="360" w:lineRule="auto"/>
              <w:ind w:firstLine="480" w:firstLineChars="200"/>
              <w:jc w:val="left"/>
              <w:outlineLvl w:val="9"/>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噪声测量仪器性能必须符合《声级计电声性能及测量方法》（GB/T3785-2010）规定，并在测量前后进行校准。</w:t>
            </w:r>
          </w:p>
          <w:p w14:paraId="46571DE7">
            <w:pPr>
              <w:adjustRightInd w:val="0"/>
              <w:snapToGrid w:val="0"/>
              <w:spacing w:line="360" w:lineRule="auto"/>
              <w:ind w:firstLine="480" w:firstLineChars="200"/>
              <w:outlineLvl w:val="9"/>
              <w:rPr>
                <w:rFonts w:hint="eastAsia"/>
                <w:color w:val="000000" w:themeColor="text1"/>
                <w:spacing w:val="0"/>
                <w:kern w:val="0"/>
                <w:sz w:val="24"/>
                <w:highlight w:val="none"/>
                <w:lang w:val="en-US" w:eastAsia="zh-CN"/>
                <w14:textFill>
                  <w14:solidFill>
                    <w14:schemeClr w14:val="tx1"/>
                  </w14:solidFill>
                </w14:textFill>
              </w:rPr>
            </w:pPr>
            <w:r>
              <w:rPr>
                <w:rFonts w:hint="eastAsia"/>
                <w:color w:val="000000" w:themeColor="text1"/>
                <w:spacing w:val="0"/>
                <w:kern w:val="0"/>
                <w:sz w:val="24"/>
                <w:highlight w:val="none"/>
                <w:lang w:val="en-US" w:eastAsia="zh-CN"/>
                <w14:textFill>
                  <w14:solidFill>
                    <w14:schemeClr w14:val="tx1"/>
                  </w14:solidFill>
                </w14:textFill>
              </w:rPr>
              <w:t>8）工况信息</w:t>
            </w:r>
          </w:p>
          <w:p w14:paraId="1B470947">
            <w:pPr>
              <w:adjustRightInd w:val="0"/>
              <w:snapToGrid w:val="0"/>
              <w:spacing w:line="360" w:lineRule="auto"/>
              <w:jc w:val="center"/>
              <w:outlineLvl w:val="9"/>
              <w:rPr>
                <w:rFonts w:hint="default" w:eastAsia="宋体"/>
                <w:b/>
                <w:bCs/>
                <w:color w:val="000000" w:themeColor="text1"/>
                <w:spacing w:val="0"/>
                <w:kern w:val="0"/>
                <w:sz w:val="24"/>
                <w:highlight w:val="none"/>
                <w:lang w:val="en-US" w:eastAsia="zh-CN"/>
                <w14:textFill>
                  <w14:solidFill>
                    <w14:schemeClr w14:val="tx1"/>
                  </w14:solidFill>
                </w14:textFill>
              </w:rPr>
            </w:pPr>
            <w:r>
              <w:rPr>
                <w:rFonts w:hint="eastAsia" w:eastAsia="宋体"/>
                <w:b/>
                <w:bCs/>
                <w:color w:val="000000" w:themeColor="text1"/>
                <w:spacing w:val="0"/>
                <w:kern w:val="0"/>
                <w:sz w:val="24"/>
                <w:highlight w:val="none"/>
                <w:lang w:val="en-US" w:eastAsia="zh-CN"/>
                <w14:textFill>
                  <w14:solidFill>
                    <w14:schemeClr w14:val="tx1"/>
                  </w14:solidFill>
                </w14:textFill>
              </w:rPr>
              <w:t>表3-2  项目工况信息一览表</w:t>
            </w:r>
          </w:p>
          <w:tbl>
            <w:tblPr>
              <w:tblStyle w:val="26"/>
              <w:tblW w:w="86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882"/>
              <w:gridCol w:w="1000"/>
              <w:gridCol w:w="912"/>
              <w:gridCol w:w="912"/>
              <w:gridCol w:w="912"/>
              <w:gridCol w:w="858"/>
              <w:gridCol w:w="981"/>
              <w:gridCol w:w="857"/>
            </w:tblGrid>
            <w:tr w14:paraId="1F804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04" w:type="dxa"/>
                  <w:vMerge w:val="restart"/>
                  <w:noWrap w:val="0"/>
                  <w:vAlign w:val="center"/>
                </w:tcPr>
                <w:p w14:paraId="397AA0C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t>工程名称</w:t>
                  </w:r>
                </w:p>
              </w:tc>
              <w:tc>
                <w:tcPr>
                  <w:tcW w:w="1882" w:type="dxa"/>
                  <w:gridSpan w:val="2"/>
                  <w:noWrap w:val="0"/>
                  <w:vAlign w:val="center"/>
                </w:tcPr>
                <w:p w14:paraId="5D5CF380">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t>电压（kV）</w:t>
                  </w:r>
                </w:p>
              </w:tc>
              <w:tc>
                <w:tcPr>
                  <w:tcW w:w="1824" w:type="dxa"/>
                  <w:gridSpan w:val="2"/>
                  <w:noWrap w:val="0"/>
                  <w:vAlign w:val="center"/>
                </w:tcPr>
                <w:p w14:paraId="655AAE06">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t>电流（A）</w:t>
                  </w:r>
                </w:p>
              </w:tc>
              <w:tc>
                <w:tcPr>
                  <w:tcW w:w="1770" w:type="dxa"/>
                  <w:gridSpan w:val="2"/>
                  <w:noWrap w:val="0"/>
                  <w:vAlign w:val="center"/>
                </w:tcPr>
                <w:p w14:paraId="3893EACF">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t>有功功率（MW）</w:t>
                  </w:r>
                </w:p>
              </w:tc>
              <w:tc>
                <w:tcPr>
                  <w:tcW w:w="1838" w:type="dxa"/>
                  <w:gridSpan w:val="2"/>
                  <w:noWrap w:val="0"/>
                  <w:vAlign w:val="center"/>
                </w:tcPr>
                <w:p w14:paraId="2CC08F81">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t>无功功率（Mvar）</w:t>
                  </w:r>
                </w:p>
              </w:tc>
            </w:tr>
            <w:tr w14:paraId="68AED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304" w:type="dxa"/>
                  <w:vMerge w:val="continue"/>
                  <w:noWrap w:val="0"/>
                  <w:vAlign w:val="center"/>
                </w:tcPr>
                <w:p w14:paraId="327F0751">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p>
              </w:tc>
              <w:tc>
                <w:tcPr>
                  <w:tcW w:w="882" w:type="dxa"/>
                  <w:noWrap w:val="0"/>
                  <w:vAlign w:val="center"/>
                </w:tcPr>
                <w:p w14:paraId="1A4EE31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最小值</w:t>
                  </w:r>
                </w:p>
              </w:tc>
              <w:tc>
                <w:tcPr>
                  <w:tcW w:w="1000" w:type="dxa"/>
                  <w:noWrap w:val="0"/>
                  <w:vAlign w:val="center"/>
                </w:tcPr>
                <w:p w14:paraId="469A3856">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最大值</w:t>
                  </w:r>
                </w:p>
              </w:tc>
              <w:tc>
                <w:tcPr>
                  <w:tcW w:w="912" w:type="dxa"/>
                  <w:noWrap w:val="0"/>
                  <w:vAlign w:val="center"/>
                </w:tcPr>
                <w:p w14:paraId="24A8E06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最小值</w:t>
                  </w:r>
                </w:p>
              </w:tc>
              <w:tc>
                <w:tcPr>
                  <w:tcW w:w="912" w:type="dxa"/>
                  <w:noWrap w:val="0"/>
                  <w:vAlign w:val="center"/>
                </w:tcPr>
                <w:p w14:paraId="44BE7F62">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最大值</w:t>
                  </w:r>
                </w:p>
              </w:tc>
              <w:tc>
                <w:tcPr>
                  <w:tcW w:w="912" w:type="dxa"/>
                  <w:noWrap w:val="0"/>
                  <w:vAlign w:val="center"/>
                </w:tcPr>
                <w:p w14:paraId="4FFE6FB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最小值</w:t>
                  </w:r>
                </w:p>
              </w:tc>
              <w:tc>
                <w:tcPr>
                  <w:tcW w:w="858" w:type="dxa"/>
                  <w:noWrap w:val="0"/>
                  <w:vAlign w:val="center"/>
                </w:tcPr>
                <w:p w14:paraId="1779EBC7">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最大值</w:t>
                  </w:r>
                </w:p>
              </w:tc>
              <w:tc>
                <w:tcPr>
                  <w:tcW w:w="981" w:type="dxa"/>
                  <w:noWrap w:val="0"/>
                  <w:vAlign w:val="center"/>
                </w:tcPr>
                <w:p w14:paraId="612A9793">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最小值</w:t>
                  </w:r>
                </w:p>
              </w:tc>
              <w:tc>
                <w:tcPr>
                  <w:tcW w:w="857" w:type="dxa"/>
                  <w:noWrap w:val="0"/>
                  <w:vAlign w:val="center"/>
                </w:tcPr>
                <w:p w14:paraId="778CE56F">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最大值</w:t>
                  </w:r>
                </w:p>
              </w:tc>
            </w:tr>
            <w:tr w14:paraId="186CC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304" w:type="dxa"/>
                  <w:noWrap w:val="0"/>
                  <w:vAlign w:val="center"/>
                </w:tcPr>
                <w:p w14:paraId="0AF92725">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110kV</w:t>
                  </w:r>
                  <w:r>
                    <w:rPr>
                      <w:rFonts w:hint="eastAsia" w:ascii="Times New Roman" w:hAnsi="Times New Roman" w:eastAsia="宋体"/>
                      <w:b w:val="0"/>
                      <w:bCs w:val="0"/>
                      <w:color w:val="000000" w:themeColor="text1"/>
                      <w:sz w:val="21"/>
                      <w:szCs w:val="21"/>
                      <w:highlight w:val="none"/>
                      <w:lang w:eastAsia="zh-CN"/>
                      <w14:textFill>
                        <w14:solidFill>
                          <w14:schemeClr w14:val="tx1"/>
                        </w14:solidFill>
                      </w14:textFill>
                    </w:rPr>
                    <w:t>清铎（申铎）线</w:t>
                  </w:r>
                </w:p>
              </w:tc>
              <w:tc>
                <w:tcPr>
                  <w:tcW w:w="882" w:type="dxa"/>
                  <w:noWrap w:val="0"/>
                  <w:vAlign w:val="center"/>
                </w:tcPr>
                <w:p w14:paraId="6BEB1D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000" w:type="dxa"/>
                  <w:noWrap w:val="0"/>
                  <w:vAlign w:val="center"/>
                </w:tcPr>
                <w:p w14:paraId="5DC13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2" w:type="dxa"/>
                  <w:noWrap w:val="0"/>
                  <w:vAlign w:val="center"/>
                </w:tcPr>
                <w:p w14:paraId="4C8F63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2" w:type="dxa"/>
                  <w:noWrap w:val="0"/>
                  <w:vAlign w:val="center"/>
                </w:tcPr>
                <w:p w14:paraId="3892B8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2" w:type="dxa"/>
                  <w:noWrap w:val="0"/>
                  <w:vAlign w:val="center"/>
                </w:tcPr>
                <w:p w14:paraId="25D99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858" w:type="dxa"/>
                  <w:noWrap w:val="0"/>
                  <w:vAlign w:val="center"/>
                </w:tcPr>
                <w:p w14:paraId="76DF5F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81" w:type="dxa"/>
                  <w:noWrap w:val="0"/>
                  <w:vAlign w:val="center"/>
                </w:tcPr>
                <w:p w14:paraId="6A58C3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857" w:type="dxa"/>
                  <w:noWrap w:val="0"/>
                  <w:vAlign w:val="center"/>
                </w:tcPr>
                <w:p w14:paraId="0E62F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68276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304" w:type="dxa"/>
                  <w:noWrap w:val="0"/>
                  <w:vAlign w:val="center"/>
                </w:tcPr>
                <w:p w14:paraId="5C360D39">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110kV清申线</w:t>
                  </w:r>
                </w:p>
              </w:tc>
              <w:tc>
                <w:tcPr>
                  <w:tcW w:w="882" w:type="dxa"/>
                  <w:noWrap w:val="0"/>
                  <w:vAlign w:val="center"/>
                </w:tcPr>
                <w:p w14:paraId="0E6C0D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000" w:type="dxa"/>
                  <w:noWrap w:val="0"/>
                  <w:vAlign w:val="center"/>
                </w:tcPr>
                <w:p w14:paraId="7C6264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2" w:type="dxa"/>
                  <w:noWrap w:val="0"/>
                  <w:vAlign w:val="center"/>
                </w:tcPr>
                <w:p w14:paraId="519AF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2" w:type="dxa"/>
                  <w:noWrap w:val="0"/>
                  <w:vAlign w:val="center"/>
                </w:tcPr>
                <w:p w14:paraId="1D7ED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2" w:type="dxa"/>
                  <w:noWrap w:val="0"/>
                  <w:vAlign w:val="center"/>
                </w:tcPr>
                <w:p w14:paraId="32518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858" w:type="dxa"/>
                  <w:noWrap w:val="0"/>
                  <w:vAlign w:val="center"/>
                </w:tcPr>
                <w:p w14:paraId="15AA4B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81" w:type="dxa"/>
                  <w:noWrap w:val="0"/>
                  <w:vAlign w:val="center"/>
                </w:tcPr>
                <w:p w14:paraId="1A003C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857" w:type="dxa"/>
                  <w:noWrap w:val="0"/>
                  <w:vAlign w:val="center"/>
                </w:tcPr>
                <w:p w14:paraId="1AF2E9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bl>
          <w:p w14:paraId="4C3F3CB0">
            <w:pPr>
              <w:adjustRightInd w:val="0"/>
              <w:snapToGrid w:val="0"/>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color w:val="000000" w:themeColor="text1"/>
                <w:spacing w:val="0"/>
                <w:kern w:val="0"/>
                <w:sz w:val="24"/>
                <w:highlight w:val="none"/>
                <w:lang w:val="en-US" w:eastAsia="zh-CN"/>
                <w14:textFill>
                  <w14:solidFill>
                    <w14:schemeClr w14:val="tx1"/>
                  </w14:solidFill>
                </w14:textFill>
              </w:rPr>
              <w:t>9</w:t>
            </w:r>
            <w:r>
              <w:rPr>
                <w:rFonts w:ascii="Times New Roman" w:hAnsi="Times New Roman" w:eastAsia="宋体"/>
                <w:color w:val="000000" w:themeColor="text1"/>
                <w:spacing w:val="0"/>
                <w:kern w:val="0"/>
                <w:sz w:val="24"/>
                <w:highlight w:val="none"/>
                <w14:textFill>
                  <w14:solidFill>
                    <w14:schemeClr w14:val="tx1"/>
                  </w14:solidFill>
                </w14:textFill>
              </w:rPr>
              <w:t>）评价标准</w:t>
            </w:r>
          </w:p>
          <w:p w14:paraId="31081BBB">
            <w:pPr>
              <w:adjustRightInd w:val="0"/>
              <w:snapToGrid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default" w:ascii="Times New Roman" w:hAnsi="Times New Roman" w:eastAsia="宋体"/>
                <w:color w:val="000000" w:themeColor="text1"/>
                <w:spacing w:val="0"/>
                <w:sz w:val="24"/>
                <w:highlight w:val="none"/>
                <w:lang w:val="en-US" w:eastAsia="zh-CN"/>
                <w14:textFill>
                  <w14:solidFill>
                    <w14:schemeClr w14:val="tx1"/>
                  </w14:solidFill>
                </w14:textFill>
              </w:rPr>
              <w:t>拟建</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三岔</w:t>
            </w:r>
            <w:r>
              <w:rPr>
                <w:rFonts w:hint="default" w:ascii="Times New Roman" w:hAnsi="Times New Roman" w:eastAsia="宋体"/>
                <w:color w:val="000000" w:themeColor="text1"/>
                <w:spacing w:val="0"/>
                <w:sz w:val="24"/>
                <w:highlight w:val="none"/>
                <w:lang w:val="en-US" w:eastAsia="zh-CN"/>
                <w14:textFill>
                  <w14:solidFill>
                    <w14:schemeClr w14:val="tx1"/>
                  </w14:solidFill>
                </w14:textFill>
              </w:rPr>
              <w:t>变电站附近</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处</w:t>
            </w:r>
            <w:r>
              <w:rPr>
                <w:rFonts w:hint="default" w:ascii="Times New Roman" w:hAnsi="Times New Roman" w:eastAsia="宋体"/>
                <w:color w:val="000000" w:themeColor="text1"/>
                <w:spacing w:val="0"/>
                <w:sz w:val="24"/>
                <w:highlight w:val="none"/>
                <w:lang w:val="en-US" w:eastAsia="zh-CN"/>
                <w14:textFill>
                  <w14:solidFill>
                    <w14:schemeClr w14:val="tx1"/>
                  </w14:solidFill>
                </w14:textFill>
              </w:rPr>
              <w:t>执行《声环境质量标准》（GB3096-2008）2类标准</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；拟建线路</w:t>
            </w:r>
            <w:r>
              <w:rPr>
                <w:rFonts w:hint="default" w:ascii="Times New Roman" w:hAnsi="Times New Roman" w:eastAsia="宋体"/>
                <w:color w:val="000000" w:themeColor="text1"/>
                <w:spacing w:val="0"/>
                <w:sz w:val="24"/>
                <w:highlight w:val="none"/>
                <w:lang w:val="en-US" w:eastAsia="zh-CN"/>
                <w14:textFill>
                  <w14:solidFill>
                    <w14:schemeClr w14:val="tx1"/>
                  </w14:solidFill>
                </w14:textFill>
              </w:rPr>
              <w:t>经过农村区域</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及其声环境敏感目标处</w:t>
            </w:r>
            <w:r>
              <w:rPr>
                <w:rFonts w:hint="default" w:ascii="Times New Roman" w:hAnsi="Times New Roman" w:eastAsia="宋体"/>
                <w:color w:val="000000" w:themeColor="text1"/>
                <w:spacing w:val="0"/>
                <w:sz w:val="24"/>
                <w:highlight w:val="none"/>
                <w:lang w:val="en-US" w:eastAsia="zh-CN"/>
                <w14:textFill>
                  <w14:solidFill>
                    <w14:schemeClr w14:val="tx1"/>
                  </w14:solidFill>
                </w14:textFill>
              </w:rPr>
              <w:t>执行《声环境质量标准》（GB3096-2008）1类标准</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w:t>
            </w:r>
          </w:p>
          <w:p w14:paraId="1F1CAF13">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color w:val="000000" w:themeColor="text1"/>
                <w:spacing w:val="0"/>
                <w:kern w:val="0"/>
                <w:sz w:val="24"/>
                <w:highlight w:val="none"/>
                <w:lang w:val="en-US" w:eastAsia="zh-CN"/>
                <w14:textFill>
                  <w14:solidFill>
                    <w14:schemeClr w14:val="tx1"/>
                  </w14:solidFill>
                </w14:textFill>
              </w:rPr>
              <w:t>10</w:t>
            </w:r>
            <w:r>
              <w:rPr>
                <w:rFonts w:ascii="Times New Roman" w:hAnsi="Times New Roman" w:eastAsia="宋体"/>
                <w:color w:val="000000" w:themeColor="text1"/>
                <w:spacing w:val="0"/>
                <w:kern w:val="0"/>
                <w:sz w:val="24"/>
                <w:highlight w:val="none"/>
                <w14:textFill>
                  <w14:solidFill>
                    <w14:schemeClr w14:val="tx1"/>
                  </w14:solidFill>
                </w14:textFill>
              </w:rPr>
              <w:t>）监测结果</w:t>
            </w:r>
          </w:p>
          <w:p w14:paraId="69447307">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声环境现状监测结果见表3-</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3</w:t>
            </w:r>
            <w:r>
              <w:rPr>
                <w:rFonts w:ascii="Times New Roman" w:hAnsi="Times New Roman" w:eastAsia="宋体"/>
                <w:color w:val="000000" w:themeColor="text1"/>
                <w:spacing w:val="0"/>
                <w:kern w:val="0"/>
                <w:sz w:val="24"/>
                <w:highlight w:val="none"/>
                <w14:textFill>
                  <w14:solidFill>
                    <w14:schemeClr w14:val="tx1"/>
                  </w14:solidFill>
                </w14:textFill>
              </w:rPr>
              <w:t>。</w:t>
            </w:r>
          </w:p>
          <w:p w14:paraId="2A753316">
            <w:pPr>
              <w:adjustRightInd w:val="0"/>
              <w:snapToGrid w:val="0"/>
              <w:spacing w:line="360" w:lineRule="auto"/>
              <w:jc w:val="center"/>
              <w:outlineLvl w:val="9"/>
              <w:rPr>
                <w:rFonts w:hint="eastAsia" w:ascii="Times New Roman" w:hAnsi="Times New Roman" w:eastAsia="宋体"/>
                <w:b/>
                <w:bCs/>
                <w:color w:val="000000" w:themeColor="text1"/>
                <w:spacing w:val="0"/>
                <w:kern w:val="0"/>
                <w:sz w:val="24"/>
                <w:highlight w:val="none"/>
                <w:lang w:val="en-US" w:eastAsia="zh-CN"/>
                <w14:textFill>
                  <w14:solidFill>
                    <w14:schemeClr w14:val="tx1"/>
                  </w14:solidFill>
                </w14:textFill>
              </w:rPr>
            </w:pPr>
            <w:r>
              <w:rPr>
                <w:rFonts w:hint="eastAsia"/>
                <w:b/>
                <w:bCs/>
                <w:color w:val="000000" w:themeColor="text1"/>
                <w:spacing w:val="0"/>
                <w:kern w:val="0"/>
                <w:sz w:val="24"/>
                <w:highlight w:val="none"/>
                <w:lang w:val="en-US" w:eastAsia="zh-CN"/>
                <w14:textFill>
                  <w14:solidFill>
                    <w14:schemeClr w14:val="tx1"/>
                  </w14:solidFill>
                </w14:textFill>
              </w:rPr>
              <w:t xml:space="preserve">表3-3  </w:t>
            </w:r>
            <w:r>
              <w:rPr>
                <w:rFonts w:ascii="Times New Roman" w:hAnsi="Times New Roman" w:eastAsia="宋体"/>
                <w:b/>
                <w:bCs/>
                <w:color w:val="000000" w:themeColor="text1"/>
                <w:spacing w:val="0"/>
                <w:kern w:val="0"/>
                <w:sz w:val="24"/>
                <w:highlight w:val="none"/>
                <w14:textFill>
                  <w14:solidFill>
                    <w14:schemeClr w14:val="tx1"/>
                  </w14:solidFill>
                </w14:textFill>
              </w:rPr>
              <w:t>声环境现状监测结果</w:t>
            </w:r>
            <w:r>
              <w:rPr>
                <w:rFonts w:hint="eastAsia" w:ascii="Times New Roman" w:hAnsi="Times New Roman" w:eastAsia="宋体"/>
                <w:b/>
                <w:bCs/>
                <w:color w:val="000000" w:themeColor="text1"/>
                <w:spacing w:val="0"/>
                <w:kern w:val="0"/>
                <w:sz w:val="24"/>
                <w:highlight w:val="none"/>
                <w:lang w:val="en-US" w:eastAsia="zh-CN"/>
                <w14:textFill>
                  <w14:solidFill>
                    <w14:schemeClr w14:val="tx1"/>
                  </w14:solidFill>
                </w14:textFill>
              </w:rPr>
              <w:t>一览表</w:t>
            </w:r>
          </w:p>
          <w:tbl>
            <w:tblPr>
              <w:tblStyle w:val="26"/>
              <w:tblW w:w="85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0"/>
              <w:gridCol w:w="708"/>
              <w:gridCol w:w="1854"/>
              <w:gridCol w:w="1827"/>
              <w:gridCol w:w="915"/>
              <w:gridCol w:w="750"/>
              <w:gridCol w:w="715"/>
              <w:gridCol w:w="654"/>
              <w:gridCol w:w="684"/>
            </w:tblGrid>
            <w:tr w14:paraId="0EF0E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Merge w:val="restart"/>
                  <w:vAlign w:val="center"/>
                </w:tcPr>
                <w:p w14:paraId="59F4197F">
                  <w:pPr>
                    <w:adjustRightInd w:val="0"/>
                    <w:snapToGrid w:val="0"/>
                    <w:jc w:val="center"/>
                    <w:outlineLvl w:val="9"/>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14:textFill>
                        <w14:solidFill>
                          <w14:schemeClr w14:val="tx1"/>
                        </w14:solidFill>
                      </w14:textFill>
                    </w:rPr>
                    <w:t>序号</w:t>
                  </w:r>
                </w:p>
              </w:tc>
              <w:tc>
                <w:tcPr>
                  <w:tcW w:w="708" w:type="dxa"/>
                  <w:vMerge w:val="restart"/>
                  <w:vAlign w:val="center"/>
                </w:tcPr>
                <w:p w14:paraId="13A55552">
                  <w:pPr>
                    <w:adjustRightInd w:val="0"/>
                    <w:snapToGrid w:val="0"/>
                    <w:jc w:val="center"/>
                    <w:outlineLvl w:val="9"/>
                    <w:rPr>
                      <w:rFonts w:hint="default" w:ascii="Times New Roman" w:hAnsi="Times New Roman" w:eastAsia="宋体"/>
                      <w:b/>
                      <w:bCs/>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lang w:val="en-US" w:eastAsia="zh-CN"/>
                      <w14:textFill>
                        <w14:solidFill>
                          <w14:schemeClr w14:val="tx1"/>
                        </w14:solidFill>
                      </w14:textFill>
                    </w:rPr>
                    <w:t>行政区域</w:t>
                  </w:r>
                </w:p>
              </w:tc>
              <w:tc>
                <w:tcPr>
                  <w:tcW w:w="3681" w:type="dxa"/>
                  <w:gridSpan w:val="2"/>
                  <w:vMerge w:val="restart"/>
                  <w:vAlign w:val="center"/>
                </w:tcPr>
                <w:p w14:paraId="7D459644">
                  <w:pPr>
                    <w:adjustRightInd w:val="0"/>
                    <w:snapToGrid w:val="0"/>
                    <w:jc w:val="center"/>
                    <w:outlineLvl w:val="9"/>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14:textFill>
                        <w14:solidFill>
                          <w14:schemeClr w14:val="tx1"/>
                        </w14:solidFill>
                      </w14:textFill>
                    </w:rPr>
                    <w:t>点位描述</w:t>
                  </w:r>
                </w:p>
              </w:tc>
              <w:tc>
                <w:tcPr>
                  <w:tcW w:w="915" w:type="dxa"/>
                  <w:vMerge w:val="restart"/>
                  <w:vAlign w:val="center"/>
                </w:tcPr>
                <w:p w14:paraId="6B35E428">
                  <w:pPr>
                    <w:adjustRightInd w:val="0"/>
                    <w:snapToGrid w:val="0"/>
                    <w:jc w:val="center"/>
                    <w:outlineLvl w:val="9"/>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14:textFill>
                        <w14:solidFill>
                          <w14:schemeClr w14:val="tx1"/>
                        </w14:solidFill>
                      </w14:textFill>
                    </w:rPr>
                    <w:t>测量高度（m）</w:t>
                  </w:r>
                </w:p>
              </w:tc>
              <w:tc>
                <w:tcPr>
                  <w:tcW w:w="750" w:type="dxa"/>
                  <w:vMerge w:val="restart"/>
                  <w:vAlign w:val="center"/>
                </w:tcPr>
                <w:p w14:paraId="6FE7A63A">
                  <w:pPr>
                    <w:adjustRightInd w:val="0"/>
                    <w:snapToGrid w:val="0"/>
                    <w:jc w:val="center"/>
                    <w:outlineLvl w:val="9"/>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14:textFill>
                        <w14:solidFill>
                          <w14:schemeClr w14:val="tx1"/>
                        </w14:solidFill>
                      </w14:textFill>
                    </w:rPr>
                    <w:t>昼间</w:t>
                  </w:r>
                </w:p>
              </w:tc>
              <w:tc>
                <w:tcPr>
                  <w:tcW w:w="715" w:type="dxa"/>
                  <w:vMerge w:val="restart"/>
                  <w:vAlign w:val="center"/>
                </w:tcPr>
                <w:p w14:paraId="438A9B4A">
                  <w:pPr>
                    <w:adjustRightInd w:val="0"/>
                    <w:snapToGrid w:val="0"/>
                    <w:jc w:val="center"/>
                    <w:outlineLvl w:val="9"/>
                    <w:rPr>
                      <w:rFonts w:ascii="Times New Roman" w:hAnsi="Times New Roman" w:eastAsia="宋体"/>
                      <w:b/>
                      <w:bCs/>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14:textFill>
                        <w14:solidFill>
                          <w14:schemeClr w14:val="tx1"/>
                        </w14:solidFill>
                      </w14:textFill>
                    </w:rPr>
                    <w:t>夜间</w:t>
                  </w:r>
                </w:p>
              </w:tc>
              <w:tc>
                <w:tcPr>
                  <w:tcW w:w="1338" w:type="dxa"/>
                  <w:gridSpan w:val="2"/>
                  <w:vAlign w:val="center"/>
                </w:tcPr>
                <w:p w14:paraId="08EDEE64">
                  <w:pPr>
                    <w:adjustRightInd w:val="0"/>
                    <w:snapToGrid w:val="0"/>
                    <w:jc w:val="center"/>
                    <w:outlineLvl w:val="9"/>
                    <w:rPr>
                      <w:rFonts w:hint="eastAsia" w:ascii="Times New Roman" w:hAnsi="Times New Roman" w:eastAsia="宋体"/>
                      <w:b/>
                      <w:bCs/>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lang w:val="en-US" w:eastAsia="zh-CN"/>
                      <w14:textFill>
                        <w14:solidFill>
                          <w14:schemeClr w14:val="tx1"/>
                        </w14:solidFill>
                      </w14:textFill>
                    </w:rPr>
                    <w:t>执行标准</w:t>
                  </w:r>
                </w:p>
              </w:tc>
            </w:tr>
            <w:tr w14:paraId="7965E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Merge w:val="continue"/>
                  <w:vAlign w:val="center"/>
                </w:tcPr>
                <w:p w14:paraId="39CD53E0">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708" w:type="dxa"/>
                  <w:vMerge w:val="continue"/>
                  <w:vAlign w:val="center"/>
                </w:tcPr>
                <w:p w14:paraId="305F8F1F">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3681" w:type="dxa"/>
                  <w:gridSpan w:val="2"/>
                  <w:vMerge w:val="continue"/>
                  <w:vAlign w:val="center"/>
                </w:tcPr>
                <w:p w14:paraId="151A5A96">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915" w:type="dxa"/>
                  <w:vMerge w:val="continue"/>
                  <w:vAlign w:val="center"/>
                </w:tcPr>
                <w:p w14:paraId="4EFE782C">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750" w:type="dxa"/>
                  <w:vMerge w:val="continue"/>
                  <w:vAlign w:val="center"/>
                </w:tcPr>
                <w:p w14:paraId="0684C583">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715" w:type="dxa"/>
                  <w:vMerge w:val="continue"/>
                  <w:vAlign w:val="center"/>
                </w:tcPr>
                <w:p w14:paraId="047FFA9B">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654" w:type="dxa"/>
                  <w:vAlign w:val="center"/>
                </w:tcPr>
                <w:p w14:paraId="3F24EF30">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14:textFill>
                        <w14:solidFill>
                          <w14:schemeClr w14:val="tx1"/>
                        </w14:solidFill>
                      </w14:textFill>
                    </w:rPr>
                    <w:t>昼间</w:t>
                  </w:r>
                </w:p>
              </w:tc>
              <w:tc>
                <w:tcPr>
                  <w:tcW w:w="684" w:type="dxa"/>
                  <w:vAlign w:val="center"/>
                </w:tcPr>
                <w:p w14:paraId="75E47069">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b/>
                      <w:bCs/>
                      <w:color w:val="000000" w:themeColor="text1"/>
                      <w:spacing w:val="0"/>
                      <w:kern w:val="0"/>
                      <w:sz w:val="21"/>
                      <w:szCs w:val="21"/>
                      <w:highlight w:val="none"/>
                      <w14:textFill>
                        <w14:solidFill>
                          <w14:schemeClr w14:val="tx1"/>
                        </w14:solidFill>
                      </w14:textFill>
                    </w:rPr>
                    <w:t>夜间</w:t>
                  </w:r>
                </w:p>
              </w:tc>
            </w:tr>
            <w:tr w14:paraId="74D8D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Align w:val="center"/>
                </w:tcPr>
                <w:p w14:paraId="0F801433">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w:t>
                  </w:r>
                </w:p>
              </w:tc>
              <w:tc>
                <w:tcPr>
                  <w:tcW w:w="708" w:type="dxa"/>
                  <w:vMerge w:val="restart"/>
                  <w:vAlign w:val="center"/>
                </w:tcPr>
                <w:p w14:paraId="76988B9A">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原州区黄铎堡镇三岔村</w:t>
                  </w:r>
                </w:p>
              </w:tc>
              <w:tc>
                <w:tcPr>
                  <w:tcW w:w="1854" w:type="dxa"/>
                  <w:vMerge w:val="restart"/>
                  <w:vAlign w:val="center"/>
                </w:tcPr>
                <w:p w14:paraId="3376D9CC">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三岔</w:t>
                  </w:r>
                  <w:r>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t>110千伏变电站新建工程</w:t>
                  </w:r>
                </w:p>
              </w:tc>
              <w:tc>
                <w:tcPr>
                  <w:tcW w:w="1827" w:type="dxa"/>
                  <w:vAlign w:val="center"/>
                </w:tcPr>
                <w:p w14:paraId="4A469462">
                  <w:pPr>
                    <w:pStyle w:val="3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拟建变电站东侧</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站界</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外1m处</w:t>
                  </w:r>
                </w:p>
              </w:tc>
              <w:tc>
                <w:tcPr>
                  <w:tcW w:w="915" w:type="dxa"/>
                  <w:vAlign w:val="center"/>
                </w:tcPr>
                <w:p w14:paraId="12D2EA31">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55FE743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45</w:t>
                  </w:r>
                </w:p>
              </w:tc>
              <w:tc>
                <w:tcPr>
                  <w:tcW w:w="715" w:type="dxa"/>
                  <w:shd w:val="clear" w:color="auto" w:fill="auto"/>
                  <w:vAlign w:val="center"/>
                </w:tcPr>
                <w:p w14:paraId="248E0F0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42</w:t>
                  </w:r>
                </w:p>
              </w:tc>
              <w:tc>
                <w:tcPr>
                  <w:tcW w:w="654" w:type="dxa"/>
                  <w:vMerge w:val="restart"/>
                  <w:vAlign w:val="center"/>
                </w:tcPr>
                <w:p w14:paraId="128C479C">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60</w:t>
                  </w:r>
                </w:p>
              </w:tc>
              <w:tc>
                <w:tcPr>
                  <w:tcW w:w="684" w:type="dxa"/>
                  <w:vMerge w:val="restart"/>
                  <w:vAlign w:val="center"/>
                </w:tcPr>
                <w:p w14:paraId="2E3D77D3">
                  <w:pPr>
                    <w:adjustRightInd w:val="0"/>
                    <w:snapToGrid w:val="0"/>
                    <w:jc w:val="center"/>
                    <w:outlineLvl w:val="9"/>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50</w:t>
                  </w:r>
                </w:p>
              </w:tc>
            </w:tr>
            <w:tr w14:paraId="3607E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Align w:val="center"/>
                </w:tcPr>
                <w:p w14:paraId="70215D2E">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2</w:t>
                  </w:r>
                </w:p>
              </w:tc>
              <w:tc>
                <w:tcPr>
                  <w:tcW w:w="708" w:type="dxa"/>
                  <w:vMerge w:val="continue"/>
                  <w:vAlign w:val="center"/>
                </w:tcPr>
                <w:p w14:paraId="7B4387D0">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54" w:type="dxa"/>
                  <w:vMerge w:val="continue"/>
                  <w:vAlign w:val="center"/>
                </w:tcPr>
                <w:p w14:paraId="262713FB">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27" w:type="dxa"/>
                  <w:vAlign w:val="center"/>
                </w:tcPr>
                <w:p w14:paraId="0DA55C3B">
                  <w:pPr>
                    <w:pStyle w:val="43"/>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拟建变电站南侧</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站界</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外1m处</w:t>
                  </w:r>
                </w:p>
              </w:tc>
              <w:tc>
                <w:tcPr>
                  <w:tcW w:w="915" w:type="dxa"/>
                  <w:vAlign w:val="center"/>
                </w:tcPr>
                <w:p w14:paraId="02FA1AE9">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63EDC38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41</w:t>
                  </w:r>
                </w:p>
              </w:tc>
              <w:tc>
                <w:tcPr>
                  <w:tcW w:w="715" w:type="dxa"/>
                  <w:shd w:val="clear" w:color="auto" w:fill="auto"/>
                  <w:vAlign w:val="center"/>
                </w:tcPr>
                <w:p w14:paraId="6A478AA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40</w:t>
                  </w:r>
                </w:p>
              </w:tc>
              <w:tc>
                <w:tcPr>
                  <w:tcW w:w="654" w:type="dxa"/>
                  <w:vMerge w:val="continue"/>
                  <w:vAlign w:val="center"/>
                </w:tcPr>
                <w:p w14:paraId="68660B90">
                  <w:pPr>
                    <w:adjustRightInd w:val="0"/>
                    <w:snapToGrid w:val="0"/>
                    <w:jc w:val="center"/>
                    <w:outlineLvl w:val="9"/>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pPr>
                </w:p>
              </w:tc>
              <w:tc>
                <w:tcPr>
                  <w:tcW w:w="684" w:type="dxa"/>
                  <w:vMerge w:val="continue"/>
                  <w:vAlign w:val="center"/>
                </w:tcPr>
                <w:p w14:paraId="358F4624">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r>
            <w:tr w14:paraId="47E4D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Align w:val="center"/>
                </w:tcPr>
                <w:p w14:paraId="56490DDE">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3</w:t>
                  </w:r>
                </w:p>
              </w:tc>
              <w:tc>
                <w:tcPr>
                  <w:tcW w:w="708" w:type="dxa"/>
                  <w:vMerge w:val="continue"/>
                  <w:vAlign w:val="center"/>
                </w:tcPr>
                <w:p w14:paraId="51E3A416">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54" w:type="dxa"/>
                  <w:vMerge w:val="continue"/>
                  <w:vAlign w:val="center"/>
                </w:tcPr>
                <w:p w14:paraId="6EF9EC2B">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27" w:type="dxa"/>
                  <w:vAlign w:val="center"/>
                </w:tcPr>
                <w:p w14:paraId="16034D39">
                  <w:pPr>
                    <w:pStyle w:val="43"/>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拟建变电站西侧</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站界</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外1m处</w:t>
                  </w:r>
                </w:p>
              </w:tc>
              <w:tc>
                <w:tcPr>
                  <w:tcW w:w="915" w:type="dxa"/>
                  <w:vAlign w:val="center"/>
                </w:tcPr>
                <w:p w14:paraId="33F5B2F6">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75AC2A0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40</w:t>
                  </w:r>
                </w:p>
              </w:tc>
              <w:tc>
                <w:tcPr>
                  <w:tcW w:w="715" w:type="dxa"/>
                  <w:shd w:val="clear" w:color="auto" w:fill="auto"/>
                  <w:vAlign w:val="center"/>
                </w:tcPr>
                <w:p w14:paraId="5A62698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38</w:t>
                  </w:r>
                </w:p>
              </w:tc>
              <w:tc>
                <w:tcPr>
                  <w:tcW w:w="654" w:type="dxa"/>
                  <w:vMerge w:val="continue"/>
                  <w:vAlign w:val="center"/>
                </w:tcPr>
                <w:p w14:paraId="4D835AA6">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684" w:type="dxa"/>
                  <w:vMerge w:val="continue"/>
                  <w:vAlign w:val="center"/>
                </w:tcPr>
                <w:p w14:paraId="55C6563F">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r>
            <w:tr w14:paraId="67CCF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Align w:val="center"/>
                </w:tcPr>
                <w:p w14:paraId="56E6BEF1">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4</w:t>
                  </w:r>
                </w:p>
              </w:tc>
              <w:tc>
                <w:tcPr>
                  <w:tcW w:w="708" w:type="dxa"/>
                  <w:vMerge w:val="continue"/>
                  <w:vAlign w:val="center"/>
                </w:tcPr>
                <w:p w14:paraId="614582A6">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54" w:type="dxa"/>
                  <w:vMerge w:val="continue"/>
                  <w:vAlign w:val="center"/>
                </w:tcPr>
                <w:p w14:paraId="32029AA4">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27" w:type="dxa"/>
                  <w:vAlign w:val="center"/>
                </w:tcPr>
                <w:p w14:paraId="1F4CFDD0">
                  <w:pPr>
                    <w:pStyle w:val="43"/>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拟建变电站北侧</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站界</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外1m处</w:t>
                  </w:r>
                </w:p>
              </w:tc>
              <w:tc>
                <w:tcPr>
                  <w:tcW w:w="915" w:type="dxa"/>
                  <w:vAlign w:val="center"/>
                </w:tcPr>
                <w:p w14:paraId="28AEE64C">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6538BDD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41</w:t>
                  </w:r>
                </w:p>
              </w:tc>
              <w:tc>
                <w:tcPr>
                  <w:tcW w:w="715" w:type="dxa"/>
                  <w:shd w:val="clear" w:color="auto" w:fill="auto"/>
                  <w:vAlign w:val="center"/>
                </w:tcPr>
                <w:p w14:paraId="1B23533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39</w:t>
                  </w:r>
                </w:p>
              </w:tc>
              <w:tc>
                <w:tcPr>
                  <w:tcW w:w="654" w:type="dxa"/>
                  <w:vMerge w:val="continue"/>
                  <w:vAlign w:val="center"/>
                </w:tcPr>
                <w:p w14:paraId="3B71B1E7">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684" w:type="dxa"/>
                  <w:vMerge w:val="continue"/>
                  <w:vAlign w:val="center"/>
                </w:tcPr>
                <w:p w14:paraId="0E959BDA">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r>
            <w:tr w14:paraId="3D952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Align w:val="center"/>
                </w:tcPr>
                <w:p w14:paraId="3CF11BB3">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5</w:t>
                  </w:r>
                </w:p>
              </w:tc>
              <w:tc>
                <w:tcPr>
                  <w:tcW w:w="708" w:type="dxa"/>
                  <w:vMerge w:val="continue"/>
                  <w:vAlign w:val="center"/>
                </w:tcPr>
                <w:p w14:paraId="3478E2BD">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54" w:type="dxa"/>
                  <w:vMerge w:val="restart"/>
                  <w:vAlign w:val="center"/>
                </w:tcPr>
                <w:p w14:paraId="009E3E44">
                  <w:pPr>
                    <w:adjustRightInd w:val="0"/>
                    <w:snapToGrid w:val="0"/>
                    <w:jc w:val="center"/>
                    <w:outlineLvl w:val="9"/>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pPr>
                  <w:r>
                    <w:rPr>
                      <w:rFonts w:hint="eastAsia"/>
                      <w:color w:val="000000" w:themeColor="text1"/>
                      <w:spacing w:val="0"/>
                      <w:kern w:val="0"/>
                      <w:sz w:val="21"/>
                      <w:szCs w:val="21"/>
                      <w:highlight w:val="none"/>
                      <w:lang w:eastAsia="zh-CN"/>
                      <w14:textFill>
                        <w14:solidFill>
                          <w14:schemeClr w14:val="tx1"/>
                        </w14:solidFill>
                      </w14:textFill>
                    </w:rPr>
                    <w:t>申庄~黄铎堡π入三岔变电站110千伏架空线路</w:t>
                  </w:r>
                </w:p>
                <w:p w14:paraId="5D0D1B5D">
                  <w:pPr>
                    <w:adjustRightInd w:val="0"/>
                    <w:snapToGrid w:val="0"/>
                    <w:jc w:val="center"/>
                    <w:outlineLvl w:val="9"/>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黄铎堡变侧</w:t>
                  </w:r>
                  <w:r>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t>）</w:t>
                  </w:r>
                </w:p>
              </w:tc>
              <w:tc>
                <w:tcPr>
                  <w:tcW w:w="1827" w:type="dxa"/>
                  <w:shd w:val="clear" w:color="auto" w:fill="auto"/>
                  <w:vAlign w:val="center"/>
                </w:tcPr>
                <w:p w14:paraId="1671D7D1">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拟建线路路径处1</w:t>
                  </w:r>
                </w:p>
              </w:tc>
              <w:tc>
                <w:tcPr>
                  <w:tcW w:w="915" w:type="dxa"/>
                  <w:shd w:val="clear" w:color="auto" w:fill="auto"/>
                  <w:vAlign w:val="center"/>
                </w:tcPr>
                <w:p w14:paraId="6860CAE7">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28E23F8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42</w:t>
                  </w:r>
                </w:p>
              </w:tc>
              <w:tc>
                <w:tcPr>
                  <w:tcW w:w="715" w:type="dxa"/>
                  <w:shd w:val="clear" w:color="auto" w:fill="auto"/>
                  <w:vAlign w:val="center"/>
                </w:tcPr>
                <w:p w14:paraId="7B5C987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41</w:t>
                  </w:r>
                </w:p>
              </w:tc>
              <w:tc>
                <w:tcPr>
                  <w:tcW w:w="654" w:type="dxa"/>
                  <w:vMerge w:val="restart"/>
                  <w:vAlign w:val="center"/>
                </w:tcPr>
                <w:p w14:paraId="6EE0B52F">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55</w:t>
                  </w:r>
                </w:p>
              </w:tc>
              <w:tc>
                <w:tcPr>
                  <w:tcW w:w="684" w:type="dxa"/>
                  <w:vMerge w:val="restart"/>
                  <w:vAlign w:val="center"/>
                </w:tcPr>
                <w:p w14:paraId="6A954799">
                  <w:pPr>
                    <w:adjustRightInd w:val="0"/>
                    <w:snapToGrid w:val="0"/>
                    <w:jc w:val="center"/>
                    <w:outlineLvl w:val="9"/>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t>45</w:t>
                  </w:r>
                </w:p>
              </w:tc>
            </w:tr>
            <w:tr w14:paraId="158A4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Align w:val="center"/>
                </w:tcPr>
                <w:p w14:paraId="4A609931">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6</w:t>
                  </w:r>
                </w:p>
              </w:tc>
              <w:tc>
                <w:tcPr>
                  <w:tcW w:w="708" w:type="dxa"/>
                  <w:vMerge w:val="continue"/>
                  <w:vAlign w:val="center"/>
                </w:tcPr>
                <w:p w14:paraId="7CFA0F87">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54" w:type="dxa"/>
                  <w:vMerge w:val="continue"/>
                  <w:vAlign w:val="center"/>
                </w:tcPr>
                <w:p w14:paraId="42E7F4F8">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27" w:type="dxa"/>
                  <w:shd w:val="clear" w:color="auto" w:fill="auto"/>
                  <w:vAlign w:val="center"/>
                </w:tcPr>
                <w:p w14:paraId="6F396C06">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拟建线路路径处2</w:t>
                  </w:r>
                </w:p>
              </w:tc>
              <w:tc>
                <w:tcPr>
                  <w:tcW w:w="915" w:type="dxa"/>
                  <w:shd w:val="clear" w:color="auto" w:fill="auto"/>
                  <w:vAlign w:val="center"/>
                </w:tcPr>
                <w:p w14:paraId="35A1C70B">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40D83A0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45</w:t>
                  </w:r>
                </w:p>
              </w:tc>
              <w:tc>
                <w:tcPr>
                  <w:tcW w:w="715" w:type="dxa"/>
                  <w:shd w:val="clear" w:color="auto" w:fill="auto"/>
                  <w:vAlign w:val="center"/>
                </w:tcPr>
                <w:p w14:paraId="7068CC3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42</w:t>
                  </w:r>
                </w:p>
              </w:tc>
              <w:tc>
                <w:tcPr>
                  <w:tcW w:w="654" w:type="dxa"/>
                  <w:vMerge w:val="continue"/>
                  <w:vAlign w:val="center"/>
                </w:tcPr>
                <w:p w14:paraId="139A276F">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684" w:type="dxa"/>
                  <w:vMerge w:val="continue"/>
                  <w:vAlign w:val="center"/>
                </w:tcPr>
                <w:p w14:paraId="58D5F31D">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r>
            <w:tr w14:paraId="46133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Align w:val="center"/>
                </w:tcPr>
                <w:p w14:paraId="2903340B">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7</w:t>
                  </w:r>
                </w:p>
              </w:tc>
              <w:tc>
                <w:tcPr>
                  <w:tcW w:w="708" w:type="dxa"/>
                  <w:vMerge w:val="continue"/>
                  <w:vAlign w:val="center"/>
                </w:tcPr>
                <w:p w14:paraId="1AA6E1BC">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54" w:type="dxa"/>
                  <w:vMerge w:val="restart"/>
                  <w:vAlign w:val="center"/>
                </w:tcPr>
                <w:p w14:paraId="57DDDF01">
                  <w:pPr>
                    <w:adjustRightInd w:val="0"/>
                    <w:snapToGrid w:val="0"/>
                    <w:jc w:val="center"/>
                    <w:outlineLvl w:val="9"/>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pPr>
                  <w:r>
                    <w:rPr>
                      <w:rFonts w:hint="eastAsia"/>
                      <w:color w:val="000000" w:themeColor="text1"/>
                      <w:spacing w:val="0"/>
                      <w:kern w:val="0"/>
                      <w:sz w:val="21"/>
                      <w:szCs w:val="21"/>
                      <w:highlight w:val="none"/>
                      <w:lang w:eastAsia="zh-CN"/>
                      <w14:textFill>
                        <w14:solidFill>
                          <w14:schemeClr w14:val="tx1"/>
                        </w14:solidFill>
                      </w14:textFill>
                    </w:rPr>
                    <w:t>申庄~黄铎堡π入三岔变电站110千伏架空线路</w:t>
                  </w:r>
                </w:p>
                <w:p w14:paraId="7531D3D0">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清水河变侧</w:t>
                  </w:r>
                  <w:r>
                    <w:rPr>
                      <w:rFonts w:hint="eastAsia" w:ascii="Times New Roman" w:hAnsi="Times New Roman" w:eastAsia="宋体"/>
                      <w:color w:val="000000" w:themeColor="text1"/>
                      <w:spacing w:val="0"/>
                      <w:kern w:val="0"/>
                      <w:sz w:val="21"/>
                      <w:szCs w:val="21"/>
                      <w:highlight w:val="none"/>
                      <w:lang w:eastAsia="zh-CN"/>
                      <w14:textFill>
                        <w14:solidFill>
                          <w14:schemeClr w14:val="tx1"/>
                        </w14:solidFill>
                      </w14:textFill>
                    </w:rPr>
                    <w:t>）</w:t>
                  </w:r>
                </w:p>
              </w:tc>
              <w:tc>
                <w:tcPr>
                  <w:tcW w:w="1827" w:type="dxa"/>
                  <w:shd w:val="clear" w:color="auto" w:fill="auto"/>
                  <w:vAlign w:val="center"/>
                </w:tcPr>
                <w:p w14:paraId="54A6BA0A">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拟建线路路径处1</w:t>
                  </w:r>
                </w:p>
              </w:tc>
              <w:tc>
                <w:tcPr>
                  <w:tcW w:w="915" w:type="dxa"/>
                  <w:shd w:val="clear" w:color="auto" w:fill="auto"/>
                  <w:vAlign w:val="center"/>
                </w:tcPr>
                <w:p w14:paraId="1DEFB568">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5C0236D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宋体"/>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42</w:t>
                  </w:r>
                </w:p>
              </w:tc>
              <w:tc>
                <w:tcPr>
                  <w:tcW w:w="715" w:type="dxa"/>
                  <w:shd w:val="clear" w:color="auto" w:fill="auto"/>
                  <w:vAlign w:val="center"/>
                </w:tcPr>
                <w:p w14:paraId="5247D93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41</w:t>
                  </w:r>
                </w:p>
              </w:tc>
              <w:tc>
                <w:tcPr>
                  <w:tcW w:w="654" w:type="dxa"/>
                  <w:vMerge w:val="continue"/>
                  <w:vAlign w:val="center"/>
                </w:tcPr>
                <w:p w14:paraId="2529B5B6">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684" w:type="dxa"/>
                  <w:vMerge w:val="continue"/>
                  <w:vAlign w:val="center"/>
                </w:tcPr>
                <w:p w14:paraId="12C7D1E1">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r>
            <w:tr w14:paraId="045DF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vAlign w:val="center"/>
                </w:tcPr>
                <w:p w14:paraId="45CC38E5">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8</w:t>
                  </w:r>
                </w:p>
              </w:tc>
              <w:tc>
                <w:tcPr>
                  <w:tcW w:w="708" w:type="dxa"/>
                  <w:vMerge w:val="continue"/>
                  <w:vAlign w:val="center"/>
                </w:tcPr>
                <w:p w14:paraId="3248422B">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54" w:type="dxa"/>
                  <w:vMerge w:val="continue"/>
                  <w:vAlign w:val="center"/>
                </w:tcPr>
                <w:p w14:paraId="0E83963D">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1827" w:type="dxa"/>
                  <w:shd w:val="clear" w:color="auto" w:fill="auto"/>
                  <w:vAlign w:val="center"/>
                </w:tcPr>
                <w:p w14:paraId="026CF701">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拟建线路路径处2</w:t>
                  </w:r>
                </w:p>
              </w:tc>
              <w:tc>
                <w:tcPr>
                  <w:tcW w:w="915" w:type="dxa"/>
                  <w:shd w:val="clear" w:color="auto" w:fill="auto"/>
                  <w:vAlign w:val="center"/>
                </w:tcPr>
                <w:p w14:paraId="3A5AF58C">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00DEAD4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42</w:t>
                  </w:r>
                </w:p>
              </w:tc>
              <w:tc>
                <w:tcPr>
                  <w:tcW w:w="715" w:type="dxa"/>
                  <w:shd w:val="clear" w:color="auto" w:fill="auto"/>
                  <w:vAlign w:val="center"/>
                </w:tcPr>
                <w:p w14:paraId="303908F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39</w:t>
                  </w:r>
                </w:p>
              </w:tc>
              <w:tc>
                <w:tcPr>
                  <w:tcW w:w="654" w:type="dxa"/>
                  <w:vMerge w:val="continue"/>
                  <w:vAlign w:val="center"/>
                </w:tcPr>
                <w:p w14:paraId="27D8726D">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684" w:type="dxa"/>
                  <w:vMerge w:val="continue"/>
                  <w:vAlign w:val="center"/>
                </w:tcPr>
                <w:p w14:paraId="4E0C6E43">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r>
            <w:tr w14:paraId="3EF37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shd w:val="clear" w:color="auto" w:fill="auto"/>
                  <w:vAlign w:val="center"/>
                </w:tcPr>
                <w:p w14:paraId="3E5D2AD9">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9</w:t>
                  </w:r>
                </w:p>
              </w:tc>
              <w:tc>
                <w:tcPr>
                  <w:tcW w:w="708" w:type="dxa"/>
                  <w:vMerge w:val="restart"/>
                  <w:vAlign w:val="center"/>
                </w:tcPr>
                <w:p w14:paraId="7DF6A0A2">
                  <w:pPr>
                    <w:adjustRightInd w:val="0"/>
                    <w:snapToGrid w:val="0"/>
                    <w:jc w:val="center"/>
                    <w:outlineLvl w:val="9"/>
                    <w:rPr>
                      <w:rFonts w:hint="default" w:ascii="Times New Roman" w:hAnsi="Times New Roman" w:eastAsia="宋体"/>
                      <w:color w:val="000000" w:themeColor="text1"/>
                      <w:spacing w:val="0"/>
                      <w:kern w:val="0"/>
                      <w:sz w:val="21"/>
                      <w:szCs w:val="21"/>
                      <w:highlight w:val="yellow"/>
                      <w:lang w:val="en-US"/>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原州区彭堡镇硝沟村</w:t>
                  </w:r>
                </w:p>
              </w:tc>
              <w:tc>
                <w:tcPr>
                  <w:tcW w:w="1854" w:type="dxa"/>
                  <w:vMerge w:val="restart"/>
                  <w:shd w:val="clear" w:color="auto" w:fill="E7E6E6" w:themeFill="background2"/>
                  <w:vAlign w:val="center"/>
                </w:tcPr>
                <w:p w14:paraId="6A55C106">
                  <w:pPr>
                    <w:adjustRightInd w:val="0"/>
                    <w:snapToGrid w:val="0"/>
                    <w:ind w:firstLine="420" w:firstLineChars="200"/>
                    <w:jc w:val="both"/>
                    <w:outlineLvl w:val="9"/>
                    <w:rPr>
                      <w:rFonts w:hint="eastAsia"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敏感目标</w:t>
                  </w:r>
                </w:p>
                <w:p w14:paraId="2040B9CF">
                  <w:pPr>
                    <w:adjustRightInd w:val="0"/>
                    <w:snapToGrid w:val="0"/>
                    <w:jc w:val="both"/>
                    <w:outlineLvl w:val="9"/>
                    <w:rPr>
                      <w:rFonts w:hint="eastAsia" w:ascii="Times New Roman" w:hAnsi="Times New Roman" w:eastAsia="宋体"/>
                      <w:color w:val="000000" w:themeColor="text1"/>
                      <w:spacing w:val="0"/>
                      <w:sz w:val="21"/>
                      <w:szCs w:val="21"/>
                      <w:lang w:val="en-US" w:eastAsia="zh-CN"/>
                      <w14:textFill>
                        <w14:solidFill>
                          <w14:schemeClr w14:val="tx1"/>
                        </w14:solidFill>
                      </w14:textFill>
                    </w:rPr>
                  </w:pPr>
                  <w:r>
                    <w:rPr>
                      <w:rFonts w:hint="eastAsia" w:ascii="Times New Roman" w:hAnsi="Times New Roman" w:eastAsia="宋体"/>
                      <w:color w:val="000000" w:themeColor="text1"/>
                      <w:spacing w:val="0"/>
                      <w:sz w:val="21"/>
                      <w:szCs w:val="21"/>
                      <w:lang w:val="en-US" w:eastAsia="zh-CN"/>
                      <w14:textFill>
                        <w14:solidFill>
                          <w14:schemeClr w14:val="tx1"/>
                        </w14:solidFill>
                      </w14:textFill>
                    </w:rPr>
                    <w:t>（</w:t>
                  </w:r>
                  <w:r>
                    <w:rPr>
                      <w:rFonts w:hint="eastAsia"/>
                      <w:color w:val="000000" w:themeColor="text1"/>
                      <w:spacing w:val="0"/>
                      <w:sz w:val="21"/>
                      <w:szCs w:val="21"/>
                      <w:lang w:val="en-US" w:eastAsia="zh-CN"/>
                      <w14:textFill>
                        <w14:solidFill>
                          <w14:schemeClr w14:val="tx1"/>
                        </w14:solidFill>
                      </w14:textFill>
                    </w:rPr>
                    <w:t>申庄～黄铎堡改接清水河变电站110kV线路</w:t>
                  </w:r>
                  <w:r>
                    <w:rPr>
                      <w:rFonts w:hint="eastAsia" w:ascii="Times New Roman" w:hAnsi="Times New Roman" w:eastAsia="宋体"/>
                      <w:color w:val="000000" w:themeColor="text1"/>
                      <w:spacing w:val="0"/>
                      <w:sz w:val="21"/>
                      <w:szCs w:val="21"/>
                      <w:lang w:val="en-US" w:eastAsia="zh-CN"/>
                      <w14:textFill>
                        <w14:solidFill>
                          <w14:schemeClr w14:val="tx1"/>
                        </w14:solidFill>
                      </w14:textFill>
                    </w:rPr>
                    <w:t>）</w:t>
                  </w:r>
                </w:p>
              </w:tc>
              <w:tc>
                <w:tcPr>
                  <w:tcW w:w="1827" w:type="dxa"/>
                  <w:shd w:val="clear" w:color="auto" w:fill="E7E6E6" w:themeFill="background2"/>
                  <w:vAlign w:val="center"/>
                </w:tcPr>
                <w:p w14:paraId="59C578B0">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5" w:type="dxa"/>
                  <w:shd w:val="clear" w:color="auto" w:fill="E7E6E6" w:themeFill="background2"/>
                  <w:vAlign w:val="center"/>
                </w:tcPr>
                <w:p w14:paraId="6B75ADB5">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5344ECE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43</w:t>
                  </w:r>
                </w:p>
              </w:tc>
              <w:tc>
                <w:tcPr>
                  <w:tcW w:w="715" w:type="dxa"/>
                  <w:shd w:val="clear" w:color="auto" w:fill="auto"/>
                  <w:vAlign w:val="center"/>
                </w:tcPr>
                <w:p w14:paraId="047CE05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42</w:t>
                  </w:r>
                </w:p>
              </w:tc>
              <w:tc>
                <w:tcPr>
                  <w:tcW w:w="654" w:type="dxa"/>
                  <w:vMerge w:val="continue"/>
                  <w:vAlign w:val="center"/>
                </w:tcPr>
                <w:p w14:paraId="00D56B5C">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684" w:type="dxa"/>
                  <w:vMerge w:val="continue"/>
                  <w:vAlign w:val="center"/>
                </w:tcPr>
                <w:p w14:paraId="632F30FF">
                  <w:pPr>
                    <w:adjustRightInd w:val="0"/>
                    <w:snapToGrid w:val="0"/>
                    <w:jc w:val="center"/>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p>
              </w:tc>
            </w:tr>
            <w:tr w14:paraId="48CF7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shd w:val="clear" w:color="auto" w:fill="auto"/>
                  <w:vAlign w:val="center"/>
                </w:tcPr>
                <w:p w14:paraId="465DEDA4">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10</w:t>
                  </w:r>
                </w:p>
              </w:tc>
              <w:tc>
                <w:tcPr>
                  <w:tcW w:w="708" w:type="dxa"/>
                  <w:vMerge w:val="continue"/>
                  <w:vAlign w:val="center"/>
                </w:tcPr>
                <w:p w14:paraId="731EC7AD">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1854" w:type="dxa"/>
                  <w:vMerge w:val="continue"/>
                  <w:shd w:val="clear" w:color="auto" w:fill="E7E6E6" w:themeFill="background2"/>
                  <w:vAlign w:val="center"/>
                </w:tcPr>
                <w:p w14:paraId="241ADEC5">
                  <w:pPr>
                    <w:adjustRightInd w:val="0"/>
                    <w:snapToGrid w:val="0"/>
                    <w:jc w:val="both"/>
                    <w:outlineLvl w:val="9"/>
                    <w:rPr>
                      <w:rFonts w:hint="eastAsia" w:ascii="Times New Roman" w:hAnsi="Times New Roman" w:eastAsia="宋体"/>
                      <w:color w:val="000000" w:themeColor="text1"/>
                      <w:spacing w:val="0"/>
                      <w:sz w:val="21"/>
                      <w:szCs w:val="21"/>
                      <w:lang w:val="en-US" w:eastAsia="zh-CN"/>
                      <w14:textFill>
                        <w14:solidFill>
                          <w14:schemeClr w14:val="tx1"/>
                        </w14:solidFill>
                      </w14:textFill>
                    </w:rPr>
                  </w:pPr>
                </w:p>
              </w:tc>
              <w:tc>
                <w:tcPr>
                  <w:tcW w:w="1827" w:type="dxa"/>
                  <w:shd w:val="clear" w:color="auto" w:fill="E7E6E6" w:themeFill="background2"/>
                  <w:vAlign w:val="center"/>
                </w:tcPr>
                <w:p w14:paraId="2A057922">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5" w:type="dxa"/>
                  <w:shd w:val="clear" w:color="auto" w:fill="E7E6E6" w:themeFill="background2"/>
                  <w:vAlign w:val="center"/>
                </w:tcPr>
                <w:p w14:paraId="6A814622">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3696BAE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45</w:t>
                  </w:r>
                </w:p>
              </w:tc>
              <w:tc>
                <w:tcPr>
                  <w:tcW w:w="715" w:type="dxa"/>
                  <w:shd w:val="clear" w:color="auto" w:fill="auto"/>
                  <w:vAlign w:val="center"/>
                </w:tcPr>
                <w:p w14:paraId="3675DE7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41</w:t>
                  </w:r>
                </w:p>
              </w:tc>
              <w:tc>
                <w:tcPr>
                  <w:tcW w:w="654" w:type="dxa"/>
                  <w:vMerge w:val="continue"/>
                  <w:vAlign w:val="center"/>
                </w:tcPr>
                <w:p w14:paraId="739E186D">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684" w:type="dxa"/>
                  <w:vMerge w:val="continue"/>
                  <w:vAlign w:val="center"/>
                </w:tcPr>
                <w:p w14:paraId="69F63F51">
                  <w:pPr>
                    <w:adjustRightInd w:val="0"/>
                    <w:snapToGrid w:val="0"/>
                    <w:jc w:val="center"/>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p>
              </w:tc>
            </w:tr>
            <w:tr w14:paraId="1A7CA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shd w:val="clear" w:color="auto" w:fill="auto"/>
                  <w:vAlign w:val="center"/>
                </w:tcPr>
                <w:p w14:paraId="7790E208">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11</w:t>
                  </w:r>
                </w:p>
              </w:tc>
              <w:tc>
                <w:tcPr>
                  <w:tcW w:w="708" w:type="dxa"/>
                  <w:vMerge w:val="continue"/>
                  <w:vAlign w:val="center"/>
                </w:tcPr>
                <w:p w14:paraId="582EF1D0">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1854" w:type="dxa"/>
                  <w:vMerge w:val="continue"/>
                  <w:shd w:val="clear" w:color="auto" w:fill="E7E6E6" w:themeFill="background2"/>
                  <w:vAlign w:val="center"/>
                </w:tcPr>
                <w:p w14:paraId="14EBB434">
                  <w:pPr>
                    <w:adjustRightInd w:val="0"/>
                    <w:snapToGrid w:val="0"/>
                    <w:jc w:val="both"/>
                    <w:outlineLvl w:val="9"/>
                    <w:rPr>
                      <w:rFonts w:hint="eastAsia" w:ascii="Times New Roman" w:hAnsi="Times New Roman" w:eastAsia="宋体"/>
                      <w:color w:val="000000" w:themeColor="text1"/>
                      <w:spacing w:val="0"/>
                      <w:sz w:val="21"/>
                      <w:szCs w:val="21"/>
                      <w:lang w:val="en-US" w:eastAsia="zh-CN"/>
                      <w14:textFill>
                        <w14:solidFill>
                          <w14:schemeClr w14:val="tx1"/>
                        </w14:solidFill>
                      </w14:textFill>
                    </w:rPr>
                  </w:pPr>
                </w:p>
              </w:tc>
              <w:tc>
                <w:tcPr>
                  <w:tcW w:w="1827" w:type="dxa"/>
                  <w:shd w:val="clear" w:color="auto" w:fill="E7E6E6" w:themeFill="background2"/>
                  <w:vAlign w:val="center"/>
                </w:tcPr>
                <w:p w14:paraId="39751D91">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5" w:type="dxa"/>
                  <w:shd w:val="clear" w:color="auto" w:fill="E7E6E6" w:themeFill="background2"/>
                  <w:vAlign w:val="center"/>
                </w:tcPr>
                <w:p w14:paraId="13E520FF">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03CE915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44</w:t>
                  </w:r>
                </w:p>
              </w:tc>
              <w:tc>
                <w:tcPr>
                  <w:tcW w:w="715" w:type="dxa"/>
                  <w:shd w:val="clear" w:color="auto" w:fill="auto"/>
                  <w:vAlign w:val="center"/>
                </w:tcPr>
                <w:p w14:paraId="1944BB7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41</w:t>
                  </w:r>
                </w:p>
              </w:tc>
              <w:tc>
                <w:tcPr>
                  <w:tcW w:w="654" w:type="dxa"/>
                  <w:vMerge w:val="continue"/>
                  <w:vAlign w:val="center"/>
                </w:tcPr>
                <w:p w14:paraId="1DC76497">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684" w:type="dxa"/>
                  <w:vMerge w:val="continue"/>
                  <w:vAlign w:val="center"/>
                </w:tcPr>
                <w:p w14:paraId="782A02C8">
                  <w:pPr>
                    <w:adjustRightInd w:val="0"/>
                    <w:snapToGrid w:val="0"/>
                    <w:jc w:val="center"/>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p>
              </w:tc>
            </w:tr>
            <w:tr w14:paraId="77E17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shd w:val="clear" w:color="auto" w:fill="auto"/>
                  <w:vAlign w:val="center"/>
                </w:tcPr>
                <w:p w14:paraId="6050A8F9">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12</w:t>
                  </w:r>
                </w:p>
              </w:tc>
              <w:tc>
                <w:tcPr>
                  <w:tcW w:w="708" w:type="dxa"/>
                  <w:vMerge w:val="continue"/>
                  <w:vAlign w:val="center"/>
                </w:tcPr>
                <w:p w14:paraId="3B0E7E42">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1854" w:type="dxa"/>
                  <w:vMerge w:val="continue"/>
                  <w:shd w:val="clear" w:color="auto" w:fill="E7E6E6" w:themeFill="background2"/>
                  <w:vAlign w:val="center"/>
                </w:tcPr>
                <w:p w14:paraId="1EFD7444">
                  <w:pPr>
                    <w:adjustRightInd w:val="0"/>
                    <w:snapToGrid w:val="0"/>
                    <w:jc w:val="both"/>
                    <w:outlineLvl w:val="9"/>
                    <w:rPr>
                      <w:rFonts w:hint="eastAsia" w:ascii="Times New Roman" w:hAnsi="Times New Roman" w:eastAsia="宋体"/>
                      <w:color w:val="000000" w:themeColor="text1"/>
                      <w:spacing w:val="0"/>
                      <w:sz w:val="21"/>
                      <w:szCs w:val="21"/>
                      <w:lang w:val="en-US" w:eastAsia="zh-CN"/>
                      <w14:textFill>
                        <w14:solidFill>
                          <w14:schemeClr w14:val="tx1"/>
                        </w14:solidFill>
                      </w14:textFill>
                    </w:rPr>
                  </w:pPr>
                </w:p>
              </w:tc>
              <w:tc>
                <w:tcPr>
                  <w:tcW w:w="1827" w:type="dxa"/>
                  <w:shd w:val="clear" w:color="auto" w:fill="E7E6E6" w:themeFill="background2"/>
                  <w:vAlign w:val="center"/>
                </w:tcPr>
                <w:p w14:paraId="3FACD7D9">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915" w:type="dxa"/>
                  <w:shd w:val="clear" w:color="auto" w:fill="E7E6E6" w:themeFill="background2"/>
                  <w:vAlign w:val="center"/>
                </w:tcPr>
                <w:p w14:paraId="0EC8BB03">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6C5774F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44</w:t>
                  </w:r>
                </w:p>
              </w:tc>
              <w:tc>
                <w:tcPr>
                  <w:tcW w:w="715" w:type="dxa"/>
                  <w:shd w:val="clear" w:color="auto" w:fill="auto"/>
                  <w:vAlign w:val="center"/>
                </w:tcPr>
                <w:p w14:paraId="0311C121">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42</w:t>
                  </w:r>
                </w:p>
              </w:tc>
              <w:tc>
                <w:tcPr>
                  <w:tcW w:w="654" w:type="dxa"/>
                  <w:vMerge w:val="continue"/>
                  <w:vAlign w:val="center"/>
                </w:tcPr>
                <w:p w14:paraId="3B666270">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684" w:type="dxa"/>
                  <w:vMerge w:val="continue"/>
                  <w:vAlign w:val="center"/>
                </w:tcPr>
                <w:p w14:paraId="326E46BB">
                  <w:pPr>
                    <w:adjustRightInd w:val="0"/>
                    <w:snapToGrid w:val="0"/>
                    <w:jc w:val="center"/>
                    <w:outlineLvl w:val="9"/>
                    <w:rPr>
                      <w:rFonts w:hint="eastAsia" w:ascii="Times New Roman" w:hAnsi="Times New Roman" w:eastAsia="宋体"/>
                      <w:bCs/>
                      <w:color w:val="000000" w:themeColor="text1"/>
                      <w:spacing w:val="0"/>
                      <w:sz w:val="21"/>
                      <w:szCs w:val="21"/>
                      <w:highlight w:val="none"/>
                      <w:lang w:val="en-US" w:eastAsia="zh-CN"/>
                      <w14:textFill>
                        <w14:solidFill>
                          <w14:schemeClr w14:val="tx1"/>
                        </w14:solidFill>
                      </w14:textFill>
                    </w:rPr>
                  </w:pPr>
                </w:p>
              </w:tc>
            </w:tr>
            <w:tr w14:paraId="53218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shd w:val="clear" w:color="auto" w:fill="auto"/>
                  <w:vAlign w:val="center"/>
                </w:tcPr>
                <w:p w14:paraId="449BEC6A">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13</w:t>
                  </w:r>
                </w:p>
              </w:tc>
              <w:tc>
                <w:tcPr>
                  <w:tcW w:w="708" w:type="dxa"/>
                  <w:vMerge w:val="continue"/>
                  <w:vAlign w:val="center"/>
                </w:tcPr>
                <w:p w14:paraId="13BA8ED1">
                  <w:pPr>
                    <w:adjustRightInd w:val="0"/>
                    <w:snapToGrid w:val="0"/>
                    <w:jc w:val="center"/>
                    <w:outlineLvl w:val="9"/>
                    <w:rPr>
                      <w:rFonts w:hint="default" w:ascii="Times New Roman" w:hAnsi="Times New Roman" w:eastAsia="宋体"/>
                      <w:color w:val="000000" w:themeColor="text1"/>
                      <w:spacing w:val="0"/>
                      <w:kern w:val="0"/>
                      <w:sz w:val="21"/>
                      <w:szCs w:val="21"/>
                      <w:highlight w:val="yellow"/>
                      <w:lang w:val="en-US"/>
                      <w14:textFill>
                        <w14:solidFill>
                          <w14:schemeClr w14:val="tx1"/>
                        </w14:solidFill>
                      </w14:textFill>
                    </w:rPr>
                  </w:pPr>
                </w:p>
              </w:tc>
              <w:tc>
                <w:tcPr>
                  <w:tcW w:w="1854" w:type="dxa"/>
                  <w:vMerge w:val="restart"/>
                  <w:vAlign w:val="center"/>
                </w:tcPr>
                <w:p w14:paraId="3B85BA13">
                  <w:pPr>
                    <w:adjustRightInd w:val="0"/>
                    <w:snapToGrid w:val="0"/>
                    <w:jc w:val="center"/>
                    <w:outlineLvl w:val="9"/>
                    <w:rPr>
                      <w:rFonts w:hint="eastAsia" w:ascii="Times New Roman" w:hAnsi="Times New Roman" w:eastAsia="宋体"/>
                      <w:color w:val="000000" w:themeColor="text1"/>
                      <w:spacing w:val="0"/>
                      <w:kern w:val="0"/>
                      <w:sz w:val="21"/>
                      <w:szCs w:val="21"/>
                      <w:highlight w:val="yellow"/>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申庄～黄铎堡改接清水河变电站110kV线路</w:t>
                  </w:r>
                  <w:r>
                    <w:rPr>
                      <w:rFonts w:hint="eastAsia" w:ascii="Times New Roman" w:hAnsi="Times New Roman" w:eastAsia="宋体"/>
                      <w:color w:val="000000" w:themeColor="text1"/>
                      <w:spacing w:val="0"/>
                      <w:sz w:val="21"/>
                      <w:szCs w:val="21"/>
                      <w:lang w:eastAsia="zh-CN"/>
                      <w14:textFill>
                        <w14:solidFill>
                          <w14:schemeClr w14:val="tx1"/>
                        </w14:solidFill>
                      </w14:textFill>
                    </w:rPr>
                    <w:t>（</w:t>
                  </w:r>
                  <w:r>
                    <w:rPr>
                      <w:rFonts w:hint="eastAsia" w:ascii="Times New Roman" w:hAnsi="Times New Roman" w:eastAsia="宋体"/>
                      <w:color w:val="000000" w:themeColor="text1"/>
                      <w:spacing w:val="0"/>
                      <w:sz w:val="21"/>
                      <w:szCs w:val="21"/>
                      <w:lang w:val="en-US" w:eastAsia="zh-CN"/>
                      <w14:textFill>
                        <w14:solidFill>
                          <w14:schemeClr w14:val="tx1"/>
                        </w14:solidFill>
                      </w14:textFill>
                    </w:rPr>
                    <w:t>架空段</w:t>
                  </w:r>
                  <w:r>
                    <w:rPr>
                      <w:rFonts w:hint="eastAsia" w:ascii="Times New Roman" w:hAnsi="Times New Roman" w:eastAsia="宋体"/>
                      <w:color w:val="000000" w:themeColor="text1"/>
                      <w:spacing w:val="0"/>
                      <w:sz w:val="21"/>
                      <w:szCs w:val="21"/>
                      <w:lang w:eastAsia="zh-CN"/>
                      <w14:textFill>
                        <w14:solidFill>
                          <w14:schemeClr w14:val="tx1"/>
                        </w14:solidFill>
                      </w14:textFill>
                    </w:rPr>
                    <w:t>）</w:t>
                  </w:r>
                </w:p>
              </w:tc>
              <w:tc>
                <w:tcPr>
                  <w:tcW w:w="1827" w:type="dxa"/>
                  <w:vAlign w:val="center"/>
                </w:tcPr>
                <w:p w14:paraId="188B4D20">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拟建线路路径处1</w:t>
                  </w:r>
                </w:p>
              </w:tc>
              <w:tc>
                <w:tcPr>
                  <w:tcW w:w="915" w:type="dxa"/>
                  <w:vAlign w:val="center"/>
                </w:tcPr>
                <w:p w14:paraId="67507187">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433C903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42</w:t>
                  </w:r>
                </w:p>
              </w:tc>
              <w:tc>
                <w:tcPr>
                  <w:tcW w:w="715" w:type="dxa"/>
                  <w:shd w:val="clear" w:color="auto" w:fill="auto"/>
                  <w:vAlign w:val="center"/>
                </w:tcPr>
                <w:p w14:paraId="05A09E9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40</w:t>
                  </w:r>
                </w:p>
              </w:tc>
              <w:tc>
                <w:tcPr>
                  <w:tcW w:w="654" w:type="dxa"/>
                  <w:vMerge w:val="continue"/>
                  <w:vAlign w:val="center"/>
                </w:tcPr>
                <w:p w14:paraId="414035A6">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684" w:type="dxa"/>
                  <w:vMerge w:val="continue"/>
                  <w:vAlign w:val="center"/>
                </w:tcPr>
                <w:p w14:paraId="4C8A792A">
                  <w:pPr>
                    <w:adjustRightInd w:val="0"/>
                    <w:snapToGrid w:val="0"/>
                    <w:jc w:val="center"/>
                    <w:outlineLvl w:val="9"/>
                    <w:rPr>
                      <w:rFonts w:hint="default" w:ascii="Times New Roman" w:hAnsi="Times New Roman" w:eastAsia="宋体"/>
                      <w:bCs/>
                      <w:color w:val="000000" w:themeColor="text1"/>
                      <w:spacing w:val="0"/>
                      <w:sz w:val="21"/>
                      <w:szCs w:val="21"/>
                      <w:highlight w:val="none"/>
                      <w:lang w:val="en-US" w:eastAsia="zh-CN"/>
                      <w14:textFill>
                        <w14:solidFill>
                          <w14:schemeClr w14:val="tx1"/>
                        </w14:solidFill>
                      </w14:textFill>
                    </w:rPr>
                  </w:pPr>
                </w:p>
              </w:tc>
            </w:tr>
            <w:tr w14:paraId="3F156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shd w:val="clear" w:color="auto" w:fill="auto"/>
                  <w:vAlign w:val="center"/>
                </w:tcPr>
                <w:p w14:paraId="3A86A5DF">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t>14</w:t>
                  </w:r>
                </w:p>
              </w:tc>
              <w:tc>
                <w:tcPr>
                  <w:tcW w:w="708" w:type="dxa"/>
                  <w:vMerge w:val="continue"/>
                  <w:vAlign w:val="center"/>
                </w:tcPr>
                <w:p w14:paraId="468839B9">
                  <w:pPr>
                    <w:adjustRightInd w:val="0"/>
                    <w:snapToGrid w:val="0"/>
                    <w:jc w:val="center"/>
                    <w:outlineLvl w:val="9"/>
                    <w:rPr>
                      <w:rFonts w:hint="eastAsia" w:ascii="Times New Roman" w:hAnsi="Times New Roman" w:eastAsia="宋体"/>
                      <w:color w:val="000000" w:themeColor="text1"/>
                      <w:spacing w:val="0"/>
                      <w:kern w:val="0"/>
                      <w:sz w:val="21"/>
                      <w:szCs w:val="21"/>
                      <w:highlight w:val="yellow"/>
                      <w14:textFill>
                        <w14:solidFill>
                          <w14:schemeClr w14:val="tx1"/>
                        </w14:solidFill>
                      </w14:textFill>
                    </w:rPr>
                  </w:pPr>
                </w:p>
              </w:tc>
              <w:tc>
                <w:tcPr>
                  <w:tcW w:w="1854" w:type="dxa"/>
                  <w:vMerge w:val="continue"/>
                  <w:vAlign w:val="center"/>
                </w:tcPr>
                <w:p w14:paraId="01AA337A">
                  <w:pPr>
                    <w:adjustRightInd w:val="0"/>
                    <w:snapToGrid w:val="0"/>
                    <w:jc w:val="center"/>
                    <w:outlineLvl w:val="9"/>
                    <w:rPr>
                      <w:rFonts w:hint="eastAsia" w:ascii="Times New Roman" w:hAnsi="Times New Roman" w:eastAsia="宋体"/>
                      <w:color w:val="000000" w:themeColor="text1"/>
                      <w:spacing w:val="0"/>
                      <w:kern w:val="0"/>
                      <w:sz w:val="21"/>
                      <w:szCs w:val="21"/>
                      <w:highlight w:val="yellow"/>
                      <w14:textFill>
                        <w14:solidFill>
                          <w14:schemeClr w14:val="tx1"/>
                        </w14:solidFill>
                      </w14:textFill>
                    </w:rPr>
                  </w:pPr>
                </w:p>
              </w:tc>
              <w:tc>
                <w:tcPr>
                  <w:tcW w:w="1827" w:type="dxa"/>
                  <w:vAlign w:val="center"/>
                </w:tcPr>
                <w:p w14:paraId="57153AC0">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拟建线路路径处2</w:t>
                  </w:r>
                </w:p>
              </w:tc>
              <w:tc>
                <w:tcPr>
                  <w:tcW w:w="915" w:type="dxa"/>
                  <w:vAlign w:val="center"/>
                </w:tcPr>
                <w:p w14:paraId="527368AA">
                  <w:pPr>
                    <w:adjustRightInd w:val="0"/>
                    <w:snapToGrid w:val="0"/>
                    <w:jc w:val="center"/>
                    <w:outlineLvl w:val="9"/>
                    <w:rPr>
                      <w:rFonts w:ascii="Times New Roman" w:hAnsi="Times New Roman" w:eastAsia="宋体"/>
                      <w:color w:val="000000" w:themeColor="text1"/>
                      <w:spacing w:val="0"/>
                      <w:kern w:val="0"/>
                      <w:sz w:val="21"/>
                      <w:szCs w:val="21"/>
                      <w:highlight w:val="none"/>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4E19D0B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48</w:t>
                  </w:r>
                </w:p>
              </w:tc>
              <w:tc>
                <w:tcPr>
                  <w:tcW w:w="715" w:type="dxa"/>
                  <w:shd w:val="clear" w:color="auto" w:fill="auto"/>
                  <w:vAlign w:val="center"/>
                </w:tcPr>
                <w:p w14:paraId="025574B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44</w:t>
                  </w:r>
                </w:p>
              </w:tc>
              <w:tc>
                <w:tcPr>
                  <w:tcW w:w="654" w:type="dxa"/>
                  <w:vMerge w:val="continue"/>
                  <w:vAlign w:val="center"/>
                </w:tcPr>
                <w:p w14:paraId="28DD3A24">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684" w:type="dxa"/>
                  <w:vMerge w:val="continue"/>
                  <w:vAlign w:val="center"/>
                </w:tcPr>
                <w:p w14:paraId="72AEE3C4">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r>
            <w:tr w14:paraId="7F636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shd w:val="clear" w:color="auto" w:fill="auto"/>
                  <w:vAlign w:val="center"/>
                </w:tcPr>
                <w:p w14:paraId="462D8BB2">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15</w:t>
                  </w:r>
                </w:p>
              </w:tc>
              <w:tc>
                <w:tcPr>
                  <w:tcW w:w="708" w:type="dxa"/>
                  <w:vMerge w:val="continue"/>
                  <w:vAlign w:val="center"/>
                </w:tcPr>
                <w:p w14:paraId="6D32A7A6">
                  <w:pPr>
                    <w:adjustRightInd w:val="0"/>
                    <w:snapToGrid w:val="0"/>
                    <w:jc w:val="center"/>
                    <w:outlineLvl w:val="9"/>
                    <w:rPr>
                      <w:rFonts w:hint="eastAsia" w:ascii="Times New Roman" w:hAnsi="Times New Roman" w:eastAsia="宋体"/>
                      <w:color w:val="000000" w:themeColor="text1"/>
                      <w:spacing w:val="0"/>
                      <w:kern w:val="0"/>
                      <w:sz w:val="21"/>
                      <w:szCs w:val="21"/>
                      <w:highlight w:val="yellow"/>
                      <w14:textFill>
                        <w14:solidFill>
                          <w14:schemeClr w14:val="tx1"/>
                        </w14:solidFill>
                      </w14:textFill>
                    </w:rPr>
                  </w:pPr>
                </w:p>
              </w:tc>
              <w:tc>
                <w:tcPr>
                  <w:tcW w:w="1854" w:type="dxa"/>
                  <w:vAlign w:val="center"/>
                </w:tcPr>
                <w:p w14:paraId="56E125EB">
                  <w:pPr>
                    <w:adjustRightInd w:val="0"/>
                    <w:snapToGrid w:val="0"/>
                    <w:jc w:val="center"/>
                    <w:outlineLvl w:val="9"/>
                    <w:rPr>
                      <w:rFonts w:hint="eastAsia"/>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申庄～黄铎堡改接清水河变电站110kV线路</w:t>
                  </w:r>
                </w:p>
                <w:p w14:paraId="21D3E8CE">
                  <w:pPr>
                    <w:adjustRightInd w:val="0"/>
                    <w:snapToGrid w:val="0"/>
                    <w:jc w:val="center"/>
                    <w:outlineLvl w:val="9"/>
                    <w:rPr>
                      <w:rFonts w:hint="eastAsia" w:ascii="Times New Roman" w:hAnsi="Times New Roman" w:eastAsia="宋体"/>
                      <w:color w:val="000000" w:themeColor="text1"/>
                      <w:spacing w:val="0"/>
                      <w:kern w:val="0"/>
                      <w:sz w:val="21"/>
                      <w:szCs w:val="21"/>
                      <w:highlight w:val="yellow"/>
                      <w14:textFill>
                        <w14:solidFill>
                          <w14:schemeClr w14:val="tx1"/>
                        </w14:solidFill>
                      </w14:textFill>
                    </w:rPr>
                  </w:pPr>
                  <w:r>
                    <w:rPr>
                      <w:rFonts w:hint="eastAsia" w:ascii="Times New Roman" w:hAnsi="Times New Roman" w:eastAsia="宋体"/>
                      <w:color w:val="000000" w:themeColor="text1"/>
                      <w:spacing w:val="0"/>
                      <w:sz w:val="21"/>
                      <w:szCs w:val="21"/>
                      <w:lang w:eastAsia="zh-CN"/>
                      <w14:textFill>
                        <w14:solidFill>
                          <w14:schemeClr w14:val="tx1"/>
                        </w14:solidFill>
                      </w14:textFill>
                    </w:rPr>
                    <w:t>（</w:t>
                  </w:r>
                  <w:r>
                    <w:rPr>
                      <w:rFonts w:hint="eastAsia" w:ascii="Times New Roman" w:hAnsi="Times New Roman" w:eastAsia="宋体"/>
                      <w:color w:val="000000" w:themeColor="text1"/>
                      <w:spacing w:val="0"/>
                      <w:sz w:val="21"/>
                      <w:szCs w:val="21"/>
                      <w:lang w:val="en-US" w:eastAsia="zh-CN"/>
                      <w14:textFill>
                        <w14:solidFill>
                          <w14:schemeClr w14:val="tx1"/>
                        </w14:solidFill>
                      </w14:textFill>
                    </w:rPr>
                    <w:t>电缆段</w:t>
                  </w:r>
                  <w:r>
                    <w:rPr>
                      <w:rFonts w:hint="eastAsia" w:ascii="Times New Roman" w:hAnsi="Times New Roman" w:eastAsia="宋体"/>
                      <w:color w:val="000000" w:themeColor="text1"/>
                      <w:spacing w:val="0"/>
                      <w:sz w:val="21"/>
                      <w:szCs w:val="21"/>
                      <w:lang w:eastAsia="zh-CN"/>
                      <w14:textFill>
                        <w14:solidFill>
                          <w14:schemeClr w14:val="tx1"/>
                        </w14:solidFill>
                      </w14:textFill>
                    </w:rPr>
                    <w:t>）</w:t>
                  </w:r>
                </w:p>
              </w:tc>
              <w:tc>
                <w:tcPr>
                  <w:tcW w:w="1827" w:type="dxa"/>
                  <w:vAlign w:val="center"/>
                </w:tcPr>
                <w:p w14:paraId="15D8430E">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color w:val="000000" w:themeColor="text1"/>
                      <w:spacing w:val="0"/>
                      <w:kern w:val="0"/>
                      <w:sz w:val="21"/>
                      <w:szCs w:val="21"/>
                      <w:highlight w:val="none"/>
                      <w:lang w:val="en-US" w:eastAsia="zh-CN"/>
                      <w14:textFill>
                        <w14:solidFill>
                          <w14:schemeClr w14:val="tx1"/>
                        </w14:solidFill>
                      </w14:textFill>
                    </w:rPr>
                    <w:t>/</w:t>
                  </w:r>
                </w:p>
              </w:tc>
              <w:tc>
                <w:tcPr>
                  <w:tcW w:w="915" w:type="dxa"/>
                  <w:shd w:val="clear" w:color="auto" w:fill="auto"/>
                  <w:vAlign w:val="center"/>
                </w:tcPr>
                <w:p w14:paraId="2C468A50">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olor w:val="000000" w:themeColor="text1"/>
                      <w:spacing w:val="0"/>
                      <w:kern w:val="0"/>
                      <w:sz w:val="21"/>
                      <w:szCs w:val="21"/>
                      <w:highlight w:val="none"/>
                      <w:lang w:val="en-US" w:eastAsia="zh-CN"/>
                      <w14:textFill>
                        <w14:solidFill>
                          <w14:schemeClr w14:val="tx1"/>
                        </w14:solidFill>
                      </w14:textFill>
                    </w:rPr>
                    <w:t>/</w:t>
                  </w:r>
                </w:p>
              </w:tc>
              <w:tc>
                <w:tcPr>
                  <w:tcW w:w="750" w:type="dxa"/>
                  <w:shd w:val="clear" w:color="auto" w:fill="auto"/>
                  <w:vAlign w:val="center"/>
                </w:tcPr>
                <w:p w14:paraId="0879900A">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w:t>
                  </w:r>
                </w:p>
              </w:tc>
              <w:tc>
                <w:tcPr>
                  <w:tcW w:w="715" w:type="dxa"/>
                  <w:shd w:val="clear" w:color="auto" w:fill="auto"/>
                  <w:vAlign w:val="center"/>
                </w:tcPr>
                <w:p w14:paraId="608144C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w:t>
                  </w:r>
                </w:p>
              </w:tc>
              <w:tc>
                <w:tcPr>
                  <w:tcW w:w="654" w:type="dxa"/>
                  <w:vMerge w:val="continue"/>
                  <w:vAlign w:val="center"/>
                </w:tcPr>
                <w:p w14:paraId="7297C698">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684" w:type="dxa"/>
                  <w:vMerge w:val="continue"/>
                  <w:vAlign w:val="center"/>
                </w:tcPr>
                <w:p w14:paraId="4C4FFAEC">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r>
            <w:tr w14:paraId="20CAE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shd w:val="clear" w:color="auto" w:fill="auto"/>
                  <w:vAlign w:val="center"/>
                </w:tcPr>
                <w:p w14:paraId="4DC253E9">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16</w:t>
                  </w:r>
                </w:p>
              </w:tc>
              <w:tc>
                <w:tcPr>
                  <w:tcW w:w="708" w:type="dxa"/>
                  <w:vMerge w:val="continue"/>
                  <w:vAlign w:val="center"/>
                </w:tcPr>
                <w:p w14:paraId="430F4825">
                  <w:pPr>
                    <w:adjustRightInd w:val="0"/>
                    <w:snapToGrid w:val="0"/>
                    <w:jc w:val="center"/>
                    <w:outlineLvl w:val="9"/>
                    <w:rPr>
                      <w:rFonts w:hint="eastAsia" w:ascii="Times New Roman" w:hAnsi="Times New Roman" w:eastAsia="宋体"/>
                      <w:color w:val="000000" w:themeColor="text1"/>
                      <w:spacing w:val="0"/>
                      <w:kern w:val="0"/>
                      <w:sz w:val="21"/>
                      <w:szCs w:val="21"/>
                      <w:highlight w:val="yellow"/>
                      <w14:textFill>
                        <w14:solidFill>
                          <w14:schemeClr w14:val="tx1"/>
                        </w14:solidFill>
                      </w14:textFill>
                    </w:rPr>
                  </w:pPr>
                </w:p>
              </w:tc>
              <w:tc>
                <w:tcPr>
                  <w:tcW w:w="1854" w:type="dxa"/>
                  <w:vAlign w:val="center"/>
                </w:tcPr>
                <w:p w14:paraId="066FF882">
                  <w:pPr>
                    <w:adjustRightInd w:val="0"/>
                    <w:snapToGrid w:val="0"/>
                    <w:jc w:val="center"/>
                    <w:outlineLvl w:val="9"/>
                    <w:rPr>
                      <w:rFonts w:hint="eastAsia" w:ascii="Times New Roman" w:hAnsi="Times New Roman" w:eastAsia="宋体"/>
                      <w:color w:val="000000" w:themeColor="text1"/>
                      <w:spacing w:val="0"/>
                      <w:sz w:val="21"/>
                      <w:szCs w:val="21"/>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清水河~申庄改接绿塬变电站110kV线路</w:t>
                  </w:r>
                  <w:r>
                    <w:rPr>
                      <w:rFonts w:hint="eastAsia" w:ascii="Times New Roman" w:hAnsi="Times New Roman" w:eastAsia="宋体"/>
                      <w:color w:val="000000" w:themeColor="text1"/>
                      <w:spacing w:val="0"/>
                      <w:sz w:val="21"/>
                      <w:szCs w:val="21"/>
                      <w:lang w:eastAsia="zh-CN"/>
                      <w14:textFill>
                        <w14:solidFill>
                          <w14:schemeClr w14:val="tx1"/>
                        </w14:solidFill>
                      </w14:textFill>
                    </w:rPr>
                    <w:t>（</w:t>
                  </w:r>
                  <w:r>
                    <w:rPr>
                      <w:rFonts w:hint="eastAsia" w:ascii="Times New Roman" w:hAnsi="Times New Roman" w:eastAsia="宋体"/>
                      <w:color w:val="000000" w:themeColor="text1"/>
                      <w:spacing w:val="0"/>
                      <w:sz w:val="21"/>
                      <w:szCs w:val="21"/>
                      <w:lang w:val="en-US" w:eastAsia="zh-CN"/>
                      <w14:textFill>
                        <w14:solidFill>
                          <w14:schemeClr w14:val="tx1"/>
                        </w14:solidFill>
                      </w14:textFill>
                    </w:rPr>
                    <w:t>架空段</w:t>
                  </w:r>
                  <w:r>
                    <w:rPr>
                      <w:rFonts w:hint="eastAsia" w:ascii="Times New Roman" w:hAnsi="Times New Roman" w:eastAsia="宋体"/>
                      <w:color w:val="000000" w:themeColor="text1"/>
                      <w:spacing w:val="0"/>
                      <w:sz w:val="21"/>
                      <w:szCs w:val="21"/>
                      <w:lang w:eastAsia="zh-CN"/>
                      <w14:textFill>
                        <w14:solidFill>
                          <w14:schemeClr w14:val="tx1"/>
                        </w14:solidFill>
                      </w14:textFill>
                    </w:rPr>
                    <w:t>）</w:t>
                  </w:r>
                </w:p>
              </w:tc>
              <w:tc>
                <w:tcPr>
                  <w:tcW w:w="1827" w:type="dxa"/>
                  <w:vAlign w:val="center"/>
                </w:tcPr>
                <w:p w14:paraId="5A2A8167">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拟建线路路径处1</w:t>
                  </w:r>
                </w:p>
              </w:tc>
              <w:tc>
                <w:tcPr>
                  <w:tcW w:w="915" w:type="dxa"/>
                  <w:shd w:val="clear" w:color="auto" w:fill="auto"/>
                  <w:vAlign w:val="center"/>
                </w:tcPr>
                <w:p w14:paraId="2FE5FB68">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14:textFill>
                        <w14:solidFill>
                          <w14:schemeClr w14:val="tx1"/>
                        </w14:solidFill>
                      </w14:textFill>
                    </w:rPr>
                    <w:t>1.5</w:t>
                  </w:r>
                </w:p>
              </w:tc>
              <w:tc>
                <w:tcPr>
                  <w:tcW w:w="750" w:type="dxa"/>
                  <w:shd w:val="clear" w:color="auto" w:fill="auto"/>
                  <w:vAlign w:val="center"/>
                </w:tcPr>
                <w:p w14:paraId="6A50FD8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40</w:t>
                  </w:r>
                </w:p>
              </w:tc>
              <w:tc>
                <w:tcPr>
                  <w:tcW w:w="715" w:type="dxa"/>
                  <w:shd w:val="clear" w:color="auto" w:fill="auto"/>
                  <w:vAlign w:val="center"/>
                </w:tcPr>
                <w:p w14:paraId="5FAC55F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38</w:t>
                  </w:r>
                </w:p>
              </w:tc>
              <w:tc>
                <w:tcPr>
                  <w:tcW w:w="654" w:type="dxa"/>
                  <w:vMerge w:val="continue"/>
                  <w:vAlign w:val="center"/>
                </w:tcPr>
                <w:p w14:paraId="4BD36292">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684" w:type="dxa"/>
                  <w:vMerge w:val="continue"/>
                  <w:vAlign w:val="center"/>
                </w:tcPr>
                <w:p w14:paraId="71796781">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r>
            <w:tr w14:paraId="046F2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dxa"/>
                  <w:shd w:val="clear" w:color="auto" w:fill="auto"/>
                  <w:vAlign w:val="center"/>
                </w:tcPr>
                <w:p w14:paraId="40EE8F5C">
                  <w:pPr>
                    <w:adjustRightInd w:val="0"/>
                    <w:snapToGrid w:val="0"/>
                    <w:jc w:val="center"/>
                    <w:outlineLvl w:val="9"/>
                    <w:rPr>
                      <w:rFonts w:hint="default"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17</w:t>
                  </w:r>
                </w:p>
              </w:tc>
              <w:tc>
                <w:tcPr>
                  <w:tcW w:w="708" w:type="dxa"/>
                  <w:vMerge w:val="continue"/>
                  <w:vAlign w:val="center"/>
                </w:tcPr>
                <w:p w14:paraId="0C9F1C45">
                  <w:pPr>
                    <w:adjustRightInd w:val="0"/>
                    <w:snapToGrid w:val="0"/>
                    <w:jc w:val="center"/>
                    <w:outlineLvl w:val="9"/>
                    <w:rPr>
                      <w:rFonts w:hint="eastAsia" w:ascii="Times New Roman" w:hAnsi="Times New Roman" w:eastAsia="宋体"/>
                      <w:color w:val="000000" w:themeColor="text1"/>
                      <w:spacing w:val="0"/>
                      <w:kern w:val="0"/>
                      <w:sz w:val="21"/>
                      <w:szCs w:val="21"/>
                      <w:highlight w:val="yellow"/>
                      <w14:textFill>
                        <w14:solidFill>
                          <w14:schemeClr w14:val="tx1"/>
                        </w14:solidFill>
                      </w14:textFill>
                    </w:rPr>
                  </w:pPr>
                </w:p>
              </w:tc>
              <w:tc>
                <w:tcPr>
                  <w:tcW w:w="1854" w:type="dxa"/>
                  <w:vAlign w:val="center"/>
                </w:tcPr>
                <w:p w14:paraId="387D0958">
                  <w:pPr>
                    <w:adjustRightInd w:val="0"/>
                    <w:snapToGrid w:val="0"/>
                    <w:jc w:val="center"/>
                    <w:outlineLvl w:val="9"/>
                    <w:rPr>
                      <w:rFonts w:hint="eastAsia"/>
                      <w:color w:val="000000" w:themeColor="text1"/>
                      <w:spacing w:val="0"/>
                      <w:sz w:val="21"/>
                      <w:szCs w:val="21"/>
                      <w:lang w:eastAsia="zh-CN"/>
                      <w14:textFill>
                        <w14:solidFill>
                          <w14:schemeClr w14:val="tx1"/>
                        </w14:solidFill>
                      </w14:textFill>
                    </w:rPr>
                  </w:pPr>
                  <w:r>
                    <w:rPr>
                      <w:rFonts w:hint="eastAsia"/>
                      <w:color w:val="000000" w:themeColor="text1"/>
                      <w:spacing w:val="0"/>
                      <w:sz w:val="21"/>
                      <w:szCs w:val="21"/>
                      <w:lang w:eastAsia="zh-CN"/>
                      <w14:textFill>
                        <w14:solidFill>
                          <w14:schemeClr w14:val="tx1"/>
                        </w14:solidFill>
                      </w14:textFill>
                    </w:rPr>
                    <w:t>清水河~申庄改接绿塬变电站110kV线路</w:t>
                  </w:r>
                </w:p>
                <w:p w14:paraId="79894B1D">
                  <w:pPr>
                    <w:adjustRightInd w:val="0"/>
                    <w:snapToGrid w:val="0"/>
                    <w:jc w:val="center"/>
                    <w:outlineLvl w:val="9"/>
                    <w:rPr>
                      <w:rFonts w:hint="eastAsia" w:ascii="Times New Roman" w:hAnsi="Times New Roman" w:eastAsia="宋体"/>
                      <w:color w:val="000000" w:themeColor="text1"/>
                      <w:spacing w:val="0"/>
                      <w:sz w:val="21"/>
                      <w:szCs w:val="21"/>
                      <w14:textFill>
                        <w14:solidFill>
                          <w14:schemeClr w14:val="tx1"/>
                        </w14:solidFill>
                      </w14:textFill>
                    </w:rPr>
                  </w:pPr>
                  <w:r>
                    <w:rPr>
                      <w:rFonts w:hint="eastAsia" w:ascii="Times New Roman" w:hAnsi="Times New Roman" w:eastAsia="宋体"/>
                      <w:color w:val="000000" w:themeColor="text1"/>
                      <w:spacing w:val="0"/>
                      <w:sz w:val="21"/>
                      <w:szCs w:val="21"/>
                      <w:lang w:eastAsia="zh-CN"/>
                      <w14:textFill>
                        <w14:solidFill>
                          <w14:schemeClr w14:val="tx1"/>
                        </w14:solidFill>
                      </w14:textFill>
                    </w:rPr>
                    <w:t>（</w:t>
                  </w:r>
                  <w:r>
                    <w:rPr>
                      <w:rFonts w:hint="eastAsia" w:ascii="Times New Roman" w:hAnsi="Times New Roman" w:eastAsia="宋体"/>
                      <w:color w:val="000000" w:themeColor="text1"/>
                      <w:spacing w:val="0"/>
                      <w:sz w:val="21"/>
                      <w:szCs w:val="21"/>
                      <w:lang w:val="en-US" w:eastAsia="zh-CN"/>
                      <w14:textFill>
                        <w14:solidFill>
                          <w14:schemeClr w14:val="tx1"/>
                        </w14:solidFill>
                      </w14:textFill>
                    </w:rPr>
                    <w:t>电缆段</w:t>
                  </w:r>
                  <w:r>
                    <w:rPr>
                      <w:rFonts w:hint="eastAsia" w:ascii="Times New Roman" w:hAnsi="Times New Roman" w:eastAsia="宋体"/>
                      <w:color w:val="000000" w:themeColor="text1"/>
                      <w:spacing w:val="0"/>
                      <w:sz w:val="21"/>
                      <w:szCs w:val="21"/>
                      <w:lang w:eastAsia="zh-CN"/>
                      <w14:textFill>
                        <w14:solidFill>
                          <w14:schemeClr w14:val="tx1"/>
                        </w14:solidFill>
                      </w14:textFill>
                    </w:rPr>
                    <w:t>）</w:t>
                  </w:r>
                </w:p>
              </w:tc>
              <w:tc>
                <w:tcPr>
                  <w:tcW w:w="1827" w:type="dxa"/>
                  <w:vAlign w:val="center"/>
                </w:tcPr>
                <w:p w14:paraId="49BAA803">
                  <w:pPr>
                    <w:adjustRightInd w:val="0"/>
                    <w:snapToGrid w:val="0"/>
                    <w:jc w:val="center"/>
                    <w:outlineLvl w:val="9"/>
                    <w:rPr>
                      <w:rFonts w:hint="eastAsia" w:ascii="Times New Roman" w:hAnsi="Times New Roman" w:eastAsia="宋体"/>
                      <w:color w:val="000000" w:themeColor="text1"/>
                      <w:spacing w:val="0"/>
                      <w:kern w:val="0"/>
                      <w:sz w:val="21"/>
                      <w:szCs w:val="21"/>
                      <w:highlight w:val="yellow"/>
                      <w:lang w:val="en-US" w:eastAsia="zh-CN"/>
                      <w14:textFill>
                        <w14:solidFill>
                          <w14:schemeClr w14:val="tx1"/>
                        </w14:solidFill>
                      </w14:textFill>
                    </w:rPr>
                  </w:pPr>
                  <w:r>
                    <w:rPr>
                      <w:rFonts w:hint="eastAsia"/>
                      <w:color w:val="000000" w:themeColor="text1"/>
                      <w:spacing w:val="0"/>
                      <w:kern w:val="0"/>
                      <w:sz w:val="21"/>
                      <w:szCs w:val="21"/>
                      <w:highlight w:val="none"/>
                      <w:lang w:val="en-US" w:eastAsia="zh-CN"/>
                      <w14:textFill>
                        <w14:solidFill>
                          <w14:schemeClr w14:val="tx1"/>
                        </w14:solidFill>
                      </w14:textFill>
                    </w:rPr>
                    <w:t>/</w:t>
                  </w:r>
                </w:p>
              </w:tc>
              <w:tc>
                <w:tcPr>
                  <w:tcW w:w="915" w:type="dxa"/>
                  <w:shd w:val="clear" w:color="auto" w:fill="auto"/>
                  <w:vAlign w:val="center"/>
                </w:tcPr>
                <w:p w14:paraId="5827110F">
                  <w:pPr>
                    <w:adjustRightInd w:val="0"/>
                    <w:snapToGrid w:val="0"/>
                    <w:jc w:val="center"/>
                    <w:outlineLvl w:val="9"/>
                    <w:rPr>
                      <w:rFonts w:hint="eastAsia"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color w:val="000000" w:themeColor="text1"/>
                      <w:spacing w:val="0"/>
                      <w:kern w:val="0"/>
                      <w:sz w:val="21"/>
                      <w:szCs w:val="21"/>
                      <w:highlight w:val="none"/>
                      <w:lang w:val="en-US" w:eastAsia="zh-CN"/>
                      <w14:textFill>
                        <w14:solidFill>
                          <w14:schemeClr w14:val="tx1"/>
                        </w14:solidFill>
                      </w14:textFill>
                    </w:rPr>
                    <w:t>/</w:t>
                  </w:r>
                </w:p>
              </w:tc>
              <w:tc>
                <w:tcPr>
                  <w:tcW w:w="750" w:type="dxa"/>
                  <w:shd w:val="clear" w:color="auto" w:fill="auto"/>
                  <w:vAlign w:val="center"/>
                </w:tcPr>
                <w:p w14:paraId="0CE1F7A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
                      <w14:textFill>
                        <w14:solidFill>
                          <w14:schemeClr w14:val="tx1"/>
                        </w14:solidFill>
                      </w14:textFill>
                    </w:rPr>
                    <w:t>/</w:t>
                  </w:r>
                </w:p>
              </w:tc>
              <w:tc>
                <w:tcPr>
                  <w:tcW w:w="715" w:type="dxa"/>
                  <w:shd w:val="clear" w:color="auto" w:fill="auto"/>
                  <w:vAlign w:val="center"/>
                </w:tcPr>
                <w:p w14:paraId="0C4EE7C9">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w:t>
                  </w:r>
                </w:p>
              </w:tc>
              <w:tc>
                <w:tcPr>
                  <w:tcW w:w="654" w:type="dxa"/>
                  <w:vMerge w:val="continue"/>
                  <w:vAlign w:val="center"/>
                </w:tcPr>
                <w:p w14:paraId="518C8616">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c>
                <w:tcPr>
                  <w:tcW w:w="684" w:type="dxa"/>
                  <w:vMerge w:val="continue"/>
                  <w:vAlign w:val="center"/>
                </w:tcPr>
                <w:p w14:paraId="3BDA1B19">
                  <w:pPr>
                    <w:adjustRightInd w:val="0"/>
                    <w:snapToGrid w:val="0"/>
                    <w:jc w:val="center"/>
                    <w:outlineLvl w:val="9"/>
                    <w:rPr>
                      <w:rFonts w:hint="eastAsia" w:ascii="Times New Roman" w:hAnsi="Times New Roman" w:eastAsia="宋体"/>
                      <w:color w:val="000000" w:themeColor="text1"/>
                      <w:spacing w:val="0"/>
                      <w:kern w:val="0"/>
                      <w:sz w:val="21"/>
                      <w:szCs w:val="21"/>
                      <w:highlight w:val="none"/>
                      <w14:textFill>
                        <w14:solidFill>
                          <w14:schemeClr w14:val="tx1"/>
                        </w14:solidFill>
                      </w14:textFill>
                    </w:rPr>
                  </w:pPr>
                </w:p>
              </w:tc>
            </w:tr>
          </w:tbl>
          <w:p w14:paraId="5A2D4D86">
            <w:pPr>
              <w:adjustRightInd w:val="0"/>
              <w:snapToGrid w:val="0"/>
              <w:spacing w:line="360" w:lineRule="auto"/>
              <w:ind w:firstLine="482" w:firstLineChars="200"/>
              <w:jc w:val="right"/>
              <w:outlineLvl w:val="9"/>
              <w:rPr>
                <w:rFonts w:hint="eastAsia" w:ascii="Times New Roman" w:hAnsi="Times New Roman" w:eastAsia="宋体" w:cs="Times New Roman"/>
                <w:b/>
                <w:bCs/>
                <w:color w:val="000000" w:themeColor="text1"/>
                <w:spacing w:val="0"/>
                <w:kern w:val="0"/>
                <w:sz w:val="24"/>
                <w:highlight w:val="none"/>
                <w:lang w:eastAsia="zh-CN"/>
                <w14:textFill>
                  <w14:solidFill>
                    <w14:schemeClr w14:val="tx1"/>
                  </w14:solidFill>
                </w14:textFill>
              </w:rPr>
            </w:pPr>
          </w:p>
          <w:p w14:paraId="50CC43F2">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10）监测结果分析</w:t>
            </w:r>
          </w:p>
          <w:p w14:paraId="49150FD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000000" w:themeColor="text1"/>
                <w:spacing w:val="0"/>
                <w:sz w:val="24"/>
                <w:szCs w:val="24"/>
                <w14:textFill>
                  <w14:solidFill>
                    <w14:schemeClr w14:val="tx1"/>
                  </w14:solidFill>
                </w14:textFill>
              </w:rPr>
            </w:pPr>
            <w:r>
              <w:rPr>
                <w:rFonts w:hint="default" w:ascii="Times New Roman" w:hAnsi="Times New Roman" w:eastAsia="宋体" w:cs="Times New Roman"/>
                <w:color w:val="000000" w:themeColor="text1"/>
                <w:spacing w:val="0"/>
                <w:sz w:val="24"/>
                <w:szCs w:val="24"/>
                <w14:textFill>
                  <w14:solidFill>
                    <w14:schemeClr w14:val="tx1"/>
                  </w14:solidFill>
                </w14:textFill>
              </w:rPr>
              <w:t>拟建</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三岔变电站站界</w:t>
            </w:r>
            <w:r>
              <w:rPr>
                <w:rFonts w:hint="default" w:ascii="Times New Roman" w:hAnsi="Times New Roman" w:eastAsia="宋体" w:cs="Times New Roman"/>
                <w:color w:val="000000" w:themeColor="text1"/>
                <w:spacing w:val="0"/>
                <w:sz w:val="24"/>
                <w:szCs w:val="24"/>
                <w14:textFill>
                  <w14:solidFill>
                    <w14:schemeClr w14:val="tx1"/>
                  </w14:solidFill>
                </w14:textFill>
              </w:rPr>
              <w:t>处的噪声</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监测</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值</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昼间</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eastAsia" w:cs="Times New Roman"/>
                <w:color w:val="000000" w:themeColor="text1"/>
                <w:spacing w:val="0"/>
                <w:sz w:val="24"/>
                <w:szCs w:val="24"/>
                <w:highlight w:val="none"/>
                <w:lang w:val="en-US" w:eastAsia="zh-CN"/>
                <w14:textFill>
                  <w14:solidFill>
                    <w14:schemeClr w14:val="tx1"/>
                  </w14:solidFill>
                </w14:textFill>
              </w:rPr>
              <w:t>40-45</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dB(A)</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夜间</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eastAsia" w:cs="Times New Roman"/>
                <w:color w:val="000000" w:themeColor="text1"/>
                <w:spacing w:val="0"/>
                <w:sz w:val="24"/>
                <w:szCs w:val="24"/>
                <w:highlight w:val="none"/>
                <w:lang w:val="en-US" w:eastAsia="zh-CN"/>
                <w14:textFill>
                  <w14:solidFill>
                    <w14:schemeClr w14:val="tx1"/>
                  </w14:solidFill>
                </w14:textFill>
              </w:rPr>
              <w:t>38-42</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dB(A)</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。以上监测值均</w:t>
            </w:r>
            <w:r>
              <w:rPr>
                <w:rFonts w:hint="default" w:ascii="Times New Roman" w:hAnsi="Times New Roman" w:eastAsia="宋体" w:cs="Times New Roman"/>
                <w:color w:val="000000" w:themeColor="text1"/>
                <w:spacing w:val="0"/>
                <w:sz w:val="24"/>
                <w:szCs w:val="24"/>
                <w14:textFill>
                  <w14:solidFill>
                    <w14:schemeClr w14:val="tx1"/>
                  </w14:solidFill>
                </w14:textFill>
              </w:rPr>
              <w:t>低于《声环境质量标准》（GB3096-2008）</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14:textFill>
                  <w14:solidFill>
                    <w14:schemeClr w14:val="tx1"/>
                  </w14:solidFill>
                </w14:textFill>
              </w:rPr>
              <w:t>类标准，即：昼间6</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pacing w:val="0"/>
                <w:sz w:val="24"/>
                <w:szCs w:val="24"/>
                <w14:textFill>
                  <w14:solidFill>
                    <w14:schemeClr w14:val="tx1"/>
                  </w14:solidFill>
                </w14:textFill>
              </w:rPr>
              <w:t>dB(A)、夜间5</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pacing w:val="0"/>
                <w:sz w:val="24"/>
                <w:szCs w:val="24"/>
                <w14:textFill>
                  <w14:solidFill>
                    <w14:schemeClr w14:val="tx1"/>
                  </w14:solidFill>
                </w14:textFill>
              </w:rPr>
              <w:t>dB(A)。</w:t>
            </w:r>
          </w:p>
          <w:p w14:paraId="50A37BC2">
            <w:pPr>
              <w:spacing w:line="360" w:lineRule="auto"/>
              <w:ind w:firstLine="470" w:firstLineChars="196"/>
              <w:jc w:val="left"/>
              <w:outlineLvl w:val="9"/>
              <w:rPr>
                <w:rFonts w:ascii="Times New Roman" w:hAnsi="Times New Roman" w:eastAsia="宋体"/>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14:textFill>
                  <w14:solidFill>
                    <w14:schemeClr w14:val="tx1"/>
                  </w14:solidFill>
                </w14:textFill>
              </w:rPr>
              <w:t>拟建线路</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路径上</w:t>
            </w:r>
            <w:r>
              <w:rPr>
                <w:rFonts w:hint="default" w:ascii="Times New Roman" w:hAnsi="Times New Roman" w:eastAsia="宋体" w:cs="Times New Roman"/>
                <w:color w:val="000000" w:themeColor="text1"/>
                <w:spacing w:val="0"/>
                <w:sz w:val="24"/>
                <w:szCs w:val="24"/>
                <w14:textFill>
                  <w14:solidFill>
                    <w14:schemeClr w14:val="tx1"/>
                  </w14:solidFill>
                </w14:textFill>
              </w:rPr>
              <w:t>的噪声监测</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值昼间</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eastAsia" w:cs="Times New Roman"/>
                <w:color w:val="000000" w:themeColor="text1"/>
                <w:spacing w:val="0"/>
                <w:sz w:val="24"/>
                <w:szCs w:val="24"/>
                <w:highlight w:val="none"/>
                <w:lang w:val="en-US" w:eastAsia="zh-CN"/>
                <w14:textFill>
                  <w14:solidFill>
                    <w14:schemeClr w14:val="tx1"/>
                  </w14:solidFill>
                </w14:textFill>
              </w:rPr>
              <w:t>40-48</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dB(A)</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夜间</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eastAsia" w:cs="Times New Roman"/>
                <w:color w:val="000000" w:themeColor="text1"/>
                <w:spacing w:val="0"/>
                <w:sz w:val="24"/>
                <w:szCs w:val="24"/>
                <w:highlight w:val="none"/>
                <w:lang w:val="en-US" w:eastAsia="zh-CN"/>
                <w14:textFill>
                  <w14:solidFill>
                    <w14:schemeClr w14:val="tx1"/>
                  </w14:solidFill>
                </w14:textFill>
              </w:rPr>
              <w:t>38-44</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dB(A)</w:t>
            </w:r>
            <w:r>
              <w:rPr>
                <w:rFonts w:hint="eastAsia"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均</w:t>
            </w:r>
            <w:r>
              <w:rPr>
                <w:rFonts w:hint="eastAsia" w:ascii="Times New Roman" w:hAnsi="Times New Roman" w:eastAsia="宋体" w:cs="Times New Roman"/>
                <w:color w:val="000000" w:themeColor="text1"/>
                <w:spacing w:val="0"/>
                <w:kern w:val="0"/>
                <w:sz w:val="24"/>
                <w:szCs w:val="24"/>
                <w:lang w:val="en-US" w:eastAsia="zh-CN"/>
                <w14:textFill>
                  <w14:solidFill>
                    <w14:schemeClr w14:val="tx1"/>
                  </w14:solidFill>
                </w14:textFill>
              </w:rPr>
              <w:t>低于</w:t>
            </w:r>
            <w:r>
              <w:rPr>
                <w:rFonts w:hint="default" w:ascii="Times New Roman" w:hAnsi="Times New Roman" w:eastAsia="宋体" w:cs="Times New Roman"/>
                <w:color w:val="000000" w:themeColor="text1"/>
                <w:spacing w:val="0"/>
                <w:sz w:val="24"/>
                <w:szCs w:val="24"/>
                <w14:textFill>
                  <w14:solidFill>
                    <w14:schemeClr w14:val="tx1"/>
                  </w14:solidFill>
                </w14:textFill>
              </w:rPr>
              <w:t>《声环境质量标准》（GB3096-2008）</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类标准</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14:textFill>
                  <w14:solidFill>
                    <w14:schemeClr w14:val="tx1"/>
                  </w14:solidFill>
                </w14:textFill>
              </w:rPr>
              <w:t>即：昼间</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55</w:t>
            </w:r>
            <w:r>
              <w:rPr>
                <w:rFonts w:hint="default" w:ascii="Times New Roman" w:hAnsi="Times New Roman" w:eastAsia="宋体" w:cs="Times New Roman"/>
                <w:color w:val="000000" w:themeColor="text1"/>
                <w:spacing w:val="0"/>
                <w:sz w:val="24"/>
                <w:szCs w:val="24"/>
                <w14:textFill>
                  <w14:solidFill>
                    <w14:schemeClr w14:val="tx1"/>
                  </w14:solidFill>
                </w14:textFill>
              </w:rPr>
              <w:t>dB(A)、夜间</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45</w:t>
            </w:r>
            <w:r>
              <w:rPr>
                <w:rFonts w:hint="default" w:ascii="Times New Roman" w:hAnsi="Times New Roman" w:eastAsia="宋体" w:cs="Times New Roman"/>
                <w:color w:val="000000" w:themeColor="text1"/>
                <w:spacing w:val="0"/>
                <w:sz w:val="24"/>
                <w:szCs w:val="24"/>
                <w14:textFill>
                  <w14:solidFill>
                    <w14:schemeClr w14:val="tx1"/>
                  </w14:solidFill>
                </w14:textFill>
              </w:rPr>
              <w:t>dB(A)。</w:t>
            </w:r>
          </w:p>
          <w:p w14:paraId="30F689AC">
            <w:pPr>
              <w:spacing w:line="360" w:lineRule="auto"/>
              <w:ind w:firstLine="470" w:firstLineChars="196"/>
              <w:jc w:val="left"/>
              <w:outlineLvl w:val="9"/>
              <w:rPr>
                <w:rFonts w:hint="default" w:ascii="Times New Roman" w:hAnsi="Times New Roman" w:eastAsia="宋体" w:cs="Times New Roman"/>
                <w:color w:val="000000" w:themeColor="text1"/>
                <w:spacing w:val="0"/>
                <w:sz w:val="24"/>
                <w:szCs w:val="24"/>
                <w14:textFill>
                  <w14:solidFill>
                    <w14:schemeClr w14:val="tx1"/>
                  </w14:solidFill>
                </w14:textFill>
              </w:rPr>
            </w:pPr>
            <w:r>
              <w:rPr>
                <w:rFonts w:hint="default" w:ascii="Times New Roman" w:hAnsi="Times New Roman" w:eastAsia="宋体" w:cs="Times New Roman"/>
                <w:color w:val="000000" w:themeColor="text1"/>
                <w:spacing w:val="0"/>
                <w:sz w:val="24"/>
                <w:szCs w:val="24"/>
                <w14:textFill>
                  <w14:solidFill>
                    <w14:schemeClr w14:val="tx1"/>
                  </w14:solidFill>
                </w14:textFill>
              </w:rPr>
              <w:t>敏感目标处的昼间噪声监测值在</w:t>
            </w:r>
            <w:r>
              <w:rPr>
                <w:rFonts w:hint="eastAsia" w:cs="Times New Roman"/>
                <w:color w:val="000000" w:themeColor="text1"/>
                <w:spacing w:val="0"/>
                <w:sz w:val="24"/>
                <w:szCs w:val="24"/>
                <w:lang w:val="en-US" w:eastAsia="zh-CN"/>
                <w14:textFill>
                  <w14:solidFill>
                    <w14:schemeClr w14:val="tx1"/>
                  </w14:solidFill>
                </w14:textFill>
              </w:rPr>
              <w:t>（43-45）</w:t>
            </w:r>
            <w:r>
              <w:rPr>
                <w:rFonts w:hint="default" w:ascii="Times New Roman" w:hAnsi="Times New Roman" w:eastAsia="宋体" w:cs="Times New Roman"/>
                <w:color w:val="000000" w:themeColor="text1"/>
                <w:spacing w:val="0"/>
                <w:sz w:val="24"/>
                <w:szCs w:val="24"/>
                <w14:textFill>
                  <w14:solidFill>
                    <w14:schemeClr w14:val="tx1"/>
                  </w14:solidFill>
                </w14:textFill>
              </w:rPr>
              <w:t>dB(A)，夜间噪声监测值在</w:t>
            </w:r>
            <w:r>
              <w:rPr>
                <w:rFonts w:hint="eastAsia" w:cs="Times New Roman"/>
                <w:color w:val="000000" w:themeColor="text1"/>
                <w:spacing w:val="0"/>
                <w:sz w:val="24"/>
                <w:szCs w:val="24"/>
                <w:lang w:val="en-US" w:eastAsia="zh-CN"/>
                <w14:textFill>
                  <w14:solidFill>
                    <w14:schemeClr w14:val="tx1"/>
                  </w14:solidFill>
                </w14:textFill>
              </w:rPr>
              <w:t>（41-42）</w:t>
            </w:r>
            <w:r>
              <w:rPr>
                <w:rFonts w:hint="default" w:ascii="Times New Roman" w:hAnsi="Times New Roman" w:eastAsia="宋体" w:cs="Times New Roman"/>
                <w:color w:val="000000" w:themeColor="text1"/>
                <w:spacing w:val="0"/>
                <w:sz w:val="24"/>
                <w:szCs w:val="24"/>
                <w14:textFill>
                  <w14:solidFill>
                    <w14:schemeClr w14:val="tx1"/>
                  </w14:solidFill>
                </w14:textFill>
              </w:rPr>
              <w:t>dB(A)，均低于《声环境质量标准》（GB3096-2008）1类标准，即：昼间55dB(A)、夜间45dB(A)。</w:t>
            </w:r>
          </w:p>
          <w:p w14:paraId="576BBFA0">
            <w:pPr>
              <w:adjustRightInd w:val="0"/>
              <w:snapToGrid w:val="0"/>
              <w:spacing w:line="360" w:lineRule="auto"/>
              <w:ind w:firstLine="482"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（3）地表水环境现状</w:t>
            </w:r>
          </w:p>
          <w:p w14:paraId="5BA34FEA">
            <w:pPr>
              <w:pStyle w:val="11"/>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outlineLvl w:val="9"/>
              <w:rPr>
                <w:rFonts w:ascii="Times New Roman" w:hAnsi="Times New Roman" w:eastAsia="宋体"/>
                <w:color w:val="000000" w:themeColor="text1"/>
                <w:spacing w:val="0"/>
                <w:kern w:val="0"/>
                <w:sz w:val="24"/>
                <w:szCs w:val="24"/>
                <w:highlight w:val="none"/>
                <w14:textFill>
                  <w14:solidFill>
                    <w14:schemeClr w14:val="tx1"/>
                  </w14:solidFill>
                </w14:textFill>
              </w:rPr>
            </w:pPr>
            <w:r>
              <w:rPr>
                <w:rFonts w:ascii="Times New Roman" w:hAnsi="Times New Roman" w:eastAsia="宋体"/>
                <w:color w:val="000000" w:themeColor="text1"/>
                <w:spacing w:val="0"/>
                <w:kern w:val="0"/>
                <w:sz w:val="24"/>
                <w:szCs w:val="24"/>
                <w:highlight w:val="none"/>
                <w14:textFill>
                  <w14:solidFill>
                    <w14:schemeClr w14:val="tx1"/>
                  </w14:solidFill>
                </w14:textFill>
              </w:rPr>
              <w:t>据现场调查，本项目输电线路</w:t>
            </w:r>
            <w:r>
              <w:rPr>
                <w:rFonts w:hint="eastAsia"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一档跨越华木林沟</w:t>
            </w:r>
            <w:r>
              <w:rPr>
                <w:rFonts w:ascii="Times New Roman" w:hAnsi="Times New Roman" w:eastAsia="宋体"/>
                <w:color w:val="000000" w:themeColor="text1"/>
                <w:spacing w:val="0"/>
                <w:kern w:val="0"/>
                <w:sz w:val="24"/>
                <w:szCs w:val="24"/>
                <w:highlight w:val="none"/>
                <w14:textFill>
                  <w14:solidFill>
                    <w14:schemeClr w14:val="tx1"/>
                  </w14:solidFill>
                </w14:textFill>
              </w:rPr>
              <w:t>。</w:t>
            </w:r>
          </w:p>
          <w:p w14:paraId="233DA857">
            <w:pPr>
              <w:pStyle w:val="16"/>
              <w:numPr>
                <w:ilvl w:val="0"/>
                <w:numId w:val="2"/>
              </w:numPr>
              <w:adjustRightInd w:val="0"/>
              <w:spacing w:line="360" w:lineRule="auto"/>
              <w:ind w:firstLine="482" w:firstLineChars="200"/>
              <w:outlineLvl w:val="9"/>
              <w:rPr>
                <w:rFonts w:ascii="Times New Roman" w:hAnsi="Times New Roman" w:eastAsia="宋体"/>
                <w:b/>
                <w:bCs/>
                <w:color w:val="000000" w:themeColor="text1"/>
                <w:spacing w:val="0"/>
                <w:kern w:val="0"/>
                <w:sz w:val="24"/>
                <w:szCs w:val="24"/>
                <w:highlight w:val="none"/>
                <w14:textFill>
                  <w14:solidFill>
                    <w14:schemeClr w14:val="tx1"/>
                  </w14:solidFill>
                </w14:textFill>
              </w:rPr>
            </w:pPr>
            <w:r>
              <w:rPr>
                <w:rFonts w:hint="eastAsia" w:ascii="Times New Roman" w:hAnsi="Times New Roman" w:eastAsia="宋体"/>
                <w:b/>
                <w:bCs/>
                <w:color w:val="000000" w:themeColor="text1"/>
                <w:spacing w:val="0"/>
                <w:kern w:val="0"/>
                <w:sz w:val="24"/>
                <w:szCs w:val="24"/>
                <w:highlight w:val="none"/>
                <w14:textFill>
                  <w14:solidFill>
                    <w14:schemeClr w14:val="tx1"/>
                  </w14:solidFill>
                </w14:textFill>
              </w:rPr>
              <w:t>环境空气质量</w:t>
            </w:r>
          </w:p>
          <w:p w14:paraId="205688F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outlineLvl w:val="9"/>
              <w:rPr>
                <w:rFonts w:hint="default" w:ascii="Times New Roman" w:hAnsi="Times New Roman" w:eastAsia="宋体" w:cs="Times New Roman"/>
                <w:color w:val="000000" w:themeColor="text1"/>
                <w:spacing w:val="0"/>
                <w:ker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14:textFill>
                  <w14:solidFill>
                    <w14:schemeClr w14:val="tx1"/>
                  </w14:solidFill>
                </w14:textFill>
              </w:rPr>
              <w:t>本项目</w:t>
            </w:r>
            <w:r>
              <w:rPr>
                <w:rFonts w:hint="default" w:ascii="Times New Roman" w:hAnsi="Times New Roman" w:eastAsia="宋体" w:cs="Times New Roman"/>
                <w:color w:val="000000" w:themeColor="text1"/>
                <w:spacing w:val="0"/>
                <w:kern w:val="0"/>
                <w:sz w:val="24"/>
                <w:lang w:eastAsia="zh-CN"/>
                <w14:textFill>
                  <w14:solidFill>
                    <w14:schemeClr w14:val="tx1"/>
                  </w14:solidFill>
                </w14:textFill>
              </w:rPr>
              <w:t>位于</w:t>
            </w:r>
            <w:r>
              <w:rPr>
                <w:rFonts w:hint="eastAsia"/>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lang w:eastAsia="zh-CN"/>
                <w14:textFill>
                  <w14:solidFill>
                    <w14:schemeClr w14:val="tx1"/>
                  </w14:solidFill>
                </w14:textFill>
              </w:rPr>
              <w:t>，</w:t>
            </w:r>
            <w:r>
              <w:rPr>
                <w:rFonts w:hint="default" w:ascii="Times New Roman" w:hAnsi="Times New Roman" w:eastAsia="宋体" w:cs="Times New Roman"/>
                <w:color w:val="000000" w:themeColor="text1"/>
                <w:spacing w:val="0"/>
                <w:sz w:val="24"/>
                <w14:textFill>
                  <w14:solidFill>
                    <w14:schemeClr w14:val="tx1"/>
                  </w14:solidFill>
                </w14:textFill>
              </w:rPr>
              <w:t>根据宁夏回族自治区生态环境厅印发的《</w:t>
            </w:r>
            <w:r>
              <w:rPr>
                <w:rFonts w:hint="default" w:ascii="Times New Roman" w:hAnsi="Times New Roman" w:eastAsia="宋体" w:cs="Times New Roman"/>
                <w:color w:val="000000" w:themeColor="text1"/>
                <w:spacing w:val="0"/>
                <w:sz w:val="24"/>
                <w:highlight w:val="none"/>
                <w14:textFill>
                  <w14:solidFill>
                    <w14:schemeClr w14:val="tx1"/>
                  </w14:solidFill>
                </w14:textFill>
              </w:rPr>
              <w:t>202</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highlight w:val="none"/>
                <w14:textFill>
                  <w14:solidFill>
                    <w14:schemeClr w14:val="tx1"/>
                  </w14:solidFill>
                </w14:textFill>
              </w:rPr>
              <w:t>年宁夏生态环境质量状况》中</w:t>
            </w:r>
            <w:r>
              <w:rPr>
                <w:rFonts w:hint="eastAsia" w:ascii="Times New Roman" w:hAnsi="Times New Roman" w:eastAsia="宋体"/>
                <w:color w:val="000000" w:themeColor="text1"/>
                <w:spacing w:val="0"/>
                <w:sz w:val="24"/>
                <w:szCs w:val="24"/>
                <w:highlight w:val="none"/>
                <w:lang w:val="en-US" w:eastAsia="zh-CN"/>
                <w14:textFill>
                  <w14:solidFill>
                    <w14:schemeClr w14:val="tx1"/>
                  </w14:solidFill>
                </w14:textFill>
              </w:rPr>
              <w:t>原州区</w:t>
            </w:r>
            <w:r>
              <w:rPr>
                <w:rFonts w:hint="default" w:ascii="Times New Roman" w:hAnsi="Times New Roman" w:eastAsia="宋体" w:cs="Times New Roman"/>
                <w:color w:val="000000" w:themeColor="text1"/>
                <w:spacing w:val="0"/>
                <w:sz w:val="24"/>
                <w:highlight w:val="none"/>
                <w14:textFill>
                  <w14:solidFill>
                    <w14:schemeClr w14:val="tx1"/>
                  </w14:solidFill>
                </w14:textFill>
              </w:rPr>
              <w:t>环境空气质量</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监测</w:t>
            </w:r>
            <w:r>
              <w:rPr>
                <w:rFonts w:hint="default" w:ascii="Times New Roman" w:hAnsi="Times New Roman" w:eastAsia="宋体" w:cs="Times New Roman"/>
                <w:color w:val="000000" w:themeColor="text1"/>
                <w:spacing w:val="0"/>
                <w:sz w:val="24"/>
                <w:highlight w:val="none"/>
                <w14:textFill>
                  <w14:solidFill>
                    <w14:schemeClr w14:val="tx1"/>
                  </w14:solidFill>
                </w14:textFill>
              </w:rPr>
              <w:t>数据</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和结论</w:t>
            </w:r>
            <w:r>
              <w:rPr>
                <w:rFonts w:hint="default" w:ascii="Times New Roman" w:hAnsi="Times New Roman" w:eastAsia="宋体" w:cs="Times New Roman"/>
                <w:color w:val="000000" w:themeColor="text1"/>
                <w:spacing w:val="0"/>
                <w:sz w:val="24"/>
                <w:highlight w:val="none"/>
                <w14:textFill>
                  <w14:solidFill>
                    <w14:schemeClr w14:val="tx1"/>
                  </w14:solidFill>
                </w14:textFill>
              </w:rPr>
              <w:t>进行项目所在区域达标的判定</w:t>
            </w:r>
            <w:r>
              <w:rPr>
                <w:rFonts w:hint="default" w:ascii="Times New Roman" w:hAnsi="Times New Roman" w:eastAsia="宋体" w:cs="Times New Roman"/>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具体监测结果见表</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w:t>
            </w:r>
          </w:p>
          <w:p w14:paraId="72600784">
            <w:pPr>
              <w:spacing w:line="360" w:lineRule="auto"/>
              <w:jc w:val="right"/>
              <w:outlineLvl w:val="9"/>
              <w:rPr>
                <w:rFonts w:hint="eastAsia"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 xml:space="preserve">           </w:t>
            </w:r>
          </w:p>
          <w:p w14:paraId="69C40349">
            <w:pPr>
              <w:spacing w:line="360" w:lineRule="auto"/>
              <w:jc w:val="right"/>
              <w:outlineLvl w:val="9"/>
              <w:rPr>
                <w:rFonts w:hint="default"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表3-</w:t>
            </w:r>
            <w:r>
              <w:rPr>
                <w:rFonts w:hint="eastAsia"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原州区</w:t>
            </w:r>
            <w:r>
              <w:rPr>
                <w:rFonts w:hint="default"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202</w:t>
            </w:r>
            <w:r>
              <w:rPr>
                <w:rFonts w:hint="eastAsia"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年</w:t>
            </w:r>
            <w:r>
              <w:rPr>
                <w:rFonts w:hint="eastAsia"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基本污染物监测结果</w:t>
            </w:r>
            <w:r>
              <w:rPr>
                <w:rFonts w:hint="default" w:ascii="Times New Roman" w:hAnsi="Times New Roman" w:eastAsia="宋体" w:cs="Times New Roman"/>
                <w:b/>
                <w:color w:val="000000" w:themeColor="text1"/>
                <w:spacing w:val="0"/>
                <w:kern w:val="0"/>
                <w:sz w:val="24"/>
                <w:highlight w:val="none"/>
                <w:lang w:val="en-US" w:eastAsia="zh-CN"/>
                <w14:textFill>
                  <w14:solidFill>
                    <w14:schemeClr w14:val="tx1"/>
                  </w14:solidFill>
                </w14:textFill>
              </w:rPr>
              <w:t xml:space="preserve">表     </w:t>
            </w:r>
            <w:r>
              <w:rPr>
                <w:rFonts w:hint="default" w:ascii="Times New Roman" w:hAnsi="Times New Roman" w:eastAsia="宋体" w:cs="Times New Roman"/>
                <w:b w:val="0"/>
                <w:bCs/>
                <w:color w:val="000000" w:themeColor="text1"/>
                <w:spacing w:val="0"/>
                <w:kern w:val="0"/>
                <w:sz w:val="24"/>
                <w:highlight w:val="none"/>
                <w:lang w:val="en-US" w:eastAsia="zh-CN"/>
                <w14:textFill>
                  <w14:solidFill>
                    <w14:schemeClr w14:val="tx1"/>
                  </w14:solidFill>
                </w14:textFill>
              </w:rPr>
              <w:t>单位：μg/m</w:t>
            </w:r>
            <w:r>
              <w:rPr>
                <w:rFonts w:hint="default" w:ascii="Times New Roman" w:hAnsi="Times New Roman" w:eastAsia="宋体" w:cs="Times New Roman"/>
                <w:b w:val="0"/>
                <w:bCs/>
                <w:color w:val="000000" w:themeColor="text1"/>
                <w:spacing w:val="0"/>
                <w:kern w:val="0"/>
                <w:sz w:val="24"/>
                <w:highlight w:val="none"/>
                <w:vertAlign w:val="superscript"/>
                <w:lang w:val="en-US" w:eastAsia="zh-CN"/>
                <w14:textFill>
                  <w14:solidFill>
                    <w14:schemeClr w14:val="tx1"/>
                  </w14:solidFill>
                </w14:textFill>
              </w:rPr>
              <w:t>3</w:t>
            </w:r>
          </w:p>
          <w:tbl>
            <w:tblPr>
              <w:tblStyle w:val="26"/>
              <w:tblW w:w="84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2648"/>
              <w:gridCol w:w="1158"/>
              <w:gridCol w:w="1073"/>
              <w:gridCol w:w="1128"/>
              <w:gridCol w:w="1158"/>
            </w:tblGrid>
            <w:tr w14:paraId="58CC9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7C83B679">
                  <w:pPr>
                    <w:keepNext w:val="0"/>
                    <w:keepLines w:val="0"/>
                    <w:pageBreakBefore w:val="0"/>
                    <w:widowControl w:val="0"/>
                    <w:kinsoku/>
                    <w:wordWrap/>
                    <w:overflowPunct/>
                    <w:topLinePunct w:val="0"/>
                    <w:autoSpaceDE/>
                    <w:autoSpaceDN/>
                    <w:bidi w:val="0"/>
                    <w:jc w:val="center"/>
                    <w:textAlignment w:val="auto"/>
                    <w:outlineLvl w:val="9"/>
                    <w:rPr>
                      <w:rFonts w:hint="default" w:ascii="Times New Roman" w:hAnsi="Times New Roman" w:eastAsia="宋体" w:cs="Times New Roman"/>
                      <w:b/>
                      <w:bCs/>
                      <w:color w:val="000000" w:themeColor="text1"/>
                      <w:spacing w:val="0"/>
                      <w:highlight w:val="none"/>
                      <w14:textFill>
                        <w14:solidFill>
                          <w14:schemeClr w14:val="tx1"/>
                        </w14:solidFill>
                      </w14:textFill>
                    </w:rPr>
                  </w:pPr>
                  <w:r>
                    <w:rPr>
                      <w:rFonts w:hint="default" w:ascii="Times New Roman" w:hAnsi="Times New Roman" w:eastAsia="宋体" w:cs="Times New Roman"/>
                      <w:b/>
                      <w:bCs/>
                      <w:color w:val="000000" w:themeColor="text1"/>
                      <w:spacing w:val="0"/>
                      <w:highlight w:val="none"/>
                      <w14:textFill>
                        <w14:solidFill>
                          <w14:schemeClr w14:val="tx1"/>
                        </w14:solidFill>
                      </w14:textFill>
                    </w:rPr>
                    <w:t>污染物</w:t>
                  </w:r>
                </w:p>
              </w:tc>
              <w:tc>
                <w:tcPr>
                  <w:tcW w:w="2648" w:type="dxa"/>
                  <w:tcBorders>
                    <w:tl2br w:val="nil"/>
                    <w:tr2bl w:val="nil"/>
                  </w:tcBorders>
                  <w:noWrap w:val="0"/>
                  <w:vAlign w:val="center"/>
                </w:tcPr>
                <w:p w14:paraId="2CAE51A6">
                  <w:pPr>
                    <w:keepNext w:val="0"/>
                    <w:keepLines w:val="0"/>
                    <w:pageBreakBefore w:val="0"/>
                    <w:widowControl w:val="0"/>
                    <w:kinsoku/>
                    <w:wordWrap/>
                    <w:overflowPunct/>
                    <w:topLinePunct w:val="0"/>
                    <w:autoSpaceDE/>
                    <w:autoSpaceDN/>
                    <w:bidi w:val="0"/>
                    <w:jc w:val="center"/>
                    <w:textAlignment w:val="auto"/>
                    <w:outlineLvl w:val="9"/>
                    <w:rPr>
                      <w:rFonts w:hint="default" w:ascii="Times New Roman" w:hAnsi="Times New Roman" w:eastAsia="宋体" w:cs="Times New Roman"/>
                      <w:b/>
                      <w:bCs/>
                      <w:color w:val="000000" w:themeColor="text1"/>
                      <w:spacing w:val="0"/>
                      <w:highlight w:val="none"/>
                      <w14:textFill>
                        <w14:solidFill>
                          <w14:schemeClr w14:val="tx1"/>
                        </w14:solidFill>
                      </w14:textFill>
                    </w:rPr>
                  </w:pPr>
                  <w:r>
                    <w:rPr>
                      <w:rFonts w:hint="default" w:ascii="Times New Roman" w:hAnsi="Times New Roman" w:eastAsia="宋体" w:cs="Times New Roman"/>
                      <w:b/>
                      <w:bCs/>
                      <w:color w:val="000000" w:themeColor="text1"/>
                      <w:spacing w:val="0"/>
                      <w:highlight w:val="none"/>
                      <w14:textFill>
                        <w14:solidFill>
                          <w14:schemeClr w14:val="tx1"/>
                        </w14:solidFill>
                      </w14:textFill>
                    </w:rPr>
                    <w:t>年评价指标</w:t>
                  </w:r>
                </w:p>
              </w:tc>
              <w:tc>
                <w:tcPr>
                  <w:tcW w:w="1158" w:type="dxa"/>
                  <w:tcBorders>
                    <w:tl2br w:val="nil"/>
                    <w:tr2bl w:val="nil"/>
                  </w:tcBorders>
                  <w:noWrap w:val="0"/>
                  <w:vAlign w:val="center"/>
                </w:tcPr>
                <w:p w14:paraId="2D5978BC">
                  <w:pPr>
                    <w:keepNext w:val="0"/>
                    <w:keepLines w:val="0"/>
                    <w:pageBreakBefore w:val="0"/>
                    <w:widowControl w:val="0"/>
                    <w:kinsoku/>
                    <w:wordWrap/>
                    <w:overflowPunct/>
                    <w:topLinePunct w:val="0"/>
                    <w:autoSpaceDE/>
                    <w:autoSpaceDN/>
                    <w:bidi w:val="0"/>
                    <w:jc w:val="center"/>
                    <w:textAlignment w:val="auto"/>
                    <w:outlineLvl w:val="9"/>
                    <w:rPr>
                      <w:rFonts w:hint="default" w:ascii="Times New Roman" w:hAnsi="Times New Roman" w:eastAsia="宋体" w:cs="Times New Roman"/>
                      <w:b/>
                      <w:bCs/>
                      <w:color w:val="000000" w:themeColor="text1"/>
                      <w:spacing w:val="0"/>
                      <w:highlight w:val="none"/>
                      <w14:textFill>
                        <w14:solidFill>
                          <w14:schemeClr w14:val="tx1"/>
                        </w14:solidFill>
                      </w14:textFill>
                    </w:rPr>
                  </w:pPr>
                  <w:r>
                    <w:rPr>
                      <w:rFonts w:hint="default" w:ascii="Times New Roman" w:hAnsi="Times New Roman" w:eastAsia="宋体" w:cs="Times New Roman"/>
                      <w:b/>
                      <w:bCs/>
                      <w:color w:val="000000" w:themeColor="text1"/>
                      <w:spacing w:val="0"/>
                      <w:highlight w:val="none"/>
                      <w14:textFill>
                        <w14:solidFill>
                          <w14:schemeClr w14:val="tx1"/>
                        </w14:solidFill>
                      </w14:textFill>
                    </w:rPr>
                    <w:t>现状浓度</w:t>
                  </w:r>
                </w:p>
              </w:tc>
              <w:tc>
                <w:tcPr>
                  <w:tcW w:w="1073" w:type="dxa"/>
                  <w:tcBorders>
                    <w:tl2br w:val="nil"/>
                    <w:tr2bl w:val="nil"/>
                  </w:tcBorders>
                  <w:noWrap w:val="0"/>
                  <w:vAlign w:val="center"/>
                </w:tcPr>
                <w:p w14:paraId="1853E423">
                  <w:pPr>
                    <w:keepNext w:val="0"/>
                    <w:keepLines w:val="0"/>
                    <w:pageBreakBefore w:val="0"/>
                    <w:widowControl w:val="0"/>
                    <w:kinsoku/>
                    <w:wordWrap/>
                    <w:overflowPunct/>
                    <w:topLinePunct w:val="0"/>
                    <w:autoSpaceDE/>
                    <w:autoSpaceDN/>
                    <w:bidi w:val="0"/>
                    <w:jc w:val="center"/>
                    <w:textAlignment w:val="auto"/>
                    <w:outlineLvl w:val="9"/>
                    <w:rPr>
                      <w:rFonts w:hint="default" w:ascii="Times New Roman" w:hAnsi="Times New Roman" w:eastAsia="宋体" w:cs="Times New Roman"/>
                      <w:b/>
                      <w:bCs/>
                      <w:color w:val="000000" w:themeColor="text1"/>
                      <w:spacing w:val="0"/>
                      <w:highlight w:val="none"/>
                      <w14:textFill>
                        <w14:solidFill>
                          <w14:schemeClr w14:val="tx1"/>
                        </w14:solidFill>
                      </w14:textFill>
                    </w:rPr>
                  </w:pPr>
                  <w:r>
                    <w:rPr>
                      <w:rFonts w:hint="default" w:ascii="Times New Roman" w:hAnsi="Times New Roman" w:eastAsia="宋体" w:cs="Times New Roman"/>
                      <w:b/>
                      <w:bCs/>
                      <w:color w:val="000000" w:themeColor="text1"/>
                      <w:spacing w:val="0"/>
                      <w:highlight w:val="none"/>
                      <w14:textFill>
                        <w14:solidFill>
                          <w14:schemeClr w14:val="tx1"/>
                        </w14:solidFill>
                      </w14:textFill>
                    </w:rPr>
                    <w:t>标准值</w:t>
                  </w:r>
                </w:p>
              </w:tc>
              <w:tc>
                <w:tcPr>
                  <w:tcW w:w="1128" w:type="dxa"/>
                  <w:tcBorders>
                    <w:tl2br w:val="nil"/>
                    <w:tr2bl w:val="nil"/>
                  </w:tcBorders>
                  <w:noWrap w:val="0"/>
                  <w:vAlign w:val="center"/>
                </w:tcPr>
                <w:p w14:paraId="6BF106A1">
                  <w:pPr>
                    <w:keepNext w:val="0"/>
                    <w:keepLines w:val="0"/>
                    <w:pageBreakBefore w:val="0"/>
                    <w:widowControl w:val="0"/>
                    <w:kinsoku/>
                    <w:wordWrap/>
                    <w:overflowPunct/>
                    <w:topLinePunct w:val="0"/>
                    <w:autoSpaceDE/>
                    <w:autoSpaceDN/>
                    <w:bidi w:val="0"/>
                    <w:jc w:val="center"/>
                    <w:textAlignment w:val="auto"/>
                    <w:outlineLvl w:val="9"/>
                    <w:rPr>
                      <w:rFonts w:hint="default" w:ascii="Times New Roman" w:hAnsi="Times New Roman" w:eastAsia="宋体" w:cs="Times New Roman"/>
                      <w:b/>
                      <w:bCs/>
                      <w:color w:val="000000" w:themeColor="text1"/>
                      <w:spacing w:val="0"/>
                      <w:highlight w:val="none"/>
                      <w14:textFill>
                        <w14:solidFill>
                          <w14:schemeClr w14:val="tx1"/>
                        </w14:solidFill>
                      </w14:textFill>
                    </w:rPr>
                  </w:pPr>
                  <w:r>
                    <w:rPr>
                      <w:rFonts w:hint="default" w:ascii="Times New Roman" w:hAnsi="Times New Roman" w:eastAsia="宋体" w:cs="Times New Roman"/>
                      <w:b/>
                      <w:bCs/>
                      <w:color w:val="000000" w:themeColor="text1"/>
                      <w:spacing w:val="0"/>
                      <w:highlight w:val="none"/>
                      <w14:textFill>
                        <w14:solidFill>
                          <w14:schemeClr w14:val="tx1"/>
                        </w14:solidFill>
                      </w14:textFill>
                    </w:rPr>
                    <w:t>占标率%</w:t>
                  </w:r>
                </w:p>
              </w:tc>
              <w:tc>
                <w:tcPr>
                  <w:tcW w:w="1158" w:type="dxa"/>
                  <w:tcBorders>
                    <w:tl2br w:val="nil"/>
                    <w:tr2bl w:val="nil"/>
                  </w:tcBorders>
                  <w:noWrap w:val="0"/>
                  <w:vAlign w:val="center"/>
                </w:tcPr>
                <w:p w14:paraId="4CDF0CE6">
                  <w:pPr>
                    <w:keepNext w:val="0"/>
                    <w:keepLines w:val="0"/>
                    <w:pageBreakBefore w:val="0"/>
                    <w:widowControl w:val="0"/>
                    <w:kinsoku/>
                    <w:wordWrap/>
                    <w:overflowPunct/>
                    <w:topLinePunct w:val="0"/>
                    <w:autoSpaceDE/>
                    <w:autoSpaceDN/>
                    <w:bidi w:val="0"/>
                    <w:jc w:val="center"/>
                    <w:textAlignment w:val="auto"/>
                    <w:outlineLvl w:val="9"/>
                    <w:rPr>
                      <w:rFonts w:hint="default" w:ascii="Times New Roman" w:hAnsi="Times New Roman" w:eastAsia="宋体" w:cs="Times New Roman"/>
                      <w:b/>
                      <w:bCs/>
                      <w:color w:val="000000" w:themeColor="text1"/>
                      <w:spacing w:val="0"/>
                      <w:highlight w:val="none"/>
                      <w14:textFill>
                        <w14:solidFill>
                          <w14:schemeClr w14:val="tx1"/>
                        </w14:solidFill>
                      </w14:textFill>
                    </w:rPr>
                  </w:pPr>
                  <w:r>
                    <w:rPr>
                      <w:rFonts w:hint="default" w:ascii="Times New Roman" w:hAnsi="Times New Roman" w:eastAsia="宋体" w:cs="Times New Roman"/>
                      <w:b/>
                      <w:bCs/>
                      <w:color w:val="000000" w:themeColor="text1"/>
                      <w:spacing w:val="0"/>
                      <w:highlight w:val="none"/>
                      <w14:textFill>
                        <w14:solidFill>
                          <w14:schemeClr w14:val="tx1"/>
                        </w14:solidFill>
                      </w14:textFill>
                    </w:rPr>
                    <w:t>达标情况</w:t>
                  </w:r>
                </w:p>
              </w:tc>
            </w:tr>
            <w:tr w14:paraId="542A1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35B4806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PM</w:t>
                  </w:r>
                  <w:r>
                    <w:rPr>
                      <w:rFonts w:hint="default" w:ascii="Times New Roman" w:hAnsi="Times New Roman" w:eastAsia="宋体" w:cs="Times New Roman"/>
                      <w:color w:val="000000" w:themeColor="text1"/>
                      <w:spacing w:val="0"/>
                      <w:szCs w:val="20"/>
                      <w:highlight w:val="none"/>
                      <w:vertAlign w:val="subscript"/>
                      <w14:textFill>
                        <w14:solidFill>
                          <w14:schemeClr w14:val="tx1"/>
                        </w14:solidFill>
                      </w14:textFill>
                    </w:rPr>
                    <w:t>10</w:t>
                  </w:r>
                </w:p>
              </w:tc>
              <w:tc>
                <w:tcPr>
                  <w:tcW w:w="2648" w:type="dxa"/>
                  <w:tcBorders>
                    <w:tl2br w:val="nil"/>
                    <w:tr2bl w:val="nil"/>
                  </w:tcBorders>
                  <w:noWrap w:val="0"/>
                  <w:vAlign w:val="center"/>
                </w:tcPr>
                <w:p w14:paraId="7B3C285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年平均质量浓度</w:t>
                  </w:r>
                </w:p>
              </w:tc>
              <w:tc>
                <w:tcPr>
                  <w:tcW w:w="1158" w:type="dxa"/>
                  <w:tcBorders>
                    <w:tl2br w:val="nil"/>
                    <w:tr2bl w:val="nil"/>
                  </w:tcBorders>
                  <w:noWrap w:val="0"/>
                  <w:vAlign w:val="center"/>
                </w:tcPr>
                <w:p w14:paraId="28987A0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38</w:t>
                  </w:r>
                </w:p>
              </w:tc>
              <w:tc>
                <w:tcPr>
                  <w:tcW w:w="1073" w:type="dxa"/>
                  <w:tcBorders>
                    <w:tl2br w:val="nil"/>
                    <w:tr2bl w:val="nil"/>
                  </w:tcBorders>
                  <w:noWrap w:val="0"/>
                  <w:vAlign w:val="center"/>
                </w:tcPr>
                <w:p w14:paraId="5A2AD57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70</w:t>
                  </w:r>
                </w:p>
              </w:tc>
              <w:tc>
                <w:tcPr>
                  <w:tcW w:w="1128" w:type="dxa"/>
                  <w:tcBorders>
                    <w:tl2br w:val="nil"/>
                    <w:tr2bl w:val="nil"/>
                  </w:tcBorders>
                  <w:noWrap w:val="0"/>
                  <w:vAlign w:val="center"/>
                </w:tcPr>
                <w:p w14:paraId="7E2F384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54.29</w:t>
                  </w:r>
                </w:p>
              </w:tc>
              <w:tc>
                <w:tcPr>
                  <w:tcW w:w="1158" w:type="dxa"/>
                  <w:tcBorders>
                    <w:tl2br w:val="nil"/>
                    <w:tr2bl w:val="nil"/>
                  </w:tcBorders>
                  <w:noWrap w:val="0"/>
                  <w:vAlign w:val="center"/>
                </w:tcPr>
                <w:p w14:paraId="71F889F8">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eastAsia" w:ascii="Times New Roman" w:hAnsi="Times New Roman" w:eastAsia="宋体" w:cs="Times New Roman"/>
                      <w:color w:val="000000" w:themeColor="text1"/>
                      <w:spacing w:val="0"/>
                      <w:szCs w:val="20"/>
                      <w:highlight w:val="none"/>
                      <w:lang w:val="en-US" w:eastAsia="zh-CN"/>
                      <w14:textFill>
                        <w14:solidFill>
                          <w14:schemeClr w14:val="tx1"/>
                        </w14:solidFill>
                      </w14:textFill>
                    </w:rPr>
                    <w:t>达</w:t>
                  </w:r>
                  <w:r>
                    <w:rPr>
                      <w:rFonts w:hint="default" w:ascii="Times New Roman" w:hAnsi="Times New Roman" w:eastAsia="宋体" w:cs="Times New Roman"/>
                      <w:color w:val="000000" w:themeColor="text1"/>
                      <w:spacing w:val="0"/>
                      <w:szCs w:val="20"/>
                      <w:highlight w:val="none"/>
                      <w14:textFill>
                        <w14:solidFill>
                          <w14:schemeClr w14:val="tx1"/>
                        </w14:solidFill>
                      </w14:textFill>
                    </w:rPr>
                    <w:t>标</w:t>
                  </w:r>
                </w:p>
              </w:tc>
            </w:tr>
            <w:tr w14:paraId="17941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32E1000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PM</w:t>
                  </w:r>
                  <w:r>
                    <w:rPr>
                      <w:rFonts w:hint="default" w:ascii="Times New Roman" w:hAnsi="Times New Roman" w:eastAsia="宋体" w:cs="Times New Roman"/>
                      <w:color w:val="000000" w:themeColor="text1"/>
                      <w:spacing w:val="0"/>
                      <w:szCs w:val="20"/>
                      <w:highlight w:val="none"/>
                      <w:vertAlign w:val="subscript"/>
                      <w14:textFill>
                        <w14:solidFill>
                          <w14:schemeClr w14:val="tx1"/>
                        </w14:solidFill>
                      </w14:textFill>
                    </w:rPr>
                    <w:t>2.5</w:t>
                  </w:r>
                </w:p>
              </w:tc>
              <w:tc>
                <w:tcPr>
                  <w:tcW w:w="2648" w:type="dxa"/>
                  <w:tcBorders>
                    <w:tl2br w:val="nil"/>
                    <w:tr2bl w:val="nil"/>
                  </w:tcBorders>
                  <w:noWrap w:val="0"/>
                  <w:vAlign w:val="center"/>
                </w:tcPr>
                <w:p w14:paraId="5F69B59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年平均质量浓度</w:t>
                  </w:r>
                </w:p>
              </w:tc>
              <w:tc>
                <w:tcPr>
                  <w:tcW w:w="1158" w:type="dxa"/>
                  <w:tcBorders>
                    <w:tl2br w:val="nil"/>
                    <w:tr2bl w:val="nil"/>
                  </w:tcBorders>
                  <w:noWrap w:val="0"/>
                  <w:vAlign w:val="center"/>
                </w:tcPr>
                <w:p w14:paraId="0D733FEB">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13</w:t>
                  </w:r>
                </w:p>
              </w:tc>
              <w:tc>
                <w:tcPr>
                  <w:tcW w:w="1073" w:type="dxa"/>
                  <w:tcBorders>
                    <w:tl2br w:val="nil"/>
                    <w:tr2bl w:val="nil"/>
                  </w:tcBorders>
                  <w:noWrap w:val="0"/>
                  <w:vAlign w:val="center"/>
                </w:tcPr>
                <w:p w14:paraId="37DD9B0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35</w:t>
                  </w:r>
                </w:p>
              </w:tc>
              <w:tc>
                <w:tcPr>
                  <w:tcW w:w="1128" w:type="dxa"/>
                  <w:tcBorders>
                    <w:tl2br w:val="nil"/>
                    <w:tr2bl w:val="nil"/>
                  </w:tcBorders>
                  <w:noWrap w:val="0"/>
                  <w:vAlign w:val="center"/>
                </w:tcPr>
                <w:p w14:paraId="06C7F519">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37.14</w:t>
                  </w:r>
                </w:p>
              </w:tc>
              <w:tc>
                <w:tcPr>
                  <w:tcW w:w="1158" w:type="dxa"/>
                  <w:tcBorders>
                    <w:tl2br w:val="nil"/>
                    <w:tr2bl w:val="nil"/>
                  </w:tcBorders>
                  <w:noWrap w:val="0"/>
                  <w:vAlign w:val="center"/>
                </w:tcPr>
                <w:p w14:paraId="5FECA62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达标</w:t>
                  </w:r>
                </w:p>
              </w:tc>
            </w:tr>
            <w:tr w14:paraId="4970D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324C213B">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SO</w:t>
                  </w:r>
                  <w:r>
                    <w:rPr>
                      <w:rFonts w:hint="default" w:ascii="Times New Roman" w:hAnsi="Times New Roman" w:eastAsia="宋体" w:cs="Times New Roman"/>
                      <w:color w:val="000000" w:themeColor="text1"/>
                      <w:spacing w:val="0"/>
                      <w:szCs w:val="20"/>
                      <w:highlight w:val="none"/>
                      <w:vertAlign w:val="subscript"/>
                      <w14:textFill>
                        <w14:solidFill>
                          <w14:schemeClr w14:val="tx1"/>
                        </w14:solidFill>
                      </w14:textFill>
                    </w:rPr>
                    <w:t>2</w:t>
                  </w:r>
                </w:p>
              </w:tc>
              <w:tc>
                <w:tcPr>
                  <w:tcW w:w="2648" w:type="dxa"/>
                  <w:tcBorders>
                    <w:tl2br w:val="nil"/>
                    <w:tr2bl w:val="nil"/>
                  </w:tcBorders>
                  <w:noWrap w:val="0"/>
                  <w:vAlign w:val="center"/>
                </w:tcPr>
                <w:p w14:paraId="2F1046E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Cs/>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年平均质量浓度</w:t>
                  </w:r>
                </w:p>
              </w:tc>
              <w:tc>
                <w:tcPr>
                  <w:tcW w:w="1158" w:type="dxa"/>
                  <w:tcBorders>
                    <w:tl2br w:val="nil"/>
                    <w:tr2bl w:val="nil"/>
                  </w:tcBorders>
                  <w:noWrap w:val="0"/>
                  <w:vAlign w:val="center"/>
                </w:tcPr>
                <w:p w14:paraId="251A516B">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Cs/>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highlight w:val="none"/>
                      <w:lang w:val="en-US" w:eastAsia="zh-CN"/>
                      <w14:textFill>
                        <w14:solidFill>
                          <w14:schemeClr w14:val="tx1"/>
                        </w14:solidFill>
                      </w14:textFill>
                    </w:rPr>
                    <w:t>5</w:t>
                  </w:r>
                </w:p>
              </w:tc>
              <w:tc>
                <w:tcPr>
                  <w:tcW w:w="1073" w:type="dxa"/>
                  <w:tcBorders>
                    <w:tl2br w:val="nil"/>
                    <w:tr2bl w:val="nil"/>
                  </w:tcBorders>
                  <w:noWrap w:val="0"/>
                  <w:vAlign w:val="center"/>
                </w:tcPr>
                <w:p w14:paraId="5B513E5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Cs/>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highlight w:val="none"/>
                      <w:lang w:val="en-US" w:eastAsia="zh-CN"/>
                      <w14:textFill>
                        <w14:solidFill>
                          <w14:schemeClr w14:val="tx1"/>
                        </w14:solidFill>
                      </w14:textFill>
                    </w:rPr>
                    <w:t>60</w:t>
                  </w:r>
                </w:p>
              </w:tc>
              <w:tc>
                <w:tcPr>
                  <w:tcW w:w="1128" w:type="dxa"/>
                  <w:tcBorders>
                    <w:tl2br w:val="nil"/>
                    <w:tr2bl w:val="nil"/>
                  </w:tcBorders>
                  <w:noWrap w:val="0"/>
                  <w:vAlign w:val="center"/>
                </w:tcPr>
                <w:p w14:paraId="107B515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8.33</w:t>
                  </w:r>
                </w:p>
              </w:tc>
              <w:tc>
                <w:tcPr>
                  <w:tcW w:w="1158" w:type="dxa"/>
                  <w:tcBorders>
                    <w:tl2br w:val="nil"/>
                    <w:tr2bl w:val="nil"/>
                  </w:tcBorders>
                  <w:noWrap w:val="0"/>
                  <w:vAlign w:val="center"/>
                </w:tcPr>
                <w:p w14:paraId="1EC4FEC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达标</w:t>
                  </w:r>
                </w:p>
              </w:tc>
            </w:tr>
            <w:tr w14:paraId="22211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2E5B8FF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NO</w:t>
                  </w:r>
                  <w:r>
                    <w:rPr>
                      <w:rFonts w:hint="default" w:ascii="Times New Roman" w:hAnsi="Times New Roman" w:eastAsia="宋体" w:cs="Times New Roman"/>
                      <w:color w:val="000000" w:themeColor="text1"/>
                      <w:spacing w:val="0"/>
                      <w:szCs w:val="20"/>
                      <w:highlight w:val="none"/>
                      <w:vertAlign w:val="subscript"/>
                      <w14:textFill>
                        <w14:solidFill>
                          <w14:schemeClr w14:val="tx1"/>
                        </w14:solidFill>
                      </w14:textFill>
                    </w:rPr>
                    <w:t>2</w:t>
                  </w:r>
                </w:p>
              </w:tc>
              <w:tc>
                <w:tcPr>
                  <w:tcW w:w="2648" w:type="dxa"/>
                  <w:tcBorders>
                    <w:tl2br w:val="nil"/>
                    <w:tr2bl w:val="nil"/>
                  </w:tcBorders>
                  <w:noWrap w:val="0"/>
                  <w:vAlign w:val="center"/>
                </w:tcPr>
                <w:p w14:paraId="3A1C046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年平均质量浓度</w:t>
                  </w:r>
                </w:p>
              </w:tc>
              <w:tc>
                <w:tcPr>
                  <w:tcW w:w="1158" w:type="dxa"/>
                  <w:tcBorders>
                    <w:tl2br w:val="nil"/>
                    <w:tr2bl w:val="nil"/>
                  </w:tcBorders>
                  <w:noWrap w:val="0"/>
                  <w:vAlign w:val="center"/>
                </w:tcPr>
                <w:p w14:paraId="5F03EF0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8</w:t>
                  </w:r>
                </w:p>
              </w:tc>
              <w:tc>
                <w:tcPr>
                  <w:tcW w:w="1073" w:type="dxa"/>
                  <w:tcBorders>
                    <w:tl2br w:val="nil"/>
                    <w:tr2bl w:val="nil"/>
                  </w:tcBorders>
                  <w:noWrap w:val="0"/>
                  <w:vAlign w:val="center"/>
                </w:tcPr>
                <w:p w14:paraId="0EB0194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40</w:t>
                  </w:r>
                </w:p>
              </w:tc>
              <w:tc>
                <w:tcPr>
                  <w:tcW w:w="1128" w:type="dxa"/>
                  <w:tcBorders>
                    <w:tl2br w:val="nil"/>
                    <w:tr2bl w:val="nil"/>
                  </w:tcBorders>
                  <w:noWrap w:val="0"/>
                  <w:vAlign w:val="center"/>
                </w:tcPr>
                <w:p w14:paraId="5748FE5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20.00</w:t>
                  </w:r>
                </w:p>
              </w:tc>
              <w:tc>
                <w:tcPr>
                  <w:tcW w:w="1158" w:type="dxa"/>
                  <w:tcBorders>
                    <w:tl2br w:val="nil"/>
                    <w:tr2bl w:val="nil"/>
                  </w:tcBorders>
                  <w:noWrap w:val="0"/>
                  <w:vAlign w:val="center"/>
                </w:tcPr>
                <w:p w14:paraId="6FA924D9">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达标</w:t>
                  </w:r>
                </w:p>
              </w:tc>
            </w:tr>
            <w:tr w14:paraId="21F85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47BDFB3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CO（mg/m</w:t>
                  </w:r>
                  <w:r>
                    <w:rPr>
                      <w:rFonts w:hint="default" w:ascii="Times New Roman" w:hAnsi="Times New Roman" w:eastAsia="宋体" w:cs="Times New Roman"/>
                      <w:color w:val="000000" w:themeColor="text1"/>
                      <w:spacing w:val="0"/>
                      <w:szCs w:val="20"/>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szCs w:val="20"/>
                      <w:highlight w:val="none"/>
                      <w14:textFill>
                        <w14:solidFill>
                          <w14:schemeClr w14:val="tx1"/>
                        </w14:solidFill>
                      </w14:textFill>
                    </w:rPr>
                    <w:t>）</w:t>
                  </w:r>
                </w:p>
              </w:tc>
              <w:tc>
                <w:tcPr>
                  <w:tcW w:w="2648" w:type="dxa"/>
                  <w:tcBorders>
                    <w:tl2br w:val="nil"/>
                    <w:tr2bl w:val="nil"/>
                  </w:tcBorders>
                  <w:noWrap w:val="0"/>
                  <w:vAlign w:val="center"/>
                </w:tcPr>
                <w:p w14:paraId="0B25703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24h平均第95百分位数</w:t>
                  </w:r>
                </w:p>
              </w:tc>
              <w:tc>
                <w:tcPr>
                  <w:tcW w:w="1158" w:type="dxa"/>
                  <w:tcBorders>
                    <w:tl2br w:val="nil"/>
                    <w:tr2bl w:val="nil"/>
                  </w:tcBorders>
                  <w:noWrap w:val="0"/>
                  <w:vAlign w:val="center"/>
                </w:tcPr>
                <w:p w14:paraId="476EC8F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0.6</w:t>
                  </w:r>
                </w:p>
              </w:tc>
              <w:tc>
                <w:tcPr>
                  <w:tcW w:w="1073" w:type="dxa"/>
                  <w:tcBorders>
                    <w:tl2br w:val="nil"/>
                    <w:tr2bl w:val="nil"/>
                  </w:tcBorders>
                  <w:noWrap w:val="0"/>
                  <w:vAlign w:val="center"/>
                </w:tcPr>
                <w:p w14:paraId="5987E91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4.0</w:t>
                  </w:r>
                </w:p>
              </w:tc>
              <w:tc>
                <w:tcPr>
                  <w:tcW w:w="1128" w:type="dxa"/>
                  <w:tcBorders>
                    <w:tl2br w:val="nil"/>
                    <w:tr2bl w:val="nil"/>
                  </w:tcBorders>
                  <w:noWrap w:val="0"/>
                  <w:vAlign w:val="center"/>
                </w:tcPr>
                <w:p w14:paraId="00C71D5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15.00</w:t>
                  </w:r>
                </w:p>
              </w:tc>
              <w:tc>
                <w:tcPr>
                  <w:tcW w:w="1158" w:type="dxa"/>
                  <w:tcBorders>
                    <w:tl2br w:val="nil"/>
                    <w:tr2bl w:val="nil"/>
                  </w:tcBorders>
                  <w:noWrap w:val="0"/>
                  <w:vAlign w:val="center"/>
                </w:tcPr>
                <w:p w14:paraId="05D2F05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达标</w:t>
                  </w:r>
                </w:p>
              </w:tc>
            </w:tr>
            <w:tr w14:paraId="2DB66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08799B12">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O</w:t>
                  </w:r>
                  <w:r>
                    <w:rPr>
                      <w:rFonts w:hint="default" w:ascii="Times New Roman" w:hAnsi="Times New Roman" w:eastAsia="宋体" w:cs="Times New Roman"/>
                      <w:color w:val="000000" w:themeColor="text1"/>
                      <w:spacing w:val="0"/>
                      <w:szCs w:val="20"/>
                      <w:highlight w:val="none"/>
                      <w:vertAlign w:val="subscript"/>
                      <w14:textFill>
                        <w14:solidFill>
                          <w14:schemeClr w14:val="tx1"/>
                        </w14:solidFill>
                      </w14:textFill>
                    </w:rPr>
                    <w:t>3</w:t>
                  </w:r>
                </w:p>
              </w:tc>
              <w:tc>
                <w:tcPr>
                  <w:tcW w:w="2648" w:type="dxa"/>
                  <w:tcBorders>
                    <w:tl2br w:val="nil"/>
                    <w:tr2bl w:val="nil"/>
                  </w:tcBorders>
                  <w:noWrap w:val="0"/>
                  <w:vAlign w:val="center"/>
                </w:tcPr>
                <w:p w14:paraId="6E02810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日最大8h平均值第90百分位数</w:t>
                  </w:r>
                </w:p>
              </w:tc>
              <w:tc>
                <w:tcPr>
                  <w:tcW w:w="1158" w:type="dxa"/>
                  <w:tcBorders>
                    <w:tl2br w:val="nil"/>
                    <w:tr2bl w:val="nil"/>
                  </w:tcBorders>
                  <w:noWrap w:val="0"/>
                  <w:vAlign w:val="center"/>
                </w:tcPr>
                <w:p w14:paraId="69DD75D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118</w:t>
                  </w:r>
                </w:p>
              </w:tc>
              <w:tc>
                <w:tcPr>
                  <w:tcW w:w="1073" w:type="dxa"/>
                  <w:tcBorders>
                    <w:tl2br w:val="nil"/>
                    <w:tr2bl w:val="nil"/>
                  </w:tcBorders>
                  <w:noWrap w:val="0"/>
                  <w:vAlign w:val="center"/>
                </w:tcPr>
                <w:p w14:paraId="5F5EB85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160</w:t>
                  </w:r>
                </w:p>
              </w:tc>
              <w:tc>
                <w:tcPr>
                  <w:tcW w:w="1128" w:type="dxa"/>
                  <w:tcBorders>
                    <w:tl2br w:val="nil"/>
                    <w:tr2bl w:val="nil"/>
                  </w:tcBorders>
                  <w:noWrap w:val="0"/>
                  <w:vAlign w:val="center"/>
                </w:tcPr>
                <w:p w14:paraId="1FE21EC9">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highlight w:val="none"/>
                      <w:lang w:val="en-US" w:eastAsia="zh-CN"/>
                      <w14:textFill>
                        <w14:solidFill>
                          <w14:schemeClr w14:val="tx1"/>
                        </w14:solidFill>
                      </w14:textFill>
                    </w:rPr>
                    <w:t>73.75</w:t>
                  </w:r>
                </w:p>
              </w:tc>
              <w:tc>
                <w:tcPr>
                  <w:tcW w:w="1158" w:type="dxa"/>
                  <w:tcBorders>
                    <w:tl2br w:val="nil"/>
                    <w:tr2bl w:val="nil"/>
                  </w:tcBorders>
                  <w:noWrap w:val="0"/>
                  <w:vAlign w:val="center"/>
                </w:tcPr>
                <w:p w14:paraId="6A3743A8">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Cs w:val="20"/>
                      <w:highlight w:val="none"/>
                      <w14:textFill>
                        <w14:solidFill>
                          <w14:schemeClr w14:val="tx1"/>
                        </w14:solidFill>
                      </w14:textFill>
                    </w:rPr>
                    <w:t>达标</w:t>
                  </w:r>
                </w:p>
              </w:tc>
            </w:tr>
          </w:tbl>
          <w:p w14:paraId="4FD930B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注</w:t>
            </w:r>
            <w:r>
              <w:rPr>
                <w:rFonts w:hint="eastAsia" w:ascii="Times New Roman" w:hAnsi="Times New Roman" w:eastAsia="宋体"/>
                <w:b/>
                <w:bCs/>
                <w:color w:val="000000" w:themeColor="text1"/>
                <w:spacing w:val="0"/>
                <w:szCs w:val="21"/>
                <w:highlight w:val="none"/>
                <w14:textFill>
                  <w14:solidFill>
                    <w14:schemeClr w14:val="tx1"/>
                  </w14:solidFill>
                </w14:textFill>
              </w:rPr>
              <w:t>：</w:t>
            </w:r>
            <w:r>
              <w:rPr>
                <w:rFonts w:ascii="Times New Roman" w:hAnsi="Times New Roman" w:eastAsia="宋体"/>
                <w:color w:val="000000" w:themeColor="text1"/>
                <w:spacing w:val="0"/>
                <w:szCs w:val="21"/>
                <w:highlight w:val="none"/>
                <w14:textFill>
                  <w14:solidFill>
                    <w14:schemeClr w14:val="tx1"/>
                  </w14:solidFill>
                </w14:textFill>
              </w:rPr>
              <w:t>现状浓度中 PM</w:t>
            </w:r>
            <w:r>
              <w:rPr>
                <w:rFonts w:ascii="Times New Roman" w:hAnsi="Times New Roman" w:eastAsia="宋体"/>
                <w:color w:val="000000" w:themeColor="text1"/>
                <w:spacing w:val="0"/>
                <w:szCs w:val="21"/>
                <w:highlight w:val="none"/>
                <w:vertAlign w:val="subscript"/>
                <w14:textFill>
                  <w14:solidFill>
                    <w14:schemeClr w14:val="tx1"/>
                  </w14:solidFill>
                </w14:textFill>
              </w:rPr>
              <w:t>10</w:t>
            </w:r>
            <w:r>
              <w:rPr>
                <w:rFonts w:ascii="Times New Roman" w:hAnsi="Times New Roman" w:eastAsia="宋体"/>
                <w:color w:val="000000" w:themeColor="text1"/>
                <w:spacing w:val="0"/>
                <w:szCs w:val="21"/>
                <w:highlight w:val="none"/>
                <w14:textFill>
                  <w14:solidFill>
                    <w14:schemeClr w14:val="tx1"/>
                  </w14:solidFill>
                </w14:textFill>
              </w:rPr>
              <w:t>、PM</w:t>
            </w:r>
            <w:r>
              <w:rPr>
                <w:rFonts w:hint="eastAsia" w:ascii="Times New Roman" w:hAnsi="Times New Roman" w:eastAsia="宋体"/>
                <w:color w:val="000000" w:themeColor="text1"/>
                <w:spacing w:val="0"/>
                <w:szCs w:val="21"/>
                <w:highlight w:val="none"/>
                <w:vertAlign w:val="subscript"/>
                <w14:textFill>
                  <w14:solidFill>
                    <w14:schemeClr w14:val="tx1"/>
                  </w14:solidFill>
                </w14:textFill>
              </w:rPr>
              <w:t>2.5</w:t>
            </w:r>
            <w:r>
              <w:rPr>
                <w:rFonts w:ascii="Times New Roman" w:hAnsi="Times New Roman" w:eastAsia="宋体"/>
                <w:color w:val="000000" w:themeColor="text1"/>
                <w:spacing w:val="0"/>
                <w:szCs w:val="21"/>
                <w:highlight w:val="none"/>
                <w14:textFill>
                  <w14:solidFill>
                    <w14:schemeClr w14:val="tx1"/>
                  </w14:solidFill>
                </w14:textFill>
              </w:rPr>
              <w:t>为</w:t>
            </w: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未扣</w:t>
            </w:r>
            <w:r>
              <w:rPr>
                <w:rFonts w:ascii="Times New Roman" w:hAnsi="Times New Roman" w:eastAsia="宋体"/>
                <w:color w:val="000000" w:themeColor="text1"/>
                <w:spacing w:val="0"/>
                <w:szCs w:val="21"/>
                <w:highlight w:val="none"/>
                <w14:textFill>
                  <w14:solidFill>
                    <w14:schemeClr w14:val="tx1"/>
                  </w14:solidFill>
                </w14:textFill>
              </w:rPr>
              <w:t>除沙尘天气后的数值。</w:t>
            </w:r>
          </w:p>
          <w:p w14:paraId="55E01F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ascii="Times New Roman" w:hAnsi="Times New Roman" w:eastAsia="宋体"/>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根据上表的统计结果可知：</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原州区</w:t>
            </w:r>
            <w:r>
              <w:rPr>
                <w:rFonts w:hint="default" w:ascii="Times New Roman" w:hAnsi="Times New Roman" w:eastAsia="宋体" w:cs="Times New Roman"/>
                <w:color w:val="000000" w:themeColor="text1"/>
                <w:spacing w:val="0"/>
                <w:sz w:val="24"/>
                <w:highlight w:val="none"/>
                <w14:textFill>
                  <w14:solidFill>
                    <w14:schemeClr w14:val="tx1"/>
                  </w14:solidFill>
                </w14:textFill>
              </w:rPr>
              <w:t>202</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highlight w:val="none"/>
                <w14:textFill>
                  <w14:solidFill>
                    <w14:schemeClr w14:val="tx1"/>
                  </w14:solidFill>
                </w14:textFill>
              </w:rPr>
              <w:t>年</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6项基本污染物</w:t>
            </w:r>
            <w:r>
              <w:rPr>
                <w:rFonts w:hint="default" w:ascii="Times New Roman" w:hAnsi="Times New Roman" w:eastAsia="宋体" w:cs="Times New Roman"/>
                <w:color w:val="000000" w:themeColor="text1"/>
                <w:spacing w:val="0"/>
                <w:sz w:val="24"/>
                <w:highlight w:val="none"/>
                <w14:textFill>
                  <w14:solidFill>
                    <w14:schemeClr w14:val="tx1"/>
                  </w14:solidFill>
                </w14:textFill>
              </w:rPr>
              <w:t>监测</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结果</w:t>
            </w:r>
            <w:r>
              <w:rPr>
                <w:rFonts w:hint="default" w:ascii="Times New Roman" w:hAnsi="Times New Roman" w:eastAsia="宋体" w:cs="Times New Roman"/>
                <w:color w:val="000000" w:themeColor="text1"/>
                <w:spacing w:val="0"/>
                <w:sz w:val="24"/>
                <w:highlight w:val="none"/>
                <w14:textFill>
                  <w14:solidFill>
                    <w14:schemeClr w14:val="tx1"/>
                  </w14:solidFill>
                </w14:textFill>
              </w:rPr>
              <w:t>均满足《环境空气质量标准》（GB3095-2012）中二级标准限值要求</w:t>
            </w:r>
            <w:r>
              <w:rPr>
                <w:rFonts w:hint="eastAsia" w:ascii="Times New Roman" w:hAnsi="Times New Roman" w:eastAsia="宋体" w:cs="Times New Roman"/>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因此判定本</w:t>
            </w:r>
            <w:r>
              <w:rPr>
                <w:rFonts w:hint="default" w:ascii="Times New Roman" w:hAnsi="Times New Roman" w:eastAsia="宋体" w:cs="Times New Roman"/>
                <w:color w:val="000000" w:themeColor="text1"/>
                <w:spacing w:val="0"/>
                <w:sz w:val="24"/>
                <w:highlight w:val="none"/>
                <w14:textFill>
                  <w14:solidFill>
                    <w14:schemeClr w14:val="tx1"/>
                  </w14:solidFill>
                </w14:textFill>
              </w:rPr>
              <w:t>项目所在区域</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2024年环境空气质量评价为达标区。</w:t>
            </w:r>
          </w:p>
        </w:tc>
      </w:tr>
      <w:tr w14:paraId="46A4E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06" w:type="dxa"/>
            <w:vAlign w:val="center"/>
          </w:tcPr>
          <w:p w14:paraId="791B5A36">
            <w:pPr>
              <w:adjustRightInd w:val="0"/>
              <w:snapToGrid w:val="0"/>
              <w:jc w:val="center"/>
              <w:outlineLvl w:val="9"/>
              <w:rPr>
                <w:rFonts w:ascii="Times New Roman" w:hAnsi="Times New Roman" w:eastAsia="宋体"/>
                <w:color w:val="000000" w:themeColor="text1"/>
                <w:spacing w:val="0"/>
                <w:kern w:val="0"/>
                <w:szCs w:val="21"/>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与项目有关的原有环境污染和生态破坏问题</w:t>
            </w:r>
          </w:p>
        </w:tc>
        <w:tc>
          <w:tcPr>
            <w:tcW w:w="8720" w:type="dxa"/>
            <w:vAlign w:val="center"/>
          </w:tcPr>
          <w:p w14:paraId="166CAFC0">
            <w:pPr>
              <w:pStyle w:val="7"/>
              <w:spacing w:after="0" w:line="360" w:lineRule="auto"/>
              <w:ind w:left="0" w:leftChars="0" w:firstLine="480" w:firstLineChars="200"/>
              <w:jc w:val="left"/>
              <w:outlineLvl w:val="9"/>
              <w:rPr>
                <w:rFonts w:hint="default"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本项目变电站及线路均为新建工程，不涉及与项目有关的原有环境污染和生态破坏问题。</w:t>
            </w:r>
          </w:p>
        </w:tc>
      </w:tr>
      <w:tr w14:paraId="2BC23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706" w:type="dxa"/>
            <w:vAlign w:val="center"/>
          </w:tcPr>
          <w:p w14:paraId="3FF6663F">
            <w:pPr>
              <w:adjustRightInd w:val="0"/>
              <w:snapToGrid w:val="0"/>
              <w:jc w:val="center"/>
              <w:outlineLvl w:val="9"/>
              <w:rPr>
                <w:rFonts w:ascii="Times New Roman" w:hAnsi="Times New Roman" w:eastAsia="宋体"/>
                <w:color w:val="000000" w:themeColor="text1"/>
                <w:spacing w:val="0"/>
                <w:kern w:val="0"/>
                <w:szCs w:val="21"/>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生态环境保护目标</w:t>
            </w:r>
          </w:p>
        </w:tc>
        <w:tc>
          <w:tcPr>
            <w:tcW w:w="8720" w:type="dxa"/>
            <w:vAlign w:val="center"/>
          </w:tcPr>
          <w:p w14:paraId="6ABD4BC3">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1、评价等级</w:t>
            </w:r>
          </w:p>
          <w:p w14:paraId="7B105F9D">
            <w:pPr>
              <w:widowControl/>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（1）电磁环境</w:t>
            </w:r>
          </w:p>
          <w:p w14:paraId="4EEBD5CC">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本项目变电站电压等级为110kV，采用</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户外</w:t>
            </w:r>
            <w:r>
              <w:rPr>
                <w:rFonts w:ascii="Times New Roman" w:hAnsi="Times New Roman" w:eastAsia="宋体"/>
                <w:color w:val="000000" w:themeColor="text1"/>
                <w:spacing w:val="0"/>
                <w:sz w:val="24"/>
                <w:highlight w:val="none"/>
                <w14:textFill>
                  <w14:solidFill>
                    <w14:schemeClr w14:val="tx1"/>
                  </w14:solidFill>
                </w14:textFill>
              </w:rPr>
              <w:t>布置。根据《环境影响评价技术导则 输变电》</w:t>
            </w:r>
            <w:r>
              <w:rPr>
                <w:rFonts w:ascii="Times New Roman" w:hAnsi="Times New Roman" w:eastAsia="宋体"/>
                <w:bCs/>
                <w:color w:val="000000" w:themeColor="text1"/>
                <w:spacing w:val="0"/>
                <w:sz w:val="24"/>
                <w:highlight w:val="none"/>
                <w14:textFill>
                  <w14:solidFill>
                    <w14:schemeClr w14:val="tx1"/>
                  </w14:solidFill>
                </w14:textFill>
              </w:rPr>
              <w:t>（HJ24-2020）</w:t>
            </w:r>
            <w:r>
              <w:rPr>
                <w:rFonts w:ascii="Times New Roman" w:hAnsi="Times New Roman" w:eastAsia="宋体"/>
                <w:color w:val="000000" w:themeColor="text1"/>
                <w:spacing w:val="0"/>
                <w:sz w:val="24"/>
                <w:highlight w:val="none"/>
                <w14:textFill>
                  <w14:solidFill>
                    <w14:schemeClr w14:val="tx1"/>
                  </w14:solidFill>
                </w14:textFill>
              </w:rPr>
              <w:t>，确定本项目变电站电磁环境影响评价等级为</w:t>
            </w:r>
            <w:r>
              <w:rPr>
                <w:rFonts w:hint="eastAsia" w:ascii="Times New Roman" w:hAnsi="Times New Roman" w:eastAsia="宋体"/>
                <w:color w:val="000000" w:themeColor="text1"/>
                <w:spacing w:val="0"/>
                <w:sz w:val="24"/>
                <w:highlight w:val="none"/>
                <w14:textFill>
                  <w14:solidFill>
                    <w14:schemeClr w14:val="tx1"/>
                  </w14:solidFill>
                </w14:textFill>
              </w:rPr>
              <w:t>二</w:t>
            </w:r>
            <w:r>
              <w:rPr>
                <w:rFonts w:ascii="Times New Roman" w:hAnsi="Times New Roman" w:eastAsia="宋体"/>
                <w:color w:val="000000" w:themeColor="text1"/>
                <w:spacing w:val="0"/>
                <w:sz w:val="24"/>
                <w:highlight w:val="none"/>
                <w14:textFill>
                  <w14:solidFill>
                    <w14:schemeClr w14:val="tx1"/>
                  </w14:solidFill>
                </w14:textFill>
              </w:rPr>
              <w:t>级。</w:t>
            </w:r>
          </w:p>
          <w:p w14:paraId="547A6DFE">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本项目110kV输电线路采用</w:t>
            </w:r>
            <w:r>
              <w:rPr>
                <w:rFonts w:hint="eastAsia" w:ascii="Times New Roman" w:hAnsi="Times New Roman" w:eastAsia="宋体"/>
                <w:color w:val="000000" w:themeColor="text1"/>
                <w:spacing w:val="0"/>
                <w:sz w:val="24"/>
                <w:highlight w:val="none"/>
                <w14:textFill>
                  <w14:solidFill>
                    <w14:schemeClr w14:val="tx1"/>
                  </w14:solidFill>
                </w14:textFill>
              </w:rPr>
              <w:t>采用单、双回路架空架设及地下电缆敷设</w:t>
            </w:r>
            <w:r>
              <w:rPr>
                <w:rFonts w:hint="eastAsia"/>
                <w:color w:val="000000" w:themeColor="text1"/>
                <w:spacing w:val="0"/>
                <w:sz w:val="24"/>
                <w:highlight w:val="none"/>
                <w:lang w:eastAsia="zh-CN"/>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架空线路边导线地面投影外</w:t>
            </w:r>
            <w:r>
              <w:rPr>
                <w:rFonts w:hint="eastAsia" w:ascii="Times New Roman" w:hAnsi="Times New Roman" w:eastAsia="宋体"/>
                <w:color w:val="000000" w:themeColor="text1"/>
                <w:spacing w:val="0"/>
                <w:sz w:val="24"/>
                <w:highlight w:val="none"/>
                <w14:textFill>
                  <w14:solidFill>
                    <w14:schemeClr w14:val="tx1"/>
                  </w14:solidFill>
                </w14:textFill>
              </w:rPr>
              <w:t>两侧10m范围内</w:t>
            </w:r>
            <w:r>
              <w:rPr>
                <w:rFonts w:hint="eastAsia" w:ascii="Times New Roman" w:hAnsi="Times New Roman" w:eastAsia="宋体"/>
                <w:color w:val="000000" w:themeColor="text1"/>
                <w:spacing w:val="0"/>
                <w:sz w:val="24"/>
                <w:highlight w:val="none"/>
                <w:lang w:eastAsia="zh-CN"/>
                <w14:textFill>
                  <w14:solidFill>
                    <w14:schemeClr w14:val="tx1"/>
                  </w14:solidFill>
                </w14:textFill>
              </w:rPr>
              <w:t>无</w:t>
            </w:r>
            <w:r>
              <w:rPr>
                <w:rFonts w:hint="eastAsia" w:ascii="Times New Roman" w:hAnsi="Times New Roman" w:eastAsia="宋体"/>
                <w:color w:val="000000" w:themeColor="text1"/>
                <w:spacing w:val="0"/>
                <w:sz w:val="24"/>
                <w:highlight w:val="none"/>
                <w14:textFill>
                  <w14:solidFill>
                    <w14:schemeClr w14:val="tx1"/>
                  </w14:solidFill>
                </w14:textFill>
              </w:rPr>
              <w:t>环境敏感目标</w:t>
            </w:r>
            <w:r>
              <w:rPr>
                <w:rFonts w:hint="eastAsia"/>
                <w:color w:val="000000" w:themeColor="text1"/>
                <w:spacing w:val="0"/>
                <w:sz w:val="24"/>
                <w:highlight w:val="no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根据《环境影响评价技术导则 输变电》（HJ24-2020），确定本项目电磁环境影响评价等级为三级。</w:t>
            </w:r>
          </w:p>
          <w:p w14:paraId="103142A8">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综上，</w:t>
            </w:r>
            <w:r>
              <w:rPr>
                <w:rFonts w:hint="eastAsia"/>
                <w:color w:val="000000" w:themeColor="text1"/>
                <w:spacing w:val="0"/>
                <w:sz w:val="24"/>
                <w:highlight w:val="none"/>
                <w:lang w:val="en-US" w:eastAsia="zh-CN"/>
                <w14:textFill>
                  <w14:solidFill>
                    <w14:schemeClr w14:val="tx1"/>
                  </w14:solidFill>
                </w14:textFill>
              </w:rPr>
              <w:t>项目电磁环境影响评价等级按较高等级确定，即</w:t>
            </w:r>
            <w:r>
              <w:rPr>
                <w:rFonts w:ascii="Times New Roman" w:hAnsi="Times New Roman" w:eastAsia="宋体"/>
                <w:color w:val="000000" w:themeColor="text1"/>
                <w:spacing w:val="0"/>
                <w:sz w:val="24"/>
                <w:highlight w:val="none"/>
                <w14:textFill>
                  <w14:solidFill>
                    <w14:schemeClr w14:val="tx1"/>
                  </w14:solidFill>
                </w14:textFill>
              </w:rPr>
              <w:t>本项目电磁环境影响评价等级为</w:t>
            </w:r>
            <w:r>
              <w:rPr>
                <w:rFonts w:hint="eastAsia" w:ascii="Times New Roman" w:hAnsi="Times New Roman" w:eastAsia="宋体"/>
                <w:color w:val="000000" w:themeColor="text1"/>
                <w:spacing w:val="0"/>
                <w:sz w:val="24"/>
                <w:highlight w:val="none"/>
                <w14:textFill>
                  <w14:solidFill>
                    <w14:schemeClr w14:val="tx1"/>
                  </w14:solidFill>
                </w14:textFill>
              </w:rPr>
              <w:t>二</w:t>
            </w:r>
            <w:r>
              <w:rPr>
                <w:rFonts w:ascii="Times New Roman" w:hAnsi="Times New Roman" w:eastAsia="宋体"/>
                <w:color w:val="000000" w:themeColor="text1"/>
                <w:spacing w:val="0"/>
                <w:sz w:val="24"/>
                <w:highlight w:val="none"/>
                <w14:textFill>
                  <w14:solidFill>
                    <w14:schemeClr w14:val="tx1"/>
                  </w14:solidFill>
                </w14:textFill>
              </w:rPr>
              <w:t>级。</w:t>
            </w:r>
          </w:p>
          <w:p w14:paraId="1409B76F">
            <w:pPr>
              <w:widowControl/>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 xml:space="preserve">（2）生态环境 </w:t>
            </w:r>
          </w:p>
          <w:p w14:paraId="547C593A">
            <w:pPr>
              <w:widowControl/>
              <w:spacing w:line="360" w:lineRule="auto"/>
              <w:ind w:firstLine="480" w:firstLineChars="200"/>
              <w:jc w:val="left"/>
              <w:outlineLvl w:val="9"/>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lang w:bidi="ar"/>
                <w14:textFill>
                  <w14:solidFill>
                    <w14:schemeClr w14:val="tx1"/>
                  </w14:solidFill>
                </w14:textFill>
              </w:rPr>
              <w:t>根据《环境影响评价技术导则 生态影响》（HJ19-2022），</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t>①</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涉及国家公园、自然保护区、世界自然遗产、重要生境时，评价等级为一级</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t>；②</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涉及自然公园时，评价等级为二级</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t>；③</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涉及生态保护红线时，评价等级不低于二级</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t>；④</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根据HJ2.3判断属于水文要素影响型且地表水评价等级不低于二级的建设项目，生态影响评价等级不低于二级</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t>；⑤</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根据HJ610、HJ 964判断地下水水位或土壤影响范围内分布有天然林、公益林、湿地等生态保护目标的建设项目，生态影响评价等级不低于二级</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t>；⑥</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当工程占地规模大于20km</w:t>
            </w:r>
            <w:r>
              <w:rPr>
                <w:rFonts w:hint="default" w:ascii="Times New Roman" w:hAnsi="Times New Roman" w:eastAsia="宋体" w:cs="Times New Roman"/>
                <w:color w:val="000000" w:themeColor="text1"/>
                <w:spacing w:val="0"/>
                <w:kern w:val="0"/>
                <w:sz w:val="24"/>
                <w:vertAlign w:val="superscript"/>
                <w:lang w:bidi="ar"/>
                <w14:textFill>
                  <w14:solidFill>
                    <w14:schemeClr w14:val="tx1"/>
                  </w14:solidFill>
                </w14:textFill>
              </w:rPr>
              <w:t>2</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时</w:t>
            </w:r>
            <w:r>
              <w:rPr>
                <w:rFonts w:hint="eastAsia" w:ascii="Times New Roman" w:hAnsi="Times New Roman" w:eastAsia="宋体" w:cs="Times New Roman"/>
                <w:color w:val="000000" w:themeColor="text1"/>
                <w:spacing w:val="0"/>
                <w:kern w:val="0"/>
                <w:sz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包括永久和临时占用陆域和水域</w:t>
            </w:r>
            <w:r>
              <w:rPr>
                <w:rFonts w:hint="eastAsia" w:ascii="Times New Roman" w:hAnsi="Times New Roman" w:eastAsia="宋体" w:cs="Times New Roman"/>
                <w:color w:val="000000" w:themeColor="text1"/>
                <w:spacing w:val="0"/>
                <w:kern w:val="0"/>
                <w:sz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，评价等级不低于二级</w:t>
            </w:r>
            <w:r>
              <w:rPr>
                <w:rFonts w:hint="eastAsia" w:ascii="Times New Roman" w:hAnsi="Times New Roman" w:eastAsia="宋体" w:cs="Times New Roman"/>
                <w:color w:val="000000" w:themeColor="text1"/>
                <w:spacing w:val="0"/>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改扩建项目的占地范围以新增占地</w:t>
            </w:r>
            <w:r>
              <w:rPr>
                <w:rFonts w:hint="eastAsia" w:ascii="Times New Roman" w:hAnsi="Times New Roman" w:eastAsia="宋体" w:cs="Times New Roman"/>
                <w:color w:val="000000" w:themeColor="text1"/>
                <w:spacing w:val="0"/>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包括陆域和水域</w:t>
            </w:r>
            <w:r>
              <w:rPr>
                <w:rFonts w:hint="eastAsia" w:ascii="Times New Roman" w:hAnsi="Times New Roman" w:eastAsia="宋体" w:cs="Times New Roman"/>
                <w:color w:val="000000" w:themeColor="text1"/>
                <w:spacing w:val="0"/>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确定</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除本条a)、b)、c)、d)、e)、f)以外的情况，评价等级为三级</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fldChar w:fldCharType="begin"/>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instrText xml:space="preserve"> = 7 \* GB3 \* MERGEFORMAT </w:instrTex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fldChar w:fldCharType="separate"/>
            </w:r>
            <w:r>
              <w:rPr>
                <w:rFonts w:hint="default" w:ascii="Times New Roman" w:hAnsi="Times New Roman" w:eastAsia="宋体" w:cs="Times New Roman"/>
                <w:color w:val="000000" w:themeColor="text1"/>
                <w:spacing w:val="0"/>
                <w:kern w:val="0"/>
                <w:sz w:val="24"/>
                <w:lang w:bidi="ar"/>
                <w14:textFill>
                  <w14:solidFill>
                    <w14:schemeClr w14:val="tx1"/>
                  </w14:solidFill>
                </w14:textFill>
              </w:rPr>
              <w:t>⑦</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fldChar w:fldCharType="end"/>
            </w:r>
            <w:r>
              <w:rPr>
                <w:rFonts w:hint="default" w:ascii="Times New Roman" w:hAnsi="Times New Roman" w:eastAsia="宋体" w:cs="Times New Roman"/>
                <w:color w:val="000000" w:themeColor="text1"/>
                <w:spacing w:val="0"/>
                <w:kern w:val="0"/>
                <w:sz w:val="24"/>
                <w:lang w:bidi="ar"/>
                <w14:textFill>
                  <w14:solidFill>
                    <w14:schemeClr w14:val="tx1"/>
                  </w14:solidFill>
                </w14:textFill>
              </w:rPr>
              <w:t>线性工程地下穿越或地表跨越生态敏感区，在生态敏感区范围内无永久、临时占地时，评价等级可下调一级</w:t>
            </w:r>
            <w:r>
              <w:rPr>
                <w:rFonts w:hint="default" w:ascii="Times New Roman" w:hAnsi="Times New Roman" w:eastAsia="宋体" w:cs="Times New Roman"/>
                <w:color w:val="000000" w:themeColor="text1"/>
                <w:spacing w:val="0"/>
                <w:kern w:val="0"/>
                <w:sz w:val="24"/>
                <w:lang w:eastAsia="zh-CN" w:bidi="ar"/>
                <w14:textFill>
                  <w14:solidFill>
                    <w14:schemeClr w14:val="tx1"/>
                  </w14:solidFill>
                </w14:textFill>
              </w:rPr>
              <w:t>。</w:t>
            </w:r>
          </w:p>
          <w:p w14:paraId="2112BB57">
            <w:pPr>
              <w:spacing w:line="360" w:lineRule="auto"/>
              <w:ind w:firstLine="482"/>
              <w:outlineLvl w:val="9"/>
              <w:rPr>
                <w:rFonts w:hint="default" w:ascii="Times New Roman" w:hAnsi="Times New Roman" w:eastAsia="宋体" w:cs="Times New Roman"/>
                <w:color w:val="000000" w:themeColor="text1"/>
                <w:spacing w:val="0"/>
                <w:kern w:val="0"/>
                <w:sz w:val="24"/>
                <w:highlight w:val="none"/>
                <w:lang w:bidi="ar"/>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lang w:bidi="ar"/>
                <w14:textFill>
                  <w14:solidFill>
                    <w14:schemeClr w14:val="tx1"/>
                  </w14:solidFill>
                </w14:textFill>
              </w:rPr>
              <w:t>本项目占地</w:t>
            </w:r>
            <w:r>
              <w:rPr>
                <w:rFonts w:hint="eastAsia" w:cs="Times New Roman"/>
                <w:color w:val="000000" w:themeColor="text1"/>
                <w:spacing w:val="0"/>
                <w:kern w:val="0"/>
                <w:sz w:val="24"/>
                <w:highlight w:val="none"/>
                <w:lang w:val="en-US" w:eastAsia="zh-CN" w:bidi="ar"/>
                <w14:textFill>
                  <w14:solidFill>
                    <w14:schemeClr w14:val="tx1"/>
                  </w14:solidFill>
                </w14:textFill>
              </w:rPr>
              <w:t>0.039</w:t>
            </w:r>
            <w:r>
              <w:rPr>
                <w:rFonts w:hint="default" w:ascii="Times New Roman" w:hAnsi="Times New Roman" w:eastAsia="宋体" w:cs="Times New Roman"/>
                <w:color w:val="000000" w:themeColor="text1"/>
                <w:spacing w:val="0"/>
                <w:kern w:val="0"/>
                <w:sz w:val="24"/>
                <w:highlight w:val="none"/>
                <w:lang w:val="en-US" w:eastAsia="zh-CN" w:bidi="ar"/>
                <w14:textFill>
                  <w14:solidFill>
                    <w14:schemeClr w14:val="tx1"/>
                  </w14:solidFill>
                </w14:textFill>
              </w:rPr>
              <w:t>k</w:t>
            </w:r>
            <w:r>
              <w:rPr>
                <w:rFonts w:hint="default" w:ascii="Times New Roman" w:hAnsi="Times New Roman" w:eastAsia="宋体" w:cs="Times New Roman"/>
                <w:color w:val="000000" w:themeColor="text1"/>
                <w:spacing w:val="0"/>
                <w:kern w:val="0"/>
                <w:sz w:val="24"/>
                <w:highlight w:val="none"/>
                <w:lang w:bidi="ar"/>
                <w14:textFill>
                  <w14:solidFill>
                    <w14:schemeClr w14:val="tx1"/>
                  </w14:solidFill>
                </w14:textFill>
              </w:rPr>
              <w:t>m</w:t>
            </w:r>
            <w:r>
              <w:rPr>
                <w:rFonts w:hint="default" w:ascii="Times New Roman" w:hAnsi="Times New Roman" w:eastAsia="宋体" w:cs="Times New Roman"/>
                <w:color w:val="000000" w:themeColor="text1"/>
                <w:spacing w:val="0"/>
                <w:kern w:val="0"/>
                <w:sz w:val="24"/>
                <w:highlight w:val="none"/>
                <w:vertAlign w:val="superscript"/>
                <w:lang w:bidi="ar"/>
                <w14:textFill>
                  <w14:solidFill>
                    <w14:schemeClr w14:val="tx1"/>
                  </w14:solidFill>
                </w14:textFill>
              </w:rPr>
              <w:t>2</w:t>
            </w:r>
            <w:r>
              <w:rPr>
                <w:rFonts w:hint="default" w:ascii="Times New Roman" w:hAnsi="Times New Roman" w:eastAsia="宋体" w:cs="Times New Roman"/>
                <w:color w:val="000000" w:themeColor="text1"/>
                <w:spacing w:val="0"/>
                <w:kern w:val="0"/>
                <w:sz w:val="24"/>
                <w:highlight w:val="none"/>
                <w:lang w:bidi="ar"/>
                <w14:textFill>
                  <w14:solidFill>
                    <w14:schemeClr w14:val="tx1"/>
                  </w14:solidFill>
                </w14:textFill>
              </w:rPr>
              <w:t>，小于20km</w:t>
            </w:r>
            <w:r>
              <w:rPr>
                <w:rFonts w:hint="default" w:ascii="Times New Roman" w:hAnsi="Times New Roman" w:eastAsia="宋体" w:cs="Times New Roman"/>
                <w:color w:val="000000" w:themeColor="text1"/>
                <w:spacing w:val="0"/>
                <w:kern w:val="0"/>
                <w:sz w:val="24"/>
                <w:highlight w:val="none"/>
                <w:vertAlign w:val="superscript"/>
                <w:lang w:bidi="ar"/>
                <w14:textFill>
                  <w14:solidFill>
                    <w14:schemeClr w14:val="tx1"/>
                  </w14:solidFill>
                </w14:textFill>
              </w:rPr>
              <w:t>2</w:t>
            </w:r>
            <w:r>
              <w:rPr>
                <w:rFonts w:hint="default" w:ascii="Times New Roman" w:hAnsi="Times New Roman" w:eastAsia="宋体" w:cs="Times New Roman"/>
                <w:color w:val="000000" w:themeColor="text1"/>
                <w:spacing w:val="0"/>
                <w:kern w:val="0"/>
                <w:sz w:val="24"/>
                <w:highlight w:val="none"/>
                <w:lang w:bidi="ar"/>
                <w14:textFill>
                  <w14:solidFill>
                    <w14:schemeClr w14:val="tx1"/>
                  </w14:solidFill>
                </w14:textFill>
              </w:rPr>
              <w:t>。</w:t>
            </w:r>
            <w:r>
              <w:rPr>
                <w:rFonts w:hint="default" w:ascii="Times New Roman" w:hAnsi="Times New Roman" w:eastAsia="宋体" w:cs="Times New Roman"/>
                <w:color w:val="000000" w:themeColor="text1"/>
                <w:spacing w:val="0"/>
                <w:kern w:val="0"/>
                <w:sz w:val="24"/>
                <w:lang w:bidi="ar"/>
                <w14:textFill>
                  <w14:solidFill>
                    <w14:schemeClr w14:val="tx1"/>
                  </w14:solidFill>
                </w14:textFill>
              </w:rPr>
              <w:t>本</w:t>
            </w:r>
            <w:r>
              <w:rPr>
                <w:rFonts w:hint="default" w:ascii="Times New Roman" w:hAnsi="Times New Roman" w:eastAsia="宋体" w:cs="Times New Roman"/>
                <w:color w:val="000000" w:themeColor="text1"/>
                <w:spacing w:val="0"/>
                <w:kern w:val="0"/>
                <w:sz w:val="24"/>
                <w:highlight w:val="none"/>
                <w:lang w:bidi="ar"/>
                <w14:textFill>
                  <w14:solidFill>
                    <w14:schemeClr w14:val="tx1"/>
                  </w14:solidFill>
                </w14:textFill>
              </w:rPr>
              <w:t>项目不涉及</w:t>
            </w:r>
            <w:r>
              <w:rPr>
                <w:rFonts w:hint="eastAsia" w:ascii="Times New Roman" w:hAnsi="Times New Roman" w:eastAsia="宋体" w:cs="Times New Roman"/>
                <w:color w:val="000000" w:themeColor="text1"/>
                <w:spacing w:val="0"/>
                <w:kern w:val="0"/>
                <w:sz w:val="24"/>
                <w:highlight w:val="none"/>
                <w:lang w:val="en-US" w:eastAsia="zh-CN" w:bidi="ar"/>
                <w14:textFill>
                  <w14:solidFill>
                    <w14:schemeClr w14:val="tx1"/>
                  </w14:solidFill>
                </w14:textFill>
              </w:rPr>
              <w:t>国家公园、</w:t>
            </w:r>
            <w:r>
              <w:rPr>
                <w:rFonts w:hint="default" w:ascii="Times New Roman" w:hAnsi="Times New Roman" w:eastAsia="宋体" w:cs="Times New Roman"/>
                <w:color w:val="000000" w:themeColor="text1"/>
                <w:spacing w:val="0"/>
                <w:kern w:val="0"/>
                <w:sz w:val="24"/>
                <w:highlight w:val="none"/>
                <w:lang w:bidi="ar"/>
                <w14:textFill>
                  <w14:solidFill>
                    <w14:schemeClr w14:val="tx1"/>
                  </w14:solidFill>
                </w14:textFill>
              </w:rPr>
              <w:t>自然保护区、世界自然遗产</w:t>
            </w:r>
            <w:r>
              <w:rPr>
                <w:rFonts w:hint="eastAsia" w:ascii="Times New Roman" w:hAnsi="Times New Roman" w:eastAsia="宋体" w:cs="Times New Roman"/>
                <w:color w:val="000000" w:themeColor="text1"/>
                <w:spacing w:val="0"/>
                <w:kern w:val="0"/>
                <w:sz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pacing w:val="0"/>
                <w:kern w:val="0"/>
                <w:sz w:val="24"/>
                <w:highlight w:val="none"/>
                <w:lang w:val="en-US" w:eastAsia="zh-CN" w:bidi="ar"/>
                <w14:textFill>
                  <w14:solidFill>
                    <w14:schemeClr w14:val="tx1"/>
                  </w14:solidFill>
                </w14:textFill>
              </w:rPr>
              <w:t>重要生境、自然公园、生态保护红线</w:t>
            </w:r>
            <w:r>
              <w:rPr>
                <w:rFonts w:hint="default" w:ascii="Times New Roman" w:hAnsi="Times New Roman" w:eastAsia="宋体" w:cs="Times New Roman"/>
                <w:color w:val="000000" w:themeColor="text1"/>
                <w:spacing w:val="0"/>
                <w:kern w:val="0"/>
                <w:sz w:val="24"/>
                <w:highlight w:val="none"/>
                <w:lang w:bidi="ar"/>
                <w14:textFill>
                  <w14:solidFill>
                    <w14:schemeClr w14:val="tx1"/>
                  </w14:solidFill>
                </w14:textFill>
              </w:rPr>
              <w:t>等</w:t>
            </w:r>
            <w:r>
              <w:rPr>
                <w:rFonts w:hint="eastAsia" w:ascii="Times New Roman" w:hAnsi="Times New Roman" w:eastAsia="宋体" w:cs="Times New Roman"/>
                <w:color w:val="000000" w:themeColor="text1"/>
                <w:spacing w:val="0"/>
                <w:kern w:val="0"/>
                <w:sz w:val="24"/>
                <w:highlight w:val="none"/>
                <w:lang w:val="en-US" w:eastAsia="zh-CN" w:bidi="ar"/>
                <w14:textFill>
                  <w14:solidFill>
                    <w14:schemeClr w14:val="tx1"/>
                  </w14:solidFill>
                </w14:textFill>
              </w:rPr>
              <w:t>生态</w:t>
            </w:r>
            <w:r>
              <w:rPr>
                <w:rFonts w:hint="default" w:ascii="Times New Roman" w:hAnsi="Times New Roman" w:eastAsia="宋体" w:cs="Times New Roman"/>
                <w:color w:val="000000" w:themeColor="text1"/>
                <w:spacing w:val="0"/>
                <w:kern w:val="0"/>
                <w:sz w:val="24"/>
                <w:highlight w:val="none"/>
                <w:lang w:bidi="ar"/>
                <w14:textFill>
                  <w14:solidFill>
                    <w14:schemeClr w14:val="tx1"/>
                  </w14:solidFill>
                </w14:textFill>
              </w:rPr>
              <w:t>敏感区</w:t>
            </w:r>
            <w:r>
              <w:rPr>
                <w:rFonts w:hint="eastAsia" w:ascii="Times New Roman" w:hAnsi="Times New Roman" w:eastAsia="宋体" w:cs="Times New Roman"/>
                <w:color w:val="000000" w:themeColor="text1"/>
                <w:spacing w:val="0"/>
                <w:kern w:val="0"/>
                <w:sz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pacing w:val="0"/>
                <w:kern w:val="0"/>
                <w:sz w:val="24"/>
                <w:highlight w:val="none"/>
                <w:lang w:val="en-US" w:eastAsia="zh-CN" w:bidi="ar"/>
                <w14:textFill>
                  <w14:solidFill>
                    <w14:schemeClr w14:val="tx1"/>
                  </w14:solidFill>
                </w14:textFill>
              </w:rPr>
              <w:t>评价等级为</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三级。</w:t>
            </w:r>
          </w:p>
          <w:p w14:paraId="53CED2BF">
            <w:pPr>
              <w:widowControl/>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lang w:val="en-US" w:eastAsia="zh-CN" w:bidi="ar"/>
                <w14:textFill>
                  <w14:solidFill>
                    <w14:schemeClr w14:val="tx1"/>
                  </w14:solidFill>
                </w14:textFill>
              </w:rPr>
              <w:t>综上所述，本项目</w:t>
            </w:r>
            <w:r>
              <w:rPr>
                <w:rFonts w:ascii="Times New Roman" w:hAnsi="Times New Roman" w:eastAsia="宋体"/>
                <w:color w:val="000000" w:themeColor="text1"/>
                <w:spacing w:val="0"/>
                <w:sz w:val="24"/>
                <w:highlight w:val="none"/>
                <w14:textFill>
                  <w14:solidFill>
                    <w14:schemeClr w14:val="tx1"/>
                  </w14:solidFill>
                </w14:textFill>
              </w:rPr>
              <w:t>生态影响评价等级为</w:t>
            </w:r>
            <w:r>
              <w:rPr>
                <w:rFonts w:hint="eastAsia" w:ascii="Times New Roman" w:hAnsi="Times New Roman" w:eastAsia="宋体"/>
                <w:color w:val="000000" w:themeColor="text1"/>
                <w:spacing w:val="0"/>
                <w:sz w:val="24"/>
                <w:highlight w:val="none"/>
                <w14:textFill>
                  <w14:solidFill>
                    <w14:schemeClr w14:val="tx1"/>
                  </w14:solidFill>
                </w14:textFill>
              </w:rPr>
              <w:t>三</w:t>
            </w:r>
            <w:r>
              <w:rPr>
                <w:rFonts w:ascii="Times New Roman" w:hAnsi="Times New Roman" w:eastAsia="宋体"/>
                <w:color w:val="000000" w:themeColor="text1"/>
                <w:spacing w:val="0"/>
                <w:sz w:val="24"/>
                <w:highlight w:val="none"/>
                <w14:textFill>
                  <w14:solidFill>
                    <w14:schemeClr w14:val="tx1"/>
                  </w14:solidFill>
                </w14:textFill>
              </w:rPr>
              <w:t>级。</w:t>
            </w:r>
          </w:p>
          <w:p w14:paraId="4077D6C8">
            <w:pPr>
              <w:widowControl/>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 xml:space="preserve">（3）声环境 </w:t>
            </w:r>
          </w:p>
          <w:p w14:paraId="68410B4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根据《环境影响评价技术导则 声环境》（HJ2.4-2021）5.1.3建设项目所处的声环境功能区为GB3096规定的1类、2类地区，或建设项目建设前后评价范围内声环境保护目标噪声级增量达3dB(A)～5dB(A)，或受噪声影响人口数量增加较多时，按二级评价。5.1.4建设项目所处的声环境功能区为GB3096规定的3类、4类地区，或建设项目建设前后评价范围内声环境保护目标噪声级增量在3dB(A)以下（不含3dB(A)），且受影响人口数量变化不大时，按三级评价。5.1.5在确定评价等级时，如果建设项目符合两个等级的划分原则，按较高等级评价。</w:t>
            </w:r>
          </w:p>
          <w:p w14:paraId="26A520A8">
            <w:pPr>
              <w:widowControl/>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本项目位于《声环境质量标准》（GB3096-2008）1类、2类</w:t>
            </w:r>
            <w:r>
              <w:rPr>
                <w:rFonts w:hint="default" w:ascii="Times New Roman" w:hAnsi="Times New Roman" w:eastAsia="宋体" w:cs="Times New Roman"/>
                <w:color w:val="000000" w:themeColor="text1"/>
                <w:spacing w:val="0"/>
                <w:w w:val="100"/>
                <w:position w:val="0"/>
                <w:sz w:val="24"/>
                <w:highlight w:val="none"/>
                <w14:textFill>
                  <w14:solidFill>
                    <w14:schemeClr w14:val="tx1"/>
                  </w14:solidFill>
                </w14:textFill>
              </w:rPr>
              <w:t>地区</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，经预测</w:t>
            </w:r>
            <w:r>
              <w:rPr>
                <w:rFonts w:hint="eastAsia"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建设后</w:t>
            </w:r>
            <w:r>
              <w:rPr>
                <w:rFonts w:hint="eastAsia"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评价范围内声环境保护</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目标噪声级增量小于3dB</w:t>
            </w:r>
            <w:r>
              <w:rPr>
                <w:rFonts w:hint="eastAsia"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，受噪声影响的人口数量变化不大。根据《环境影响评价技术导则 声环境》（HJ2.4-2021），</w:t>
            </w:r>
            <w:r>
              <w:rPr>
                <w:rFonts w:hint="eastAsia"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声环境</w:t>
            </w:r>
            <w:r>
              <w:rPr>
                <w:rFonts w:hint="eastAsia"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影响评价等级为</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二级。</w:t>
            </w:r>
          </w:p>
          <w:p w14:paraId="27E29A5C">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 xml:space="preserve">（4）地表水环境 </w:t>
            </w:r>
          </w:p>
          <w:p w14:paraId="676E2139">
            <w:pPr>
              <w:spacing w:line="360" w:lineRule="auto"/>
              <w:ind w:firstLine="480"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正常运行时产生的污水主要来自变电站运行维护人员</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及门卫</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产生的生活污水，污染因子比较简单（主要为PH、COD、BOD</w:t>
            </w:r>
            <w:r>
              <w:rPr>
                <w:rFonts w:hint="default" w:ascii="Times New Roman" w:hAnsi="Times New Roman" w:eastAsia="宋体" w:cs="Times New Roman"/>
                <w:color w:val="000000" w:themeColor="text1"/>
                <w:spacing w:val="0"/>
                <w:kern w:val="0"/>
                <w:sz w:val="24"/>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、NH</w:t>
            </w:r>
            <w:r>
              <w:rPr>
                <w:rFonts w:hint="default" w:ascii="Times New Roman" w:hAnsi="Times New Roman" w:eastAsia="宋体" w:cs="Times New Roman"/>
                <w:color w:val="000000" w:themeColor="text1"/>
                <w:spacing w:val="0"/>
                <w:kern w:val="0"/>
                <w:sz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-N等），且产生量很小。产生的生活污水经站区内化粪池处理后，</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定期清运</w:t>
            </w:r>
            <w:r>
              <w:rPr>
                <w:rFonts w:hint="default"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，不外排。</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根据《环境影响评价技术导则</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地面水环境》（HJ2.3-2018），本</w:t>
            </w:r>
            <w:r>
              <w:rPr>
                <w:rFonts w:hint="eastAsia"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pacing w:val="0"/>
                <w:kern w:val="0"/>
                <w:sz w:val="24"/>
                <w:highlight w:val="none"/>
                <w:lang w:val="en-US" w:eastAsia="zh-CN"/>
                <w14:textFill>
                  <w14:solidFill>
                    <w14:schemeClr w14:val="tx1"/>
                  </w14:solidFill>
                </w14:textFill>
              </w:rPr>
              <w:t>产生的污水不直接排放到外环境，按三级B评价</w:t>
            </w:r>
            <w:r>
              <w:rPr>
                <w:rFonts w:ascii="Times New Roman" w:hAnsi="Times New Roman" w:eastAsia="宋体"/>
                <w:color w:val="000000" w:themeColor="text1"/>
                <w:spacing w:val="0"/>
                <w:kern w:val="0"/>
                <w:sz w:val="24"/>
                <w:highlight w:val="none"/>
                <w14:textFill>
                  <w14:solidFill>
                    <w14:schemeClr w14:val="tx1"/>
                  </w14:solidFill>
                </w14:textFill>
              </w:rPr>
              <w:t>。</w:t>
            </w:r>
          </w:p>
          <w:p w14:paraId="06FD6419">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2、评价范围</w:t>
            </w:r>
          </w:p>
          <w:p w14:paraId="41F5C522">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olor w:val="000000" w:themeColor="text1"/>
                <w:spacing w:val="0"/>
                <w:sz w:val="24"/>
                <w:highlight w:val="none"/>
                <w:lang w:val="en-US"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根据《环境影响评价技术导则 输变电》（HJ24-2020）、</w:t>
            </w:r>
            <w:r>
              <w:rPr>
                <w:rFonts w:ascii="Times New Roman" w:hAnsi="Times New Roman" w:eastAsia="宋体"/>
                <w:bCs/>
                <w:color w:val="000000" w:themeColor="text1"/>
                <w:spacing w:val="0"/>
                <w:sz w:val="24"/>
                <w:highlight w:val="none"/>
                <w14:textFill>
                  <w14:solidFill>
                    <w14:schemeClr w14:val="tx1"/>
                  </w14:solidFill>
                </w14:textFill>
              </w:rPr>
              <w:t>《环境影响评价技术导则 声环境》（HJ2.4-2021）</w:t>
            </w:r>
            <w:r>
              <w:rPr>
                <w:rFonts w:ascii="Times New Roman" w:hAnsi="Times New Roman" w:eastAsia="宋体"/>
                <w:color w:val="000000" w:themeColor="text1"/>
                <w:spacing w:val="0"/>
                <w:sz w:val="24"/>
                <w:highlight w:val="none"/>
                <w14:textFill>
                  <w14:solidFill>
                    <w14:schemeClr w14:val="tx1"/>
                  </w14:solidFill>
                </w14:textFill>
              </w:rPr>
              <w:t>中有关评价范围的规定，确定本项目评价范围</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w:t>
            </w:r>
          </w:p>
          <w:p w14:paraId="2BA2B8ED">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b w:val="0"/>
                <w:bCs w:val="0"/>
                <w:color w:val="000000" w:themeColor="text1"/>
                <w:spacing w:val="0"/>
                <w:sz w:val="24"/>
                <w14:textFill>
                  <w14:solidFill>
                    <w14:schemeClr w14:val="tx1"/>
                  </w14:solidFill>
                </w14:textFill>
              </w:rPr>
            </w:pPr>
            <w:r>
              <w:rPr>
                <w:rFonts w:hint="default" w:ascii="Times New Roman" w:hAnsi="Times New Roman" w:eastAsia="宋体" w:cs="Times New Roman"/>
                <w:b w:val="0"/>
                <w:bCs w:val="0"/>
                <w:color w:val="000000" w:themeColor="text1"/>
                <w:spacing w:val="0"/>
                <w:sz w:val="24"/>
                <w14:textFill>
                  <w14:solidFill>
                    <w14:schemeClr w14:val="tx1"/>
                  </w14:solidFill>
                </w14:textFill>
              </w:rPr>
              <w:t>（1）</w: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变电站</w:t>
            </w:r>
            <w:r>
              <w:rPr>
                <w:rFonts w:hint="eastAsia" w:ascii="Times New Roman" w:hAnsi="Times New Roman" w:eastAsia="宋体" w:cs="Times New Roman"/>
                <w:b w:val="0"/>
                <w:bCs w:val="0"/>
                <w:color w:val="000000" w:themeColor="text1"/>
                <w:spacing w:val="0"/>
                <w:sz w:val="24"/>
                <w:lang w:val="en-US" w:eastAsia="zh-CN"/>
                <w14:textFill>
                  <w14:solidFill>
                    <w14:schemeClr w14:val="tx1"/>
                  </w14:solidFill>
                </w14:textFill>
              </w:rPr>
              <w:t>工程</w:t>
            </w:r>
          </w:p>
          <w:p w14:paraId="16642D0B">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spacing w:val="0"/>
                <w:sz w:val="24"/>
                <w14:textFill>
                  <w14:solidFill>
                    <w14:schemeClr w14:val="tx1"/>
                  </w14:solidFill>
                </w14:textFill>
              </w:rPr>
            </w:pP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①</w:t>
            </w:r>
            <w:r>
              <w:rPr>
                <w:rFonts w:hint="default" w:ascii="Times New Roman" w:hAnsi="Times New Roman" w:eastAsia="宋体" w:cs="Times New Roman"/>
                <w:color w:val="000000" w:themeColor="text1"/>
                <w:spacing w:val="0"/>
                <w:sz w:val="24"/>
                <w14:textFill>
                  <w14:solidFill>
                    <w14:schemeClr w14:val="tx1"/>
                  </w14:solidFill>
                </w14:textFill>
              </w:rPr>
              <w:t>工频电场、工频磁场：</w:t>
            </w:r>
            <w:r>
              <w:rPr>
                <w:rFonts w:hint="default" w:ascii="Times New Roman" w:hAnsi="Times New Roman" w:eastAsia="宋体" w:cs="Times New Roman"/>
                <w:color w:val="000000" w:themeColor="text1"/>
                <w:spacing w:val="0"/>
                <w:kern w:val="0"/>
                <w:sz w:val="24"/>
                <w14:textFill>
                  <w14:solidFill>
                    <w14:schemeClr w14:val="tx1"/>
                  </w14:solidFill>
                </w14:textFill>
              </w:rPr>
              <w:t>站界外</w:t>
            </w:r>
            <w:r>
              <w:rPr>
                <w:rFonts w:hint="eastAsia" w:ascii="Times New Roman" w:hAnsi="Times New Roman" w:eastAsia="宋体" w:cs="Times New Roman"/>
                <w:color w:val="000000" w:themeColor="text1"/>
                <w:spacing w:val="0"/>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sz w:val="24"/>
                <w14:textFill>
                  <w14:solidFill>
                    <w14:schemeClr w14:val="tx1"/>
                  </w14:solidFill>
                </w14:textFill>
              </w:rPr>
              <w:t>0m</w:t>
            </w:r>
            <w:r>
              <w:rPr>
                <w:rFonts w:hint="default" w:ascii="Times New Roman" w:hAnsi="Times New Roman" w:eastAsia="宋体" w:cs="Times New Roman"/>
                <w:color w:val="000000" w:themeColor="text1"/>
                <w:spacing w:val="0"/>
                <w:sz w:val="24"/>
                <w14:textFill>
                  <w14:solidFill>
                    <w14:schemeClr w14:val="tx1"/>
                  </w14:solidFill>
                </w14:textFill>
              </w:rPr>
              <w:t>；</w:t>
            </w:r>
          </w:p>
          <w:p w14:paraId="5F1772C3">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spacing w:val="0"/>
                <w:sz w:val="24"/>
                <w14:textFill>
                  <w14:solidFill>
                    <w14:schemeClr w14:val="tx1"/>
                  </w14:solidFill>
                </w14:textFill>
              </w:rPr>
            </w:pP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②</w:t>
            </w:r>
            <w:r>
              <w:rPr>
                <w:rFonts w:hint="default" w:ascii="Times New Roman" w:hAnsi="Times New Roman" w:eastAsia="宋体" w:cs="Times New Roman"/>
                <w:color w:val="000000" w:themeColor="text1"/>
                <w:spacing w:val="0"/>
                <w:sz w:val="24"/>
                <w14:textFill>
                  <w14:solidFill>
                    <w14:schemeClr w14:val="tx1"/>
                  </w14:solidFill>
                </w14:textFill>
              </w:rPr>
              <w:t>声环境：</w:t>
            </w:r>
            <w:r>
              <w:rPr>
                <w:rFonts w:hint="default" w:ascii="Times New Roman" w:hAnsi="Times New Roman" w:eastAsia="宋体" w:cs="Times New Roman"/>
                <w:color w:val="000000" w:themeColor="text1"/>
                <w:spacing w:val="0"/>
                <w:kern w:val="0"/>
                <w:sz w:val="24"/>
                <w14:textFill>
                  <w14:solidFill>
                    <w14:schemeClr w14:val="tx1"/>
                  </w14:solidFill>
                </w14:textFill>
              </w:rPr>
              <w:t>站界外200m范围内</w:t>
            </w:r>
            <w:r>
              <w:rPr>
                <w:rFonts w:hint="default" w:ascii="Times New Roman" w:hAnsi="Times New Roman" w:eastAsia="宋体" w:cs="Times New Roman"/>
                <w:color w:val="000000" w:themeColor="text1"/>
                <w:spacing w:val="0"/>
                <w:sz w:val="24"/>
                <w14:textFill>
                  <w14:solidFill>
                    <w14:schemeClr w14:val="tx1"/>
                  </w14:solidFill>
                </w14:textFill>
              </w:rPr>
              <w:t>；</w:t>
            </w:r>
          </w:p>
          <w:p w14:paraId="03A2B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olor w:val="000000" w:themeColor="text1"/>
                <w:spacing w:val="0"/>
                <w:sz w:val="24"/>
                <w:szCs w:val="24"/>
                <w14:textFill>
                  <w14:solidFill>
                    <w14:schemeClr w14:val="tx1"/>
                  </w14:solidFill>
                </w14:textFill>
              </w:rPr>
            </w:pPr>
            <w:r>
              <w:rPr>
                <w:rFonts w:hint="eastAsia" w:ascii="Times New Roman" w:hAnsi="Times New Roman" w:eastAsia="宋体"/>
                <w:color w:val="000000" w:themeColor="text1"/>
                <w:spacing w:val="0"/>
                <w:sz w:val="24"/>
                <w:szCs w:val="24"/>
                <w:lang w:val="en-US" w:eastAsia="zh-CN"/>
                <w14:textFill>
                  <w14:solidFill>
                    <w14:schemeClr w14:val="tx1"/>
                  </w14:solidFill>
                </w14:textFill>
              </w:rPr>
              <w:t>③</w:t>
            </w:r>
            <w:r>
              <w:rPr>
                <w:rFonts w:hint="default" w:ascii="Times New Roman" w:hAnsi="Times New Roman" w:eastAsia="宋体"/>
                <w:color w:val="000000" w:themeColor="text1"/>
                <w:spacing w:val="0"/>
                <w:sz w:val="24"/>
                <w:szCs w:val="24"/>
                <w14:textFill>
                  <w14:solidFill>
                    <w14:schemeClr w14:val="tx1"/>
                  </w14:solidFill>
                </w14:textFill>
              </w:rPr>
              <w:t>生态环境：站场围墙外500m内。</w:t>
            </w:r>
          </w:p>
          <w:p w14:paraId="7B5D9C94">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b w:val="0"/>
                <w:bCs w:val="0"/>
                <w:color w:val="000000" w:themeColor="text1"/>
                <w:spacing w:val="0"/>
                <w:sz w:val="24"/>
                <w14:textFill>
                  <w14:solidFill>
                    <w14:schemeClr w14:val="tx1"/>
                  </w14:solidFill>
                </w14:textFill>
              </w:rPr>
            </w:pPr>
            <w:r>
              <w:rPr>
                <w:rFonts w:hint="default" w:ascii="Times New Roman" w:hAnsi="Times New Roman" w:eastAsia="宋体" w:cs="Times New Roman"/>
                <w:b w:val="0"/>
                <w:bCs w:val="0"/>
                <w:color w:val="000000" w:themeColor="text1"/>
                <w:spacing w:val="0"/>
                <w:sz w:val="24"/>
                <w14:textFill>
                  <w14:solidFill>
                    <w14:schemeClr w14:val="tx1"/>
                  </w14:solidFill>
                </w14:textFill>
              </w:rPr>
              <w:t>（</w:t>
            </w:r>
            <w:r>
              <w:rPr>
                <w:rFonts w:hint="eastAsia" w:ascii="Times New Roman" w:hAnsi="Times New Roman" w:eastAsia="宋体" w:cs="Times New Roman"/>
                <w:b w:val="0"/>
                <w:bCs w:val="0"/>
                <w:color w:val="000000" w:themeColor="text1"/>
                <w:spacing w:val="0"/>
                <w:sz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sz w:val="24"/>
                <w14:textFill>
                  <w14:solidFill>
                    <w14:schemeClr w14:val="tx1"/>
                  </w14:solidFill>
                </w14:textFill>
              </w:rPr>
              <w:t>）</w:t>
            </w:r>
            <w:r>
              <w:rPr>
                <w:rFonts w:hint="eastAsia" w:ascii="Times New Roman" w:hAnsi="Times New Roman" w:eastAsia="宋体" w:cs="Times New Roman"/>
                <w:b w:val="0"/>
                <w:bCs w:val="0"/>
                <w:color w:val="000000" w:themeColor="text1"/>
                <w:spacing w:val="0"/>
                <w:sz w:val="24"/>
                <w:lang w:val="en-US" w:eastAsia="zh-CN"/>
                <w14:textFill>
                  <w14:solidFill>
                    <w14:schemeClr w14:val="tx1"/>
                  </w14:solidFill>
                </w14:textFill>
              </w:rPr>
              <w:t>输电</w:t>
            </w:r>
            <w:r>
              <w:rPr>
                <w:rFonts w:hint="default" w:ascii="Times New Roman" w:hAnsi="Times New Roman" w:eastAsia="宋体" w:cs="Times New Roman"/>
                <w:b w:val="0"/>
                <w:bCs w:val="0"/>
                <w:color w:val="000000" w:themeColor="text1"/>
                <w:spacing w:val="0"/>
                <w:sz w:val="24"/>
                <w:lang w:val="en-US" w:eastAsia="zh-CN"/>
                <w14:textFill>
                  <w14:solidFill>
                    <w14:schemeClr w14:val="tx1"/>
                  </w14:solidFill>
                </w14:textFill>
              </w:rPr>
              <w:t>线路工程</w:t>
            </w:r>
          </w:p>
          <w:p w14:paraId="1B459279">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spacing w:val="0"/>
                <w:sz w:val="24"/>
                <w14:textFill>
                  <w14:solidFill>
                    <w14:schemeClr w14:val="tx1"/>
                  </w14:solidFill>
                </w14:textFill>
              </w:rPr>
            </w:pP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①</w:t>
            </w:r>
            <w:r>
              <w:rPr>
                <w:rFonts w:hint="default" w:ascii="Times New Roman" w:hAnsi="Times New Roman" w:eastAsia="宋体" w:cs="Times New Roman"/>
                <w:color w:val="000000" w:themeColor="text1"/>
                <w:spacing w:val="0"/>
                <w:sz w:val="24"/>
                <w14:textFill>
                  <w14:solidFill>
                    <w14:schemeClr w14:val="tx1"/>
                  </w14:solidFill>
                </w14:textFill>
              </w:rPr>
              <w:t>工频电场、工频磁场：架空线路为边导线地面投影外两侧各</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14:textFill>
                  <w14:solidFill>
                    <w14:schemeClr w14:val="tx1"/>
                  </w14:solidFill>
                </w14:textFill>
              </w:rPr>
              <w:t>0m</w:t>
            </w:r>
            <w:r>
              <w:rPr>
                <w:rFonts w:hint="eastAsia" w:ascii="Times New Roman" w:hAnsi="Times New Roman" w:eastAsia="宋体" w:cs="Times New Roman"/>
                <w:color w:val="000000" w:themeColor="text1"/>
                <w:spacing w:val="0"/>
                <w:sz w:val="24"/>
                <w:lang w:eastAsia="zh-CN"/>
                <w14:textFill>
                  <w14:solidFill>
                    <w14:schemeClr w14:val="tx1"/>
                  </w14:solidFill>
                </w14:textFill>
              </w:rPr>
              <w:t>，</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电缆线路为管廊两侧边缘各外延5m（水平距离）</w:t>
            </w:r>
            <w:r>
              <w:rPr>
                <w:rFonts w:hint="default" w:ascii="Times New Roman" w:hAnsi="Times New Roman" w:eastAsia="宋体" w:cs="Times New Roman"/>
                <w:color w:val="000000" w:themeColor="text1"/>
                <w:spacing w:val="0"/>
                <w:sz w:val="24"/>
                <w14:textFill>
                  <w14:solidFill>
                    <w14:schemeClr w14:val="tx1"/>
                  </w14:solidFill>
                </w14:textFill>
              </w:rPr>
              <w:t>；</w:t>
            </w:r>
          </w:p>
          <w:p w14:paraId="57E473B0">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000000" w:themeColor="text1"/>
                <w:spacing w:val="0"/>
                <w:sz w:val="24"/>
                <w14:textFill>
                  <w14:solidFill>
                    <w14:schemeClr w14:val="tx1"/>
                  </w14:solidFill>
                </w14:textFill>
              </w:rPr>
            </w:pP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②</w:t>
            </w:r>
            <w:r>
              <w:rPr>
                <w:rFonts w:hint="default" w:ascii="Times New Roman" w:hAnsi="Times New Roman" w:eastAsia="宋体" w:cs="Times New Roman"/>
                <w:color w:val="000000" w:themeColor="text1"/>
                <w:spacing w:val="0"/>
                <w:sz w:val="24"/>
                <w14:textFill>
                  <w14:solidFill>
                    <w14:schemeClr w14:val="tx1"/>
                  </w14:solidFill>
                </w14:textFill>
              </w:rPr>
              <w:t>声环境：架空线路为边导线地面投影外两侧各</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14:textFill>
                  <w14:solidFill>
                    <w14:schemeClr w14:val="tx1"/>
                  </w14:solidFill>
                </w14:textFill>
              </w:rPr>
              <w:t>0m；</w:t>
            </w:r>
          </w:p>
          <w:p w14:paraId="3E04BED2">
            <w:pPr>
              <w:pStyle w:val="7"/>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outlineLvl w:val="9"/>
              <w:rPr>
                <w:rFonts w:ascii="Times New Roman" w:hAnsi="Times New Roman" w:eastAsia="宋体"/>
                <w:bCs/>
                <w:color w:val="000000" w:themeColor="text1"/>
                <w:spacing w:val="0"/>
                <w:kern w:val="0"/>
                <w:sz w:val="24"/>
                <w:highlight w:val="none"/>
                <w14:textFill>
                  <w14:solidFill>
                    <w14:schemeClr w14:val="tx1"/>
                  </w14:solidFill>
                </w14:textFill>
              </w:rPr>
            </w:pP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③</w:t>
            </w:r>
            <w:r>
              <w:rPr>
                <w:rFonts w:hint="default" w:ascii="Times New Roman" w:hAnsi="Times New Roman" w:eastAsia="宋体" w:cs="Times New Roman"/>
                <w:color w:val="000000" w:themeColor="text1"/>
                <w:spacing w:val="0"/>
                <w:sz w:val="24"/>
                <w14:textFill>
                  <w14:solidFill>
                    <w14:schemeClr w14:val="tx1"/>
                  </w14:solidFill>
                </w14:textFill>
              </w:rPr>
              <w:t>生态环境：</w:t>
            </w:r>
            <w:r>
              <w:rPr>
                <w:rFonts w:hint="eastAsia" w:cs="Times New Roman"/>
                <w:color w:val="000000" w:themeColor="text1"/>
                <w:spacing w:val="0"/>
                <w:sz w:val="24"/>
                <w:lang w:val="en-US" w:eastAsia="zh-CN"/>
                <w14:textFill>
                  <w14:solidFill>
                    <w14:schemeClr w14:val="tx1"/>
                  </w14:solidFill>
                </w14:textFill>
              </w:rPr>
              <w:t>架空</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线路</w:t>
            </w:r>
            <w:r>
              <w:rPr>
                <w:rFonts w:hint="eastAsia" w:cs="Times New Roman"/>
                <w:color w:val="000000" w:themeColor="text1"/>
                <w:spacing w:val="0"/>
                <w:sz w:val="24"/>
                <w:lang w:val="en-US" w:eastAsia="zh-CN"/>
                <w14:textFill>
                  <w14:solidFill>
                    <w14:schemeClr w14:val="tx1"/>
                  </w14:solidFill>
                </w14:textFill>
              </w:rPr>
              <w:t>为</w:t>
            </w:r>
            <w:r>
              <w:rPr>
                <w:rFonts w:hint="default" w:ascii="Times New Roman" w:hAnsi="Times New Roman" w:eastAsia="宋体" w:cs="Times New Roman"/>
                <w:color w:val="000000" w:themeColor="text1"/>
                <w:spacing w:val="0"/>
                <w:sz w:val="24"/>
                <w:highlight w:val="none"/>
                <w14:textFill>
                  <w14:solidFill>
                    <w14:schemeClr w14:val="tx1"/>
                  </w14:solidFill>
                </w14:textFill>
              </w:rPr>
              <w:t>边导线地面投影外两侧各300m内的带状区域</w:t>
            </w:r>
            <w:r>
              <w:rPr>
                <w:rFonts w:hint="eastAsia" w:cs="Times New Roman"/>
                <w:color w:val="000000" w:themeColor="text1"/>
                <w:spacing w:val="0"/>
                <w:sz w:val="24"/>
                <w:highlight w:val="none"/>
                <w:lang w:eastAsia="zh-CN"/>
                <w14:textFill>
                  <w14:solidFill>
                    <w14:schemeClr w14:val="tx1"/>
                  </w14:solidFill>
                </w14:textFill>
              </w:rPr>
              <w:t>，</w:t>
            </w:r>
            <w:r>
              <w:rPr>
                <w:rFonts w:hint="eastAsia" w:cs="Times New Roman"/>
                <w:color w:val="000000" w:themeColor="text1"/>
                <w:spacing w:val="0"/>
                <w:sz w:val="24"/>
                <w:highlight w:val="none"/>
                <w:lang w:val="en-US" w:eastAsia="zh-CN"/>
                <w14:textFill>
                  <w14:solidFill>
                    <w14:schemeClr w14:val="tx1"/>
                  </w14:solidFill>
                </w14:textFill>
              </w:rPr>
              <w:t>电缆线路为管廊两侧300</w:t>
            </w:r>
            <w:r>
              <w:rPr>
                <w:rFonts w:hint="default" w:ascii="Times New Roman" w:hAnsi="Times New Roman" w:eastAsia="宋体" w:cs="Times New Roman"/>
                <w:color w:val="000000" w:themeColor="text1"/>
                <w:spacing w:val="0"/>
                <w:sz w:val="24"/>
                <w:highlight w:val="none"/>
                <w14:textFill>
                  <w14:solidFill>
                    <w14:schemeClr w14:val="tx1"/>
                  </w14:solidFill>
                </w14:textFill>
              </w:rPr>
              <w:t>m内的带状区域。</w:t>
            </w:r>
          </w:p>
          <w:p w14:paraId="57194CAA">
            <w:pPr>
              <w:spacing w:line="360" w:lineRule="auto"/>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3、环境保护目标</w:t>
            </w:r>
          </w:p>
          <w:p w14:paraId="44E28C42">
            <w:pPr>
              <w:spacing w:line="360" w:lineRule="auto"/>
              <w:ind w:firstLine="480" w:firstLineChars="200"/>
              <w:outlineLvl w:val="9"/>
              <w:rPr>
                <w:rFonts w:hint="default" w:ascii="Times New Roman" w:hAnsi="Times New Roman" w:eastAsia="宋体"/>
                <w:color w:val="000000" w:themeColor="text1"/>
                <w:spacing w:val="0"/>
                <w:sz w:val="24"/>
                <w:highlight w:val="none"/>
                <w:lang w:val="en-US" w:eastAsia="zh-CN"/>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根据收资调查及现场踏勘，</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本项目评价范围内</w:t>
            </w:r>
            <w:r>
              <w:rPr>
                <w:rFonts w:hint="default"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不涉及国家公园、自然保护区、风景名胜区、饮用水水源保护区等环境敏感区</w:t>
            </w:r>
            <w:r>
              <w:rPr>
                <w:rFonts w:hint="eastAsia"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本项目</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变电站工程评价范围内没有环境保护目标，输电线路工程评价范围内有</w:t>
            </w:r>
            <w:r>
              <w:rPr>
                <w:rFonts w:hint="eastAsia"/>
                <w:color w:val="000000" w:themeColor="text1"/>
                <w:spacing w:val="0"/>
                <w:sz w:val="24"/>
                <w:highlight w:val="none"/>
                <w:lang w:val="en-US" w:eastAsia="zh-CN"/>
                <w14:textFill>
                  <w14:solidFill>
                    <w14:schemeClr w14:val="tx1"/>
                  </w14:solidFill>
                </w14:textFill>
              </w:rPr>
              <w:t>4</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处环境保护目标，具体见表3-5。</w:t>
            </w:r>
          </w:p>
          <w:p w14:paraId="6C54D283">
            <w:pPr>
              <w:spacing w:line="360" w:lineRule="auto"/>
              <w:jc w:val="center"/>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表3-</w:t>
            </w: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5</w:t>
            </w:r>
            <w:r>
              <w:rPr>
                <w:rFonts w:ascii="Times New Roman" w:hAnsi="Times New Roman" w:eastAsia="宋体"/>
                <w:b/>
                <w:color w:val="000000" w:themeColor="text1"/>
                <w:spacing w:val="0"/>
                <w:sz w:val="24"/>
                <w:highlight w:val="none"/>
                <w14:textFill>
                  <w14:solidFill>
                    <w14:schemeClr w14:val="tx1"/>
                  </w14:solidFill>
                </w14:textFill>
              </w:rPr>
              <w:t xml:space="preserve">  本项目电磁和声环境敏感目标一览表</w:t>
            </w:r>
          </w:p>
          <w:tbl>
            <w:tblPr>
              <w:tblStyle w:val="26"/>
              <w:tblW w:w="82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94"/>
              <w:gridCol w:w="840"/>
              <w:gridCol w:w="1026"/>
              <w:gridCol w:w="1026"/>
              <w:gridCol w:w="1639"/>
              <w:gridCol w:w="1117"/>
              <w:gridCol w:w="907"/>
              <w:gridCol w:w="1288"/>
            </w:tblGrid>
            <w:tr w14:paraId="08283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115" w:hRule="atLeast"/>
                <w:jc w:val="center"/>
              </w:trPr>
              <w:tc>
                <w:tcPr>
                  <w:tcW w:w="394" w:type="dxa"/>
                  <w:vAlign w:val="center"/>
                </w:tcPr>
                <w:p w14:paraId="0D1CCD3A">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序号</w:t>
                  </w:r>
                </w:p>
              </w:tc>
              <w:tc>
                <w:tcPr>
                  <w:tcW w:w="840" w:type="dxa"/>
                  <w:vAlign w:val="center"/>
                </w:tcPr>
                <w:p w14:paraId="209856D4">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行政</w:t>
                  </w:r>
                </w:p>
                <w:p w14:paraId="0F47B8E4">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区域</w:t>
                  </w:r>
                </w:p>
              </w:tc>
              <w:tc>
                <w:tcPr>
                  <w:tcW w:w="1026" w:type="dxa"/>
                  <w:vAlign w:val="center"/>
                </w:tcPr>
                <w:p w14:paraId="69B7E1BB">
                  <w:pPr>
                    <w:jc w:val="center"/>
                    <w:outlineLvl w:val="9"/>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cs="Times New Roman"/>
                      <w:b/>
                      <w:bCs/>
                      <w:color w:val="000000" w:themeColor="text1"/>
                      <w:spacing w:val="0"/>
                      <w:sz w:val="21"/>
                      <w:szCs w:val="21"/>
                      <w:highlight w:val="none"/>
                      <w:lang w:val="en-US" w:eastAsia="zh-CN"/>
                      <w14:textFill>
                        <w14:solidFill>
                          <w14:schemeClr w14:val="tx1"/>
                        </w14:solidFill>
                      </w14:textFill>
                    </w:rPr>
                    <w:t>线路工程</w:t>
                  </w:r>
                </w:p>
              </w:tc>
              <w:tc>
                <w:tcPr>
                  <w:tcW w:w="1026" w:type="dxa"/>
                  <w:vAlign w:val="center"/>
                </w:tcPr>
                <w:p w14:paraId="4D8CCD4E">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环境敏感目标</w:t>
                  </w:r>
                </w:p>
              </w:tc>
              <w:tc>
                <w:tcPr>
                  <w:tcW w:w="1639" w:type="dxa"/>
                  <w:vAlign w:val="center"/>
                </w:tcPr>
                <w:p w14:paraId="2DAD184E">
                  <w:pPr>
                    <w:jc w:val="center"/>
                    <w:outlineLvl w:val="9"/>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环境敏感目标情况</w:t>
                  </w:r>
                </w:p>
              </w:tc>
              <w:tc>
                <w:tcPr>
                  <w:tcW w:w="1117" w:type="dxa"/>
                  <w:vAlign w:val="center"/>
                </w:tcPr>
                <w:p w14:paraId="648A428C">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方位、距边导线最近距离</w:t>
                  </w:r>
                </w:p>
              </w:tc>
              <w:tc>
                <w:tcPr>
                  <w:tcW w:w="907" w:type="dxa"/>
                  <w:vAlign w:val="center"/>
                </w:tcPr>
                <w:p w14:paraId="2727E960">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环境要素</w:t>
                  </w:r>
                </w:p>
              </w:tc>
              <w:tc>
                <w:tcPr>
                  <w:tcW w:w="1288" w:type="dxa"/>
                  <w:vAlign w:val="center"/>
                </w:tcPr>
                <w:p w14:paraId="4130CCA9">
                  <w:pPr>
                    <w:jc w:val="center"/>
                    <w:outlineLvl w:val="9"/>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执行标准</w:t>
                  </w:r>
                </w:p>
              </w:tc>
            </w:tr>
            <w:tr w14:paraId="03025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48" w:hRule="atLeast"/>
                <w:jc w:val="center"/>
              </w:trPr>
              <w:tc>
                <w:tcPr>
                  <w:tcW w:w="394" w:type="dxa"/>
                  <w:vAlign w:val="center"/>
                </w:tcPr>
                <w:p w14:paraId="2C22758A">
                  <w:pPr>
                    <w:jc w:val="center"/>
                    <w:outlineLvl w:val="9"/>
                    <w:rPr>
                      <w:rFonts w:hint="eastAsia"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w:t>
                  </w:r>
                </w:p>
              </w:tc>
              <w:tc>
                <w:tcPr>
                  <w:tcW w:w="840" w:type="dxa"/>
                  <w:vMerge w:val="restart"/>
                  <w:vAlign w:val="center"/>
                </w:tcPr>
                <w:p w14:paraId="009633A2">
                  <w:pPr>
                    <w:jc w:val="center"/>
                    <w:outlineLvl w:val="9"/>
                    <w:rPr>
                      <w:rFonts w:hint="default" w:ascii="Times New Roman" w:hAnsi="Times New Roman" w:eastAsia="宋体"/>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bCs/>
                      <w:color w:val="000000" w:themeColor="text1"/>
                      <w:spacing w:val="0"/>
                      <w:szCs w:val="21"/>
                      <w:highlight w:val="none"/>
                      <w:lang w:val="en-US" w:eastAsia="zh-CN"/>
                      <w14:textFill>
                        <w14:solidFill>
                          <w14:schemeClr w14:val="tx1"/>
                        </w14:solidFill>
                      </w14:textFill>
                    </w:rPr>
                    <w:t>宁夏固原市彭堡镇硝沟村</w:t>
                  </w:r>
                </w:p>
              </w:tc>
              <w:tc>
                <w:tcPr>
                  <w:tcW w:w="1026" w:type="dxa"/>
                  <w:vMerge w:val="restart"/>
                  <w:vAlign w:val="center"/>
                </w:tcPr>
                <w:p w14:paraId="0018B4D6">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申庄～黄铎堡改接清水河变电站110kV线路工程（架空</w:t>
                  </w:r>
                  <w:r>
                    <w:rPr>
                      <w:rFonts w:hint="eastAsia"/>
                      <w:color w:val="000000" w:themeColor="text1"/>
                      <w:spacing w:val="0"/>
                      <w:kern w:val="0"/>
                      <w:sz w:val="21"/>
                      <w:szCs w:val="21"/>
                      <w:highlight w:val="none"/>
                      <w:lang w:val="en-US" w:eastAsia="zh-CN"/>
                      <w14:textFill>
                        <w14:solidFill>
                          <w14:schemeClr w14:val="tx1"/>
                        </w14:solidFill>
                      </w14:textFill>
                    </w:rPr>
                    <w:t>双回路</w:t>
                  </w: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段）</w:t>
                  </w:r>
                </w:p>
              </w:tc>
              <w:tc>
                <w:tcPr>
                  <w:tcW w:w="1026" w:type="dxa"/>
                  <w:vAlign w:val="center"/>
                </w:tcPr>
                <w:p w14:paraId="10EE49B2">
                  <w:pPr>
                    <w:adjustRightInd w:val="0"/>
                    <w:snapToGrid w:val="0"/>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639" w:type="dxa"/>
                  <w:vAlign w:val="center"/>
                </w:tcPr>
                <w:p w14:paraId="016FAFBD">
                  <w:pPr>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117" w:type="dxa"/>
                  <w:vAlign w:val="center"/>
                </w:tcPr>
                <w:p w14:paraId="10D87069">
                  <w:pPr>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NE，2</w:t>
                  </w:r>
                  <w:r>
                    <w:rPr>
                      <w:rFonts w:hint="eastAsia" w:ascii="Times New Roman" w:hAnsi="Times New Roman" w:eastAsia="宋体"/>
                      <w:bCs/>
                      <w:color w:val="000000" w:themeColor="text1"/>
                      <w:spacing w:val="0"/>
                      <w:szCs w:val="21"/>
                      <w:highlight w:val="none"/>
                      <w14:textFill>
                        <w14:solidFill>
                          <w14:schemeClr w14:val="tx1"/>
                        </w14:solidFill>
                      </w14:textFill>
                    </w:rPr>
                    <w:t>0m</w:t>
                  </w:r>
                </w:p>
              </w:tc>
              <w:tc>
                <w:tcPr>
                  <w:tcW w:w="907" w:type="dxa"/>
                  <w:vMerge w:val="restart"/>
                  <w:vAlign w:val="center"/>
                </w:tcPr>
                <w:p w14:paraId="516BAB0C">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bCs/>
                      <w:color w:val="000000" w:themeColor="text1"/>
                      <w:spacing w:val="0"/>
                      <w:szCs w:val="21"/>
                      <w:highlight w:val="none"/>
                      <w14:textFill>
                        <w14:solidFill>
                          <w14:schemeClr w14:val="tx1"/>
                        </w14:solidFill>
                      </w14:textFill>
                    </w:rPr>
                    <w:t>电磁环境、声环境</w:t>
                  </w:r>
                </w:p>
              </w:tc>
              <w:tc>
                <w:tcPr>
                  <w:tcW w:w="1288" w:type="dxa"/>
                  <w:vMerge w:val="restart"/>
                  <w:vAlign w:val="center"/>
                </w:tcPr>
                <w:p w14:paraId="30BBBAC9">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《电磁环境控制限值》</w:t>
                  </w:r>
                  <w:r>
                    <w:rPr>
                      <w:rFonts w:hint="eastAsia" w:ascii="Times New Roman" w:hAnsi="Times New Roman" w:eastAsia="宋体"/>
                      <w:color w:val="000000" w:themeColor="text1"/>
                      <w:spacing w:val="0"/>
                      <w:szCs w:val="21"/>
                      <w:highlight w:val="none"/>
                      <w14:textFill>
                        <w14:solidFill>
                          <w14:schemeClr w14:val="tx1"/>
                        </w14:solidFill>
                      </w14:textFill>
                    </w:rPr>
                    <w:t>（</w:t>
                  </w:r>
                  <w:r>
                    <w:rPr>
                      <w:rFonts w:ascii="Times New Roman" w:hAnsi="Times New Roman" w:eastAsia="宋体"/>
                      <w:color w:val="000000" w:themeColor="text1"/>
                      <w:spacing w:val="0"/>
                      <w:szCs w:val="21"/>
                      <w:highlight w:val="none"/>
                      <w14:textFill>
                        <w14:solidFill>
                          <w14:schemeClr w14:val="tx1"/>
                        </w14:solidFill>
                      </w14:textFill>
                    </w:rPr>
                    <w:t>GB8702-2014</w:t>
                  </w:r>
                  <w:r>
                    <w:rPr>
                      <w:rFonts w:hint="eastAsia" w:ascii="Times New Roman" w:hAnsi="Times New Roman" w:eastAsia="宋体"/>
                      <w:color w:val="000000" w:themeColor="text1"/>
                      <w:spacing w:val="0"/>
                      <w:szCs w:val="21"/>
                      <w:highlight w:val="none"/>
                      <w14:textFill>
                        <w14:solidFill>
                          <w14:schemeClr w14:val="tx1"/>
                        </w14:solidFill>
                      </w14:textFill>
                    </w:rPr>
                    <w:t>）</w:t>
                  </w:r>
                  <w:r>
                    <w:rPr>
                      <w:rFonts w:ascii="Times New Roman" w:hAnsi="Times New Roman" w:eastAsia="宋体"/>
                      <w:color w:val="000000" w:themeColor="text1"/>
                      <w:spacing w:val="0"/>
                      <w:szCs w:val="21"/>
                      <w:highlight w:val="none"/>
                      <w14:textFill>
                        <w14:solidFill>
                          <w14:schemeClr w14:val="tx1"/>
                        </w14:solidFill>
                      </w14:textFill>
                    </w:rPr>
                    <w:t>中相应标准限值。《声环境质量标准》（GB3096-2008）</w:t>
                  </w:r>
                  <w:r>
                    <w:rPr>
                      <w:rFonts w:hint="eastAsia"/>
                      <w:color w:val="000000" w:themeColor="text1"/>
                      <w:spacing w:val="0"/>
                      <w:szCs w:val="21"/>
                      <w:highlight w:val="none"/>
                      <w:lang w:val="en-US" w:eastAsia="zh-CN"/>
                      <w14:textFill>
                        <w14:solidFill>
                          <w14:schemeClr w14:val="tx1"/>
                        </w14:solidFill>
                      </w14:textFill>
                    </w:rPr>
                    <w:t>1</w:t>
                  </w:r>
                  <w:r>
                    <w:rPr>
                      <w:rFonts w:hint="eastAsia" w:ascii="Times New Roman" w:hAnsi="Times New Roman" w:eastAsia="宋体"/>
                      <w:color w:val="000000" w:themeColor="text1"/>
                      <w:spacing w:val="0"/>
                      <w:szCs w:val="21"/>
                      <w:highlight w:val="none"/>
                      <w14:textFill>
                        <w14:solidFill>
                          <w14:schemeClr w14:val="tx1"/>
                        </w14:solidFill>
                      </w14:textFill>
                    </w:rPr>
                    <w:t>类</w:t>
                  </w:r>
                  <w:r>
                    <w:rPr>
                      <w:rFonts w:ascii="Times New Roman" w:hAnsi="Times New Roman" w:eastAsia="宋体"/>
                      <w:color w:val="000000" w:themeColor="text1"/>
                      <w:spacing w:val="0"/>
                      <w:szCs w:val="21"/>
                      <w:highlight w:val="none"/>
                      <w14:textFill>
                        <w14:solidFill>
                          <w14:schemeClr w14:val="tx1"/>
                        </w14:solidFill>
                      </w14:textFill>
                    </w:rPr>
                    <w:t>标准</w:t>
                  </w:r>
                </w:p>
              </w:tc>
            </w:tr>
            <w:tr w14:paraId="54DCB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48" w:hRule="atLeast"/>
                <w:jc w:val="center"/>
              </w:trPr>
              <w:tc>
                <w:tcPr>
                  <w:tcW w:w="394" w:type="dxa"/>
                  <w:vAlign w:val="center"/>
                </w:tcPr>
                <w:p w14:paraId="0B18A549">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2</w:t>
                  </w:r>
                </w:p>
              </w:tc>
              <w:tc>
                <w:tcPr>
                  <w:tcW w:w="840" w:type="dxa"/>
                  <w:vMerge w:val="continue"/>
                  <w:vAlign w:val="center"/>
                </w:tcPr>
                <w:p w14:paraId="77E0CF69">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c>
                <w:tcPr>
                  <w:tcW w:w="1026" w:type="dxa"/>
                  <w:vMerge w:val="continue"/>
                  <w:vAlign w:val="center"/>
                </w:tcPr>
                <w:p w14:paraId="5BF7779F">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1026" w:type="dxa"/>
                  <w:vAlign w:val="center"/>
                </w:tcPr>
                <w:p w14:paraId="0681DEB7">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639" w:type="dxa"/>
                  <w:vAlign w:val="center"/>
                </w:tcPr>
                <w:p w14:paraId="3F49D7C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117" w:type="dxa"/>
                  <w:vAlign w:val="center"/>
                </w:tcPr>
                <w:p w14:paraId="0EE83AE6">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NE，22</w:t>
                  </w:r>
                  <w:r>
                    <w:rPr>
                      <w:rFonts w:hint="eastAsia" w:ascii="Times New Roman" w:hAnsi="Times New Roman" w:eastAsia="宋体"/>
                      <w:bCs/>
                      <w:color w:val="000000" w:themeColor="text1"/>
                      <w:spacing w:val="0"/>
                      <w:szCs w:val="21"/>
                      <w:highlight w:val="none"/>
                      <w14:textFill>
                        <w14:solidFill>
                          <w14:schemeClr w14:val="tx1"/>
                        </w14:solidFill>
                      </w14:textFill>
                    </w:rPr>
                    <w:t>m</w:t>
                  </w:r>
                </w:p>
              </w:tc>
              <w:tc>
                <w:tcPr>
                  <w:tcW w:w="907" w:type="dxa"/>
                  <w:vMerge w:val="continue"/>
                  <w:vAlign w:val="center"/>
                </w:tcPr>
                <w:p w14:paraId="7E284D36">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c>
                <w:tcPr>
                  <w:tcW w:w="1288" w:type="dxa"/>
                  <w:vMerge w:val="continue"/>
                  <w:vAlign w:val="center"/>
                </w:tcPr>
                <w:p w14:paraId="6B2711A4">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r>
            <w:tr w14:paraId="107E3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48" w:hRule="atLeast"/>
                <w:jc w:val="center"/>
              </w:trPr>
              <w:tc>
                <w:tcPr>
                  <w:tcW w:w="394" w:type="dxa"/>
                  <w:vAlign w:val="center"/>
                </w:tcPr>
                <w:p w14:paraId="37784813">
                  <w:pPr>
                    <w:jc w:val="center"/>
                    <w:outlineLvl w:val="9"/>
                    <w:rPr>
                      <w:rFonts w:hint="eastAsia"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3</w:t>
                  </w:r>
                </w:p>
              </w:tc>
              <w:tc>
                <w:tcPr>
                  <w:tcW w:w="840" w:type="dxa"/>
                  <w:vMerge w:val="continue"/>
                  <w:vAlign w:val="center"/>
                </w:tcPr>
                <w:p w14:paraId="28167C2B">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c>
                <w:tcPr>
                  <w:tcW w:w="1026" w:type="dxa"/>
                  <w:vMerge w:val="continue"/>
                  <w:vAlign w:val="center"/>
                </w:tcPr>
                <w:p w14:paraId="3B9F53BC">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1026" w:type="dxa"/>
                  <w:vAlign w:val="center"/>
                </w:tcPr>
                <w:p w14:paraId="50F2C27B">
                  <w:pPr>
                    <w:adjustRightInd w:val="0"/>
                    <w:snapToGrid w:val="0"/>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639" w:type="dxa"/>
                  <w:vAlign w:val="center"/>
                </w:tcPr>
                <w:p w14:paraId="1D42C9A1">
                  <w:pPr>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117" w:type="dxa"/>
                  <w:vAlign w:val="center"/>
                </w:tcPr>
                <w:p w14:paraId="5B55CABA">
                  <w:pPr>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E，19m</w:t>
                  </w:r>
                </w:p>
              </w:tc>
              <w:tc>
                <w:tcPr>
                  <w:tcW w:w="907" w:type="dxa"/>
                  <w:vMerge w:val="continue"/>
                  <w:vAlign w:val="center"/>
                </w:tcPr>
                <w:p w14:paraId="5187FA6D">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c>
                <w:tcPr>
                  <w:tcW w:w="1288" w:type="dxa"/>
                  <w:vMerge w:val="continue"/>
                  <w:vAlign w:val="center"/>
                </w:tcPr>
                <w:p w14:paraId="6F1582A1">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r>
            <w:tr w14:paraId="2C8A8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811" w:hRule="atLeast"/>
                <w:jc w:val="center"/>
              </w:trPr>
              <w:tc>
                <w:tcPr>
                  <w:tcW w:w="394" w:type="dxa"/>
                  <w:vAlign w:val="center"/>
                </w:tcPr>
                <w:p w14:paraId="64A380A9">
                  <w:pPr>
                    <w:jc w:val="center"/>
                    <w:outlineLvl w:val="9"/>
                    <w:rPr>
                      <w:rFonts w:hint="eastAsia"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4</w:t>
                  </w:r>
                </w:p>
              </w:tc>
              <w:tc>
                <w:tcPr>
                  <w:tcW w:w="840" w:type="dxa"/>
                  <w:vMerge w:val="continue"/>
                  <w:vAlign w:val="center"/>
                </w:tcPr>
                <w:p w14:paraId="3CC727CC">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c>
                <w:tcPr>
                  <w:tcW w:w="1026" w:type="dxa"/>
                  <w:vMerge w:val="continue"/>
                  <w:vAlign w:val="center"/>
                </w:tcPr>
                <w:p w14:paraId="695C7ABE">
                  <w:pPr>
                    <w:adjustRightInd w:val="0"/>
                    <w:snapToGrid w:val="0"/>
                    <w:jc w:val="center"/>
                    <w:outlineLvl w:val="9"/>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pPr>
                </w:p>
              </w:tc>
              <w:tc>
                <w:tcPr>
                  <w:tcW w:w="1026" w:type="dxa"/>
                  <w:vAlign w:val="center"/>
                </w:tcPr>
                <w:p w14:paraId="2956A687">
                  <w:pPr>
                    <w:adjustRightInd w:val="0"/>
                    <w:snapToGrid w:val="0"/>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639" w:type="dxa"/>
                  <w:vAlign w:val="center"/>
                </w:tcPr>
                <w:p w14:paraId="5D1895DC">
                  <w:pPr>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117" w:type="dxa"/>
                  <w:vAlign w:val="center"/>
                </w:tcPr>
                <w:p w14:paraId="01D7CE03">
                  <w:pPr>
                    <w:jc w:val="center"/>
                    <w:outlineLvl w:val="9"/>
                    <w:rPr>
                      <w:rFonts w:hint="eastAsia"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S，30m</w:t>
                  </w:r>
                </w:p>
              </w:tc>
              <w:tc>
                <w:tcPr>
                  <w:tcW w:w="907" w:type="dxa"/>
                  <w:vMerge w:val="continue"/>
                  <w:vAlign w:val="center"/>
                </w:tcPr>
                <w:p w14:paraId="71BC9A73">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c>
                <w:tcPr>
                  <w:tcW w:w="1288" w:type="dxa"/>
                  <w:vMerge w:val="continue"/>
                  <w:vAlign w:val="center"/>
                </w:tcPr>
                <w:p w14:paraId="0C464E3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r>
          </w:tbl>
          <w:p w14:paraId="7FCA811B">
            <w:pPr>
              <w:outlineLvl w:val="9"/>
              <w:rPr>
                <w:rFonts w:ascii="Times New Roman" w:hAnsi="Times New Roman" w:eastAsia="宋体"/>
                <w:color w:val="000000" w:themeColor="text1"/>
                <w:spacing w:val="0"/>
                <w:highlight w:val="none"/>
                <w14:textFill>
                  <w14:solidFill>
                    <w14:schemeClr w14:val="tx1"/>
                  </w14:solidFill>
                </w14:textFill>
              </w:rPr>
            </w:pPr>
          </w:p>
          <w:p w14:paraId="10870C20">
            <w:pPr>
              <w:jc w:val="both"/>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p>
        </w:tc>
      </w:tr>
      <w:tr w14:paraId="58B6C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Align w:val="center"/>
          </w:tcPr>
          <w:p w14:paraId="55872EA5">
            <w:pPr>
              <w:adjustRightInd w:val="0"/>
              <w:snapToGrid w:val="0"/>
              <w:jc w:val="center"/>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评价</w:t>
            </w:r>
          </w:p>
          <w:p w14:paraId="3E154672">
            <w:pPr>
              <w:adjustRightInd w:val="0"/>
              <w:snapToGrid w:val="0"/>
              <w:jc w:val="center"/>
              <w:outlineLvl w:val="9"/>
              <w:rPr>
                <w:rFonts w:ascii="Times New Roman" w:hAnsi="Times New Roman" w:eastAsia="宋体"/>
                <w:color w:val="000000" w:themeColor="text1"/>
                <w:spacing w:val="0"/>
                <w:kern w:val="0"/>
                <w:szCs w:val="21"/>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标准</w:t>
            </w:r>
          </w:p>
        </w:tc>
        <w:tc>
          <w:tcPr>
            <w:tcW w:w="8720" w:type="dxa"/>
            <w:vAlign w:val="center"/>
          </w:tcPr>
          <w:p w14:paraId="513C651F">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1、环境质量标准</w:t>
            </w:r>
          </w:p>
          <w:p w14:paraId="15002AB5">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（1）声环境</w:t>
            </w:r>
          </w:p>
          <w:p w14:paraId="284AACD8">
            <w:pPr>
              <w:adjustRightInd w:val="0"/>
              <w:snapToGrid w:val="0"/>
              <w:spacing w:line="360" w:lineRule="auto"/>
              <w:ind w:firstLine="480" w:firstLineChars="200"/>
              <w:jc w:val="left"/>
              <w:outlineLvl w:val="9"/>
              <w:rPr>
                <w:rFonts w:hint="eastAsia" w:cs="Times New Roman"/>
                <w:color w:val="000000" w:themeColor="text1"/>
                <w:spacing w:val="0"/>
                <w:sz w:val="24"/>
                <w:highlight w:val="none"/>
                <w:lang w:val="en-US"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本项目位于</w:t>
            </w:r>
            <w:r>
              <w:rPr>
                <w:rFonts w:hint="eastAsia"/>
                <w:color w:val="000000" w:themeColor="text1"/>
                <w:spacing w:val="0"/>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，不在声功能区划中。项目所处的区域</w:t>
            </w:r>
            <w:r>
              <w:rPr>
                <w:rFonts w:hint="eastAsia" w:cs="Times New Roman"/>
                <w:color w:val="000000" w:themeColor="text1"/>
                <w:spacing w:val="0"/>
                <w:sz w:val="24"/>
                <w:highlight w:val="none"/>
                <w:lang w:val="en-US" w:eastAsia="zh-CN"/>
                <w14:textFill>
                  <w14:solidFill>
                    <w14:schemeClr w14:val="tx1"/>
                  </w14:solidFill>
                </w14:textFill>
              </w:rPr>
              <w:t>为乡村区域，</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属于声环境功能区为GB3096规定的1类、2类地区</w:t>
            </w:r>
            <w:r>
              <w:rPr>
                <w:rFonts w:hint="eastAsia" w:cs="Times New Roman"/>
                <w:color w:val="000000" w:themeColor="text1"/>
                <w:spacing w:val="0"/>
                <w:sz w:val="24"/>
                <w:highlight w:val="none"/>
                <w:lang w:val="en-US" w:eastAsia="zh-CN"/>
                <w14:textFill>
                  <w14:solidFill>
                    <w14:schemeClr w14:val="tx1"/>
                  </w14:solidFill>
                </w14:textFill>
              </w:rPr>
              <w:t>。</w:t>
            </w:r>
          </w:p>
          <w:p w14:paraId="44706F66">
            <w:pPr>
              <w:adjustRightInd w:val="0"/>
              <w:snapToGrid w:val="0"/>
              <w:spacing w:line="360" w:lineRule="auto"/>
              <w:ind w:firstLine="480" w:firstLineChars="200"/>
              <w:jc w:val="left"/>
              <w:outlineLvl w:val="9"/>
              <w:rPr>
                <w:rFonts w:hint="eastAsia" w:cs="Times New Roman"/>
                <w:color w:val="000000" w:themeColor="text1"/>
                <w:spacing w:val="0"/>
                <w:sz w:val="24"/>
                <w:highlight w:val="none"/>
                <w:lang w:val="en-US" w:eastAsia="zh-CN"/>
                <w14:textFill>
                  <w14:solidFill>
                    <w14:schemeClr w14:val="tx1"/>
                  </w14:solidFill>
                </w14:textFill>
              </w:rPr>
            </w:pPr>
            <w:r>
              <w:rPr>
                <w:rFonts w:hint="eastAsia" w:cs="Times New Roman"/>
                <w:color w:val="000000" w:themeColor="text1"/>
                <w:spacing w:val="0"/>
                <w:sz w:val="24"/>
                <w:highlight w:val="none"/>
                <w:lang w:val="en-US" w:eastAsia="zh-CN"/>
                <w14:textFill>
                  <w14:solidFill>
                    <w14:schemeClr w14:val="tx1"/>
                  </w14:solidFill>
                </w14:textFill>
              </w:rPr>
              <w:t>根据现场调查，拟建站址周围分布有乡村道路，参照执行《声环境质量标准》（GB3096-2008）2 类标准。</w:t>
            </w:r>
          </w:p>
          <w:p w14:paraId="0898DEA7">
            <w:pPr>
              <w:adjustRightInd w:val="0"/>
              <w:snapToGrid w:val="0"/>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cs="Times New Roman"/>
                <w:color w:val="000000" w:themeColor="text1"/>
                <w:spacing w:val="0"/>
                <w:sz w:val="24"/>
                <w:highlight w:val="none"/>
                <w:lang w:val="en-US" w:eastAsia="zh-CN"/>
                <w14:textFill>
                  <w14:solidFill>
                    <w14:schemeClr w14:val="tx1"/>
                  </w14:solidFill>
                </w14:textFill>
              </w:rPr>
              <w:t>根据现场调查，输电线路跨越彭黑公路</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两侧一定距离内（参考《声环境功能区划分技术规范》GB/T15190 第 8.3 条规定）的区域执行《声环境质量标准》（GB3096-2008）4a 类标准</w:t>
            </w:r>
            <w:r>
              <w:rPr>
                <w:rFonts w:hint="eastAsia"/>
                <w:color w:val="000000" w:themeColor="text1"/>
                <w:spacing w:val="0"/>
                <w:kern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其他输电线路</w:t>
            </w:r>
            <w:r>
              <w:rPr>
                <w:rFonts w:hint="eastAsia"/>
                <w:color w:val="000000" w:themeColor="text1"/>
                <w:spacing w:val="0"/>
                <w:kern w:val="0"/>
                <w:sz w:val="24"/>
                <w:highlight w:val="none"/>
                <w:lang w:val="en-US" w:eastAsia="zh-CN"/>
                <w14:textFill>
                  <w14:solidFill>
                    <w14:schemeClr w14:val="tx1"/>
                  </w14:solidFill>
                </w14:textFill>
              </w:rPr>
              <w:t>及敏感目标</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经过区域均为乡村区域，</w:t>
            </w:r>
            <w:r>
              <w:rPr>
                <w:rFonts w:hint="eastAsia"/>
                <w:color w:val="000000" w:themeColor="text1"/>
                <w:spacing w:val="0"/>
                <w:kern w:val="0"/>
                <w:sz w:val="24"/>
                <w:highlight w:val="none"/>
                <w:lang w:val="en-US" w:eastAsia="zh-CN"/>
                <w14:textFill>
                  <w14:solidFill>
                    <w14:schemeClr w14:val="tx1"/>
                  </w14:solidFill>
                </w14:textFill>
              </w:rPr>
              <w:t>参照</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执行《声环境质量标准》（GB3096-2008）1 类标准。</w:t>
            </w:r>
            <w:r>
              <w:rPr>
                <w:rFonts w:ascii="Times New Roman" w:hAnsi="Times New Roman" w:eastAsia="宋体"/>
                <w:color w:val="000000" w:themeColor="text1"/>
                <w:spacing w:val="0"/>
                <w:sz w:val="24"/>
                <w:highlight w:val="none"/>
                <w14:textFill>
                  <w14:solidFill>
                    <w14:schemeClr w14:val="tx1"/>
                  </w14:solidFill>
                </w14:textFill>
              </w:rPr>
              <w:t>具体见表3-</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6</w:t>
            </w:r>
            <w:r>
              <w:rPr>
                <w:rFonts w:ascii="Times New Roman" w:hAnsi="Times New Roman" w:eastAsia="宋体"/>
                <w:color w:val="000000" w:themeColor="text1"/>
                <w:spacing w:val="0"/>
                <w:sz w:val="24"/>
                <w:highlight w:val="none"/>
                <w14:textFill>
                  <w14:solidFill>
                    <w14:schemeClr w14:val="tx1"/>
                  </w14:solidFill>
                </w14:textFill>
              </w:rPr>
              <w:t>。</w:t>
            </w:r>
          </w:p>
          <w:p w14:paraId="6050BB63">
            <w:pPr>
              <w:spacing w:line="360" w:lineRule="auto"/>
              <w:ind w:firstLine="7" w:firstLineChars="3"/>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表3-</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6</w:t>
            </w:r>
            <w:r>
              <w:rPr>
                <w:rFonts w:hint="eastAsia" w:ascii="Times New Roman" w:hAnsi="Times New Roman" w:eastAsia="宋体"/>
                <w:b/>
                <w:bCs/>
                <w:color w:val="000000" w:themeColor="text1"/>
                <w:spacing w:val="0"/>
                <w:sz w:val="24"/>
                <w:highlight w:val="none"/>
                <w14:textFill>
                  <w14:solidFill>
                    <w14:schemeClr w14:val="tx1"/>
                  </w14:solidFill>
                </w14:textFill>
              </w:rPr>
              <w:t xml:space="preserve"> </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 xml:space="preserve"> </w:t>
            </w:r>
            <w:r>
              <w:rPr>
                <w:rFonts w:ascii="Times New Roman" w:hAnsi="Times New Roman" w:eastAsia="宋体"/>
                <w:b/>
                <w:bCs/>
                <w:color w:val="000000" w:themeColor="text1"/>
                <w:spacing w:val="0"/>
                <w:sz w:val="24"/>
                <w:highlight w:val="none"/>
                <w14:textFill>
                  <w14:solidFill>
                    <w14:schemeClr w14:val="tx1"/>
                  </w14:solidFill>
                </w14:textFill>
              </w:rPr>
              <w:t>本项目具体执行的声环境质量标准</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070"/>
              <w:gridCol w:w="2025"/>
              <w:gridCol w:w="2208"/>
            </w:tblGrid>
            <w:tr w14:paraId="54D23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42" w:type="dxa"/>
                  <w:noWrap w:val="0"/>
                  <w:vAlign w:val="center"/>
                </w:tcPr>
                <w:p w14:paraId="43DBA2F3">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环境要素</w:t>
                  </w:r>
                </w:p>
              </w:tc>
              <w:tc>
                <w:tcPr>
                  <w:tcW w:w="2070" w:type="dxa"/>
                  <w:noWrap w:val="0"/>
                  <w:vAlign w:val="center"/>
                </w:tcPr>
                <w:p w14:paraId="305424D6">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类别</w:t>
                  </w:r>
                </w:p>
              </w:tc>
              <w:tc>
                <w:tcPr>
                  <w:tcW w:w="2025" w:type="dxa"/>
                  <w:noWrap w:val="0"/>
                  <w:vAlign w:val="center"/>
                </w:tcPr>
                <w:p w14:paraId="2FB44F7B">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昼间</w:t>
                  </w:r>
                </w:p>
              </w:tc>
              <w:tc>
                <w:tcPr>
                  <w:tcW w:w="2208" w:type="dxa"/>
                  <w:noWrap w:val="0"/>
                  <w:vAlign w:val="center"/>
                </w:tcPr>
                <w:p w14:paraId="13CB8F5A">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夜间</w:t>
                  </w:r>
                </w:p>
              </w:tc>
            </w:tr>
            <w:tr w14:paraId="26226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742" w:type="dxa"/>
                  <w:vMerge w:val="restart"/>
                  <w:noWrap w:val="0"/>
                  <w:vAlign w:val="center"/>
                </w:tcPr>
                <w:p w14:paraId="546AE10F">
                  <w:pPr>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声环境</w:t>
                  </w:r>
                </w:p>
              </w:tc>
              <w:tc>
                <w:tcPr>
                  <w:tcW w:w="2070" w:type="dxa"/>
                  <w:noWrap w:val="0"/>
                  <w:vAlign w:val="center"/>
                </w:tcPr>
                <w:p w14:paraId="2E8FD325">
                  <w:pPr>
                    <w:adjustRightInd w:val="0"/>
                    <w:snapToGrid w:val="0"/>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1类</w:t>
                  </w:r>
                </w:p>
              </w:tc>
              <w:tc>
                <w:tcPr>
                  <w:tcW w:w="2025" w:type="dxa"/>
                  <w:noWrap w:val="0"/>
                  <w:vAlign w:val="center"/>
                </w:tcPr>
                <w:p w14:paraId="02EF16B8">
                  <w:pPr>
                    <w:adjustRightInd w:val="0"/>
                    <w:snapToGrid w:val="0"/>
                    <w:jc w:val="center"/>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55</w:t>
                  </w:r>
                  <w:r>
                    <w:rPr>
                      <w:rFonts w:ascii="Times New Roman" w:hAnsi="Times New Roman" w:eastAsia="宋体"/>
                      <w:color w:val="000000" w:themeColor="text1"/>
                      <w:spacing w:val="0"/>
                      <w:highlight w:val="none"/>
                      <w14:textFill>
                        <w14:solidFill>
                          <w14:schemeClr w14:val="tx1"/>
                        </w14:solidFill>
                      </w14:textFill>
                    </w:rPr>
                    <w:t>dB</w:t>
                  </w:r>
                  <w:r>
                    <w:rPr>
                      <w:rFonts w:hint="eastAsia" w:ascii="Times New Roman" w:hAnsi="Times New Roman" w:eastAsia="宋体"/>
                      <w:color w:val="000000" w:themeColor="text1"/>
                      <w:spacing w:val="0"/>
                      <w:highlight w:val="none"/>
                      <w:lang w:eastAsia="zh-CN"/>
                      <w14:textFill>
                        <w14:solidFill>
                          <w14:schemeClr w14:val="tx1"/>
                        </w14:solidFill>
                      </w14:textFill>
                    </w:rPr>
                    <w:t>（</w:t>
                  </w:r>
                  <w:r>
                    <w:rPr>
                      <w:rFonts w:ascii="Times New Roman" w:hAnsi="Times New Roman" w:eastAsia="宋体"/>
                      <w:color w:val="000000" w:themeColor="text1"/>
                      <w:spacing w:val="0"/>
                      <w:highlight w:val="none"/>
                      <w14:textFill>
                        <w14:solidFill>
                          <w14:schemeClr w14:val="tx1"/>
                        </w14:solidFill>
                      </w14:textFill>
                    </w:rPr>
                    <w:t>A</w:t>
                  </w:r>
                  <w:r>
                    <w:rPr>
                      <w:rFonts w:hint="eastAsia" w:ascii="Times New Roman" w:hAnsi="Times New Roman" w:eastAsia="宋体"/>
                      <w:color w:val="000000" w:themeColor="text1"/>
                      <w:spacing w:val="0"/>
                      <w:highlight w:val="none"/>
                      <w:lang w:eastAsia="zh-CN"/>
                      <w14:textFill>
                        <w14:solidFill>
                          <w14:schemeClr w14:val="tx1"/>
                        </w14:solidFill>
                      </w14:textFill>
                    </w:rPr>
                    <w:t>）</w:t>
                  </w:r>
                </w:p>
              </w:tc>
              <w:tc>
                <w:tcPr>
                  <w:tcW w:w="2208" w:type="dxa"/>
                  <w:noWrap w:val="0"/>
                  <w:vAlign w:val="center"/>
                </w:tcPr>
                <w:p w14:paraId="629FAF8F">
                  <w:pPr>
                    <w:adjustRightInd w:val="0"/>
                    <w:snapToGrid w:val="0"/>
                    <w:jc w:val="center"/>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45</w:t>
                  </w:r>
                  <w:r>
                    <w:rPr>
                      <w:rFonts w:ascii="Times New Roman" w:hAnsi="Times New Roman" w:eastAsia="宋体"/>
                      <w:color w:val="000000" w:themeColor="text1"/>
                      <w:spacing w:val="0"/>
                      <w:highlight w:val="none"/>
                      <w14:textFill>
                        <w14:solidFill>
                          <w14:schemeClr w14:val="tx1"/>
                        </w14:solidFill>
                      </w14:textFill>
                    </w:rPr>
                    <w:t>dB</w:t>
                  </w:r>
                  <w:r>
                    <w:rPr>
                      <w:rFonts w:hint="eastAsia" w:ascii="Times New Roman" w:hAnsi="Times New Roman" w:eastAsia="宋体"/>
                      <w:color w:val="000000" w:themeColor="text1"/>
                      <w:spacing w:val="0"/>
                      <w:highlight w:val="none"/>
                      <w:lang w:eastAsia="zh-CN"/>
                      <w14:textFill>
                        <w14:solidFill>
                          <w14:schemeClr w14:val="tx1"/>
                        </w14:solidFill>
                      </w14:textFill>
                    </w:rPr>
                    <w:t>（</w:t>
                  </w:r>
                  <w:r>
                    <w:rPr>
                      <w:rFonts w:ascii="Times New Roman" w:hAnsi="Times New Roman" w:eastAsia="宋体"/>
                      <w:color w:val="000000" w:themeColor="text1"/>
                      <w:spacing w:val="0"/>
                      <w:highlight w:val="none"/>
                      <w14:textFill>
                        <w14:solidFill>
                          <w14:schemeClr w14:val="tx1"/>
                        </w14:solidFill>
                      </w14:textFill>
                    </w:rPr>
                    <w:t>A</w:t>
                  </w:r>
                  <w:r>
                    <w:rPr>
                      <w:rFonts w:hint="eastAsia" w:ascii="Times New Roman" w:hAnsi="Times New Roman" w:eastAsia="宋体"/>
                      <w:color w:val="000000" w:themeColor="text1"/>
                      <w:spacing w:val="0"/>
                      <w:highlight w:val="none"/>
                      <w:lang w:eastAsia="zh-CN"/>
                      <w14:textFill>
                        <w14:solidFill>
                          <w14:schemeClr w14:val="tx1"/>
                        </w14:solidFill>
                      </w14:textFill>
                    </w:rPr>
                    <w:t>）</w:t>
                  </w:r>
                </w:p>
              </w:tc>
            </w:tr>
            <w:tr w14:paraId="07477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742" w:type="dxa"/>
                  <w:vMerge w:val="continue"/>
                  <w:noWrap w:val="0"/>
                  <w:vAlign w:val="center"/>
                </w:tcPr>
                <w:p w14:paraId="0A8D5A48">
                  <w:pPr>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2070" w:type="dxa"/>
                  <w:noWrap w:val="0"/>
                  <w:vAlign w:val="center"/>
                </w:tcPr>
                <w:p w14:paraId="2B9CE645">
                  <w:pPr>
                    <w:adjustRightInd w:val="0"/>
                    <w:snapToGrid w:val="0"/>
                    <w:jc w:val="center"/>
                    <w:outlineLvl w:val="9"/>
                    <w:rPr>
                      <w:rFonts w:hint="eastAsia"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olor w:val="000000" w:themeColor="text1"/>
                      <w:spacing w:val="0"/>
                      <w:highlight w:val="none"/>
                      <w14:textFill>
                        <w14:solidFill>
                          <w14:schemeClr w14:val="tx1"/>
                        </w14:solidFill>
                      </w14:textFill>
                    </w:rPr>
                    <w:t>2</w:t>
                  </w:r>
                  <w:r>
                    <w:rPr>
                      <w:rFonts w:ascii="Times New Roman" w:hAnsi="Times New Roman" w:eastAsia="宋体"/>
                      <w:color w:val="000000" w:themeColor="text1"/>
                      <w:spacing w:val="0"/>
                      <w:highlight w:val="none"/>
                      <w14:textFill>
                        <w14:solidFill>
                          <w14:schemeClr w14:val="tx1"/>
                        </w14:solidFill>
                      </w14:textFill>
                    </w:rPr>
                    <w:t>类</w:t>
                  </w:r>
                </w:p>
              </w:tc>
              <w:tc>
                <w:tcPr>
                  <w:tcW w:w="2025" w:type="dxa"/>
                  <w:noWrap w:val="0"/>
                  <w:vAlign w:val="center"/>
                </w:tcPr>
                <w:p w14:paraId="53BD773E">
                  <w:pPr>
                    <w:adjustRightInd w:val="0"/>
                    <w:snapToGrid w:val="0"/>
                    <w:jc w:val="center"/>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hint="eastAsia" w:ascii="Times New Roman" w:hAnsi="Times New Roman" w:eastAsia="宋体"/>
                      <w:color w:val="000000" w:themeColor="text1"/>
                      <w:spacing w:val="0"/>
                      <w:highlight w:val="none"/>
                      <w14:textFill>
                        <w14:solidFill>
                          <w14:schemeClr w14:val="tx1"/>
                        </w14:solidFill>
                      </w14:textFill>
                    </w:rPr>
                    <w:t>60</w:t>
                  </w:r>
                  <w:r>
                    <w:rPr>
                      <w:rFonts w:ascii="Times New Roman" w:hAnsi="Times New Roman" w:eastAsia="宋体"/>
                      <w:color w:val="000000" w:themeColor="text1"/>
                      <w:spacing w:val="0"/>
                      <w:highlight w:val="none"/>
                      <w14:textFill>
                        <w14:solidFill>
                          <w14:schemeClr w14:val="tx1"/>
                        </w14:solidFill>
                      </w14:textFill>
                    </w:rPr>
                    <w:t>dB</w:t>
                  </w:r>
                  <w:r>
                    <w:rPr>
                      <w:rFonts w:hint="eastAsia" w:ascii="Times New Roman" w:hAnsi="Times New Roman" w:eastAsia="宋体"/>
                      <w:color w:val="000000" w:themeColor="text1"/>
                      <w:spacing w:val="0"/>
                      <w:highlight w:val="none"/>
                      <w:lang w:eastAsia="zh-CN"/>
                      <w14:textFill>
                        <w14:solidFill>
                          <w14:schemeClr w14:val="tx1"/>
                        </w14:solidFill>
                      </w14:textFill>
                    </w:rPr>
                    <w:t>（</w:t>
                  </w:r>
                  <w:r>
                    <w:rPr>
                      <w:rFonts w:ascii="Times New Roman" w:hAnsi="Times New Roman" w:eastAsia="宋体"/>
                      <w:color w:val="000000" w:themeColor="text1"/>
                      <w:spacing w:val="0"/>
                      <w:highlight w:val="none"/>
                      <w14:textFill>
                        <w14:solidFill>
                          <w14:schemeClr w14:val="tx1"/>
                        </w14:solidFill>
                      </w14:textFill>
                    </w:rPr>
                    <w:t>A</w:t>
                  </w:r>
                  <w:r>
                    <w:rPr>
                      <w:rFonts w:hint="eastAsia" w:ascii="Times New Roman" w:hAnsi="Times New Roman" w:eastAsia="宋体"/>
                      <w:color w:val="000000" w:themeColor="text1"/>
                      <w:spacing w:val="0"/>
                      <w:highlight w:val="none"/>
                      <w:lang w:eastAsia="zh-CN"/>
                      <w14:textFill>
                        <w14:solidFill>
                          <w14:schemeClr w14:val="tx1"/>
                        </w14:solidFill>
                      </w14:textFill>
                    </w:rPr>
                    <w:t>）</w:t>
                  </w:r>
                </w:p>
              </w:tc>
              <w:tc>
                <w:tcPr>
                  <w:tcW w:w="2208" w:type="dxa"/>
                  <w:noWrap w:val="0"/>
                  <w:vAlign w:val="center"/>
                </w:tcPr>
                <w:p w14:paraId="6872D950">
                  <w:pPr>
                    <w:adjustRightInd w:val="0"/>
                    <w:snapToGrid w:val="0"/>
                    <w:jc w:val="center"/>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hint="eastAsia" w:ascii="Times New Roman" w:hAnsi="Times New Roman" w:eastAsia="宋体"/>
                      <w:color w:val="000000" w:themeColor="text1"/>
                      <w:spacing w:val="0"/>
                      <w:highlight w:val="none"/>
                      <w14:textFill>
                        <w14:solidFill>
                          <w14:schemeClr w14:val="tx1"/>
                        </w14:solidFill>
                      </w14:textFill>
                    </w:rPr>
                    <w:t>50</w:t>
                  </w:r>
                  <w:r>
                    <w:rPr>
                      <w:rFonts w:ascii="Times New Roman" w:hAnsi="Times New Roman" w:eastAsia="宋体"/>
                      <w:color w:val="000000" w:themeColor="text1"/>
                      <w:spacing w:val="0"/>
                      <w:highlight w:val="none"/>
                      <w14:textFill>
                        <w14:solidFill>
                          <w14:schemeClr w14:val="tx1"/>
                        </w14:solidFill>
                      </w14:textFill>
                    </w:rPr>
                    <w:t>dB</w:t>
                  </w:r>
                  <w:r>
                    <w:rPr>
                      <w:rFonts w:hint="eastAsia" w:ascii="Times New Roman" w:hAnsi="Times New Roman" w:eastAsia="宋体"/>
                      <w:color w:val="000000" w:themeColor="text1"/>
                      <w:spacing w:val="0"/>
                      <w:highlight w:val="none"/>
                      <w:lang w:eastAsia="zh-CN"/>
                      <w14:textFill>
                        <w14:solidFill>
                          <w14:schemeClr w14:val="tx1"/>
                        </w14:solidFill>
                      </w14:textFill>
                    </w:rPr>
                    <w:t>（</w:t>
                  </w:r>
                  <w:r>
                    <w:rPr>
                      <w:rFonts w:ascii="Times New Roman" w:hAnsi="Times New Roman" w:eastAsia="宋体"/>
                      <w:color w:val="000000" w:themeColor="text1"/>
                      <w:spacing w:val="0"/>
                      <w:highlight w:val="none"/>
                      <w14:textFill>
                        <w14:solidFill>
                          <w14:schemeClr w14:val="tx1"/>
                        </w14:solidFill>
                      </w14:textFill>
                    </w:rPr>
                    <w:t>A</w:t>
                  </w:r>
                  <w:r>
                    <w:rPr>
                      <w:rFonts w:hint="eastAsia" w:ascii="Times New Roman" w:hAnsi="Times New Roman" w:eastAsia="宋体"/>
                      <w:color w:val="000000" w:themeColor="text1"/>
                      <w:spacing w:val="0"/>
                      <w:highlight w:val="none"/>
                      <w:lang w:eastAsia="zh-CN"/>
                      <w14:textFill>
                        <w14:solidFill>
                          <w14:schemeClr w14:val="tx1"/>
                        </w14:solidFill>
                      </w14:textFill>
                    </w:rPr>
                    <w:t>）</w:t>
                  </w:r>
                </w:p>
              </w:tc>
            </w:tr>
            <w:tr w14:paraId="514A6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742" w:type="dxa"/>
                  <w:vMerge w:val="continue"/>
                  <w:noWrap w:val="0"/>
                  <w:vAlign w:val="center"/>
                </w:tcPr>
                <w:p w14:paraId="5E458E4B">
                  <w:pPr>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2070" w:type="dxa"/>
                  <w:noWrap w:val="0"/>
                  <w:vAlign w:val="center"/>
                </w:tcPr>
                <w:p w14:paraId="2387895E">
                  <w:pPr>
                    <w:adjustRightInd w:val="0"/>
                    <w:snapToGrid w:val="0"/>
                    <w:jc w:val="center"/>
                    <w:outlineLvl w:val="9"/>
                    <w:rPr>
                      <w:rFonts w:hint="default" w:ascii="Times New Roman" w:hAnsi="Times New Roman" w:eastAsia="宋体"/>
                      <w:color w:val="000000" w:themeColor="text1"/>
                      <w:spacing w:val="0"/>
                      <w:highlight w:val="none"/>
                      <w:lang w:val="en-US"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4a类</w:t>
                  </w:r>
                </w:p>
              </w:tc>
              <w:tc>
                <w:tcPr>
                  <w:tcW w:w="2025" w:type="dxa"/>
                  <w:noWrap w:val="0"/>
                  <w:vAlign w:val="center"/>
                </w:tcPr>
                <w:p w14:paraId="5F061866">
                  <w:pPr>
                    <w:adjustRightInd w:val="0"/>
                    <w:snapToGrid w:val="0"/>
                    <w:jc w:val="center"/>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70</w:t>
                  </w:r>
                  <w:r>
                    <w:rPr>
                      <w:rFonts w:ascii="Times New Roman" w:hAnsi="Times New Roman" w:eastAsia="宋体"/>
                      <w:color w:val="000000" w:themeColor="text1"/>
                      <w:spacing w:val="0"/>
                      <w:highlight w:val="none"/>
                      <w14:textFill>
                        <w14:solidFill>
                          <w14:schemeClr w14:val="tx1"/>
                        </w14:solidFill>
                      </w14:textFill>
                    </w:rPr>
                    <w:t>dB</w:t>
                  </w:r>
                  <w:r>
                    <w:rPr>
                      <w:rFonts w:hint="eastAsia" w:ascii="Times New Roman" w:hAnsi="Times New Roman" w:eastAsia="宋体"/>
                      <w:color w:val="000000" w:themeColor="text1"/>
                      <w:spacing w:val="0"/>
                      <w:highlight w:val="none"/>
                      <w:lang w:eastAsia="zh-CN"/>
                      <w14:textFill>
                        <w14:solidFill>
                          <w14:schemeClr w14:val="tx1"/>
                        </w14:solidFill>
                      </w14:textFill>
                    </w:rPr>
                    <w:t>（</w:t>
                  </w:r>
                  <w:r>
                    <w:rPr>
                      <w:rFonts w:ascii="Times New Roman" w:hAnsi="Times New Roman" w:eastAsia="宋体"/>
                      <w:color w:val="000000" w:themeColor="text1"/>
                      <w:spacing w:val="0"/>
                      <w:highlight w:val="none"/>
                      <w14:textFill>
                        <w14:solidFill>
                          <w14:schemeClr w14:val="tx1"/>
                        </w14:solidFill>
                      </w14:textFill>
                    </w:rPr>
                    <w:t>A</w:t>
                  </w:r>
                  <w:r>
                    <w:rPr>
                      <w:rFonts w:hint="eastAsia" w:ascii="Times New Roman" w:hAnsi="Times New Roman" w:eastAsia="宋体"/>
                      <w:color w:val="000000" w:themeColor="text1"/>
                      <w:spacing w:val="0"/>
                      <w:highlight w:val="none"/>
                      <w:lang w:eastAsia="zh-CN"/>
                      <w14:textFill>
                        <w14:solidFill>
                          <w14:schemeClr w14:val="tx1"/>
                        </w14:solidFill>
                      </w14:textFill>
                    </w:rPr>
                    <w:t>）</w:t>
                  </w:r>
                </w:p>
              </w:tc>
              <w:tc>
                <w:tcPr>
                  <w:tcW w:w="2208" w:type="dxa"/>
                  <w:noWrap w:val="0"/>
                  <w:vAlign w:val="center"/>
                </w:tcPr>
                <w:p w14:paraId="41DDD0F7">
                  <w:pPr>
                    <w:adjustRightInd w:val="0"/>
                    <w:snapToGrid w:val="0"/>
                    <w:jc w:val="center"/>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55</w:t>
                  </w:r>
                  <w:r>
                    <w:rPr>
                      <w:rFonts w:ascii="Times New Roman" w:hAnsi="Times New Roman" w:eastAsia="宋体"/>
                      <w:color w:val="000000" w:themeColor="text1"/>
                      <w:spacing w:val="0"/>
                      <w:highlight w:val="none"/>
                      <w14:textFill>
                        <w14:solidFill>
                          <w14:schemeClr w14:val="tx1"/>
                        </w14:solidFill>
                      </w14:textFill>
                    </w:rPr>
                    <w:t>dB</w:t>
                  </w:r>
                  <w:r>
                    <w:rPr>
                      <w:rFonts w:hint="eastAsia" w:ascii="Times New Roman" w:hAnsi="Times New Roman" w:eastAsia="宋体"/>
                      <w:color w:val="000000" w:themeColor="text1"/>
                      <w:spacing w:val="0"/>
                      <w:highlight w:val="none"/>
                      <w:lang w:eastAsia="zh-CN"/>
                      <w14:textFill>
                        <w14:solidFill>
                          <w14:schemeClr w14:val="tx1"/>
                        </w14:solidFill>
                      </w14:textFill>
                    </w:rPr>
                    <w:t>（</w:t>
                  </w:r>
                  <w:r>
                    <w:rPr>
                      <w:rFonts w:ascii="Times New Roman" w:hAnsi="Times New Roman" w:eastAsia="宋体"/>
                      <w:color w:val="000000" w:themeColor="text1"/>
                      <w:spacing w:val="0"/>
                      <w:highlight w:val="none"/>
                      <w14:textFill>
                        <w14:solidFill>
                          <w14:schemeClr w14:val="tx1"/>
                        </w14:solidFill>
                      </w14:textFill>
                    </w:rPr>
                    <w:t>A</w:t>
                  </w:r>
                  <w:r>
                    <w:rPr>
                      <w:rFonts w:hint="eastAsia" w:ascii="Times New Roman" w:hAnsi="Times New Roman" w:eastAsia="宋体"/>
                      <w:color w:val="000000" w:themeColor="text1"/>
                      <w:spacing w:val="0"/>
                      <w:highlight w:val="none"/>
                      <w:lang w:eastAsia="zh-CN"/>
                      <w14:textFill>
                        <w14:solidFill>
                          <w14:schemeClr w14:val="tx1"/>
                        </w14:solidFill>
                      </w14:textFill>
                    </w:rPr>
                    <w:t>）</w:t>
                  </w:r>
                </w:p>
              </w:tc>
            </w:tr>
          </w:tbl>
          <w:p w14:paraId="61DB30F9">
            <w:pPr>
              <w:outlineLvl w:val="9"/>
              <w:rPr>
                <w:rFonts w:ascii="Times New Roman" w:hAnsi="Times New Roman" w:eastAsia="宋体"/>
                <w:color w:val="000000" w:themeColor="text1"/>
                <w:spacing w:val="0"/>
                <w:sz w:val="24"/>
                <w:highlight w:val="none"/>
                <w14:textFill>
                  <w14:solidFill>
                    <w14:schemeClr w14:val="tx1"/>
                  </w14:solidFill>
                </w14:textFill>
              </w:rPr>
            </w:pPr>
          </w:p>
          <w:p w14:paraId="08F2D33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（2）电磁环境</w:t>
            </w:r>
          </w:p>
          <w:p w14:paraId="669CAFE0">
            <w:pPr>
              <w:autoSpaceDN w:val="0"/>
              <w:spacing w:line="360" w:lineRule="auto"/>
              <w:ind w:firstLine="480" w:firstLineChars="200"/>
              <w:textAlignment w:val="baseline"/>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工频电场执行《电磁环境控制限值》（GB8702-2014）中规定的标准，公众曝露控制限值电场强度限值200/f（4000V/m）作为评价标准；架空输电线路下的耕地、园地、牧草地、畜禽饲养地、养殖水面、道路等场所，其频率50Hz的电场强度控制限值为10kV/m，且应给出警示和防护指示标志；</w:t>
            </w:r>
          </w:p>
          <w:p w14:paraId="2414239B">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②工频磁场执行《电磁环境控制限值》（GB8702-2014）中规定的标准，公众曝露控制限值磁感应强度限值5/f（100μT）作为评价标准。</w:t>
            </w:r>
          </w:p>
          <w:p w14:paraId="33A6B51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具体情况见表3-</w:t>
            </w:r>
            <w:r>
              <w:rPr>
                <w:rFonts w:hint="eastAsia" w:ascii="Times New Roman" w:hAnsi="Times New Roman" w:eastAsia="宋体"/>
                <w:color w:val="000000" w:themeColor="text1"/>
                <w:spacing w:val="0"/>
                <w:sz w:val="24"/>
                <w:highlight w:val="none"/>
                <w14:textFill>
                  <w14:solidFill>
                    <w14:schemeClr w14:val="tx1"/>
                  </w14:solidFill>
                </w14:textFill>
              </w:rPr>
              <w:t>6</w:t>
            </w:r>
            <w:r>
              <w:rPr>
                <w:rFonts w:ascii="Times New Roman" w:hAnsi="Times New Roman" w:eastAsia="宋体"/>
                <w:color w:val="000000" w:themeColor="text1"/>
                <w:spacing w:val="0"/>
                <w:sz w:val="24"/>
                <w:highlight w:val="none"/>
                <w14:textFill>
                  <w14:solidFill>
                    <w14:schemeClr w14:val="tx1"/>
                  </w14:solidFill>
                </w14:textFill>
              </w:rPr>
              <w:t>。</w:t>
            </w:r>
          </w:p>
          <w:p w14:paraId="1D7F2880">
            <w:pPr>
              <w:spacing w:line="360" w:lineRule="auto"/>
              <w:ind w:firstLine="7" w:firstLineChars="3"/>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表3-</w:t>
            </w:r>
            <w:r>
              <w:rPr>
                <w:rFonts w:hint="eastAsia"/>
                <w:b/>
                <w:bCs/>
                <w:color w:val="000000" w:themeColor="text1"/>
                <w:spacing w:val="0"/>
                <w:sz w:val="24"/>
                <w:highlight w:val="none"/>
                <w:lang w:val="en-US" w:eastAsia="zh-CN"/>
                <w14:textFill>
                  <w14:solidFill>
                    <w14:schemeClr w14:val="tx1"/>
                  </w14:solidFill>
                </w14:textFill>
              </w:rPr>
              <w:t>7</w:t>
            </w:r>
            <w:r>
              <w:rPr>
                <w:rFonts w:ascii="Times New Roman" w:hAnsi="Times New Roman" w:eastAsia="宋体"/>
                <w:b/>
                <w:bCs/>
                <w:color w:val="000000" w:themeColor="text1"/>
                <w:spacing w:val="0"/>
                <w:sz w:val="24"/>
                <w:highlight w:val="none"/>
                <w14:textFill>
                  <w14:solidFill>
                    <w14:schemeClr w14:val="tx1"/>
                  </w14:solidFill>
                </w14:textFill>
              </w:rPr>
              <w:t xml:space="preserve"> 电磁环境控制限值</w:t>
            </w:r>
          </w:p>
          <w:tbl>
            <w:tblPr>
              <w:tblStyle w:val="26"/>
              <w:tblW w:w="80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6412"/>
            </w:tblGrid>
            <w:tr w14:paraId="52451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6" w:type="dxa"/>
                  <w:vAlign w:val="center"/>
                </w:tcPr>
                <w:p w14:paraId="32417FDB">
                  <w:pPr>
                    <w:spacing w:line="240" w:lineRule="atLeast"/>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污染物名称</w:t>
                  </w:r>
                </w:p>
              </w:tc>
              <w:tc>
                <w:tcPr>
                  <w:tcW w:w="6412" w:type="dxa"/>
                  <w:vAlign w:val="center"/>
                </w:tcPr>
                <w:p w14:paraId="15D2C7BB">
                  <w:pPr>
                    <w:spacing w:line="240" w:lineRule="atLeast"/>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标准</w:t>
                  </w:r>
                </w:p>
              </w:tc>
            </w:tr>
            <w:tr w14:paraId="044EF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6" w:type="dxa"/>
                  <w:vMerge w:val="restart"/>
                  <w:vAlign w:val="center"/>
                </w:tcPr>
                <w:p w14:paraId="405918B1">
                  <w:pPr>
                    <w:spacing w:line="240" w:lineRule="atLeast"/>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工频电场</w:t>
                  </w:r>
                </w:p>
              </w:tc>
              <w:tc>
                <w:tcPr>
                  <w:tcW w:w="6412" w:type="dxa"/>
                  <w:vAlign w:val="center"/>
                </w:tcPr>
                <w:p w14:paraId="3515118C">
                  <w:pPr>
                    <w:spacing w:line="240" w:lineRule="atLeast"/>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4000V/m</w:t>
                  </w:r>
                </w:p>
              </w:tc>
            </w:tr>
            <w:tr w14:paraId="22797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6" w:type="dxa"/>
                  <w:vMerge w:val="continue"/>
                  <w:vAlign w:val="center"/>
                </w:tcPr>
                <w:p w14:paraId="64DEAEC2">
                  <w:pPr>
                    <w:spacing w:line="240" w:lineRule="atLeast"/>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6412" w:type="dxa"/>
                  <w:vAlign w:val="center"/>
                </w:tcPr>
                <w:p w14:paraId="4DE34276">
                  <w:pPr>
                    <w:spacing w:line="240" w:lineRule="atLeast"/>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10kV/m（架空输电线路下的耕地、园地、牧草地、畜禽饲养地、养殖水面、道路等场所）</w:t>
                  </w:r>
                </w:p>
              </w:tc>
            </w:tr>
            <w:tr w14:paraId="3FBAD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6" w:type="dxa"/>
                  <w:vAlign w:val="center"/>
                </w:tcPr>
                <w:p w14:paraId="28EEBE91">
                  <w:pPr>
                    <w:spacing w:line="240" w:lineRule="atLeast"/>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工频磁场</w:t>
                  </w:r>
                </w:p>
              </w:tc>
              <w:tc>
                <w:tcPr>
                  <w:tcW w:w="6412" w:type="dxa"/>
                  <w:vAlign w:val="center"/>
                </w:tcPr>
                <w:p w14:paraId="6A11962B">
                  <w:pPr>
                    <w:spacing w:line="240" w:lineRule="atLeast"/>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100μT</w:t>
                  </w:r>
                </w:p>
              </w:tc>
            </w:tr>
          </w:tbl>
          <w:p w14:paraId="7D4254DA">
            <w:pPr>
              <w:adjustRightInd w:val="0"/>
              <w:snapToGrid w:val="0"/>
              <w:outlineLvl w:val="9"/>
              <w:rPr>
                <w:rFonts w:ascii="Times New Roman" w:hAnsi="Times New Roman" w:eastAsia="宋体"/>
                <w:b/>
                <w:bCs/>
                <w:color w:val="000000" w:themeColor="text1"/>
                <w:spacing w:val="0"/>
                <w:sz w:val="24"/>
                <w:highlight w:val="none"/>
                <w14:textFill>
                  <w14:solidFill>
                    <w14:schemeClr w14:val="tx1"/>
                  </w14:solidFill>
                </w14:textFill>
              </w:rPr>
            </w:pPr>
          </w:p>
          <w:p w14:paraId="74BE346A">
            <w:pPr>
              <w:adjustRightInd w:val="0"/>
              <w:snapToGrid w:val="0"/>
              <w:spacing w:line="360" w:lineRule="auto"/>
              <w:ind w:firstLine="482"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2、污染物排放标准</w:t>
            </w:r>
          </w:p>
          <w:p w14:paraId="3FEDC536">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（1）声环境</w:t>
            </w:r>
          </w:p>
          <w:p w14:paraId="1FB38874">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①施工期声环境执行</w:t>
            </w:r>
            <w:r>
              <w:rPr>
                <w:rFonts w:ascii="Times New Roman" w:hAnsi="Times New Roman" w:eastAsia="宋体"/>
                <w:bCs/>
                <w:color w:val="000000" w:themeColor="text1"/>
                <w:spacing w:val="0"/>
                <w:sz w:val="24"/>
                <w:highlight w:val="none"/>
                <w14:textFill>
                  <w14:solidFill>
                    <w14:schemeClr w14:val="tx1"/>
                  </w14:solidFill>
                </w14:textFill>
              </w:rPr>
              <w:t>《建筑施工噪声排放标准》（GB12523-20</w:t>
            </w:r>
            <w:r>
              <w:rPr>
                <w:rFonts w:hint="eastAsia"/>
                <w:bCs/>
                <w:color w:val="000000" w:themeColor="text1"/>
                <w:spacing w:val="0"/>
                <w:sz w:val="24"/>
                <w:highlight w:val="none"/>
                <w:lang w:val="en-US" w:eastAsia="zh-CN"/>
                <w14:textFill>
                  <w14:solidFill>
                    <w14:schemeClr w14:val="tx1"/>
                  </w14:solidFill>
                </w14:textFill>
              </w:rPr>
              <w:t>25</w:t>
            </w:r>
            <w:r>
              <w:rPr>
                <w:rFonts w:ascii="Times New Roman" w:hAnsi="Times New Roman" w:eastAsia="宋体"/>
                <w:bCs/>
                <w:color w:val="000000" w:themeColor="text1"/>
                <w:spacing w:val="0"/>
                <w:sz w:val="24"/>
                <w:highlight w:val="none"/>
                <w14:textFill>
                  <w14:solidFill>
                    <w14:schemeClr w14:val="tx1"/>
                  </w14:solidFill>
                </w14:textFill>
              </w:rPr>
              <w:t>），具体见表3-</w:t>
            </w:r>
            <w:r>
              <w:rPr>
                <w:rFonts w:hint="eastAsia" w:ascii="Times New Roman" w:hAnsi="Times New Roman" w:eastAsia="宋体"/>
                <w:bCs/>
                <w:color w:val="000000" w:themeColor="text1"/>
                <w:spacing w:val="0"/>
                <w:sz w:val="24"/>
                <w:highlight w:val="none"/>
                <w14:textFill>
                  <w14:solidFill>
                    <w14:schemeClr w14:val="tx1"/>
                  </w14:solidFill>
                </w14:textFill>
              </w:rPr>
              <w:t>7</w:t>
            </w:r>
            <w:r>
              <w:rPr>
                <w:rFonts w:ascii="Times New Roman" w:hAnsi="Times New Roman" w:eastAsia="宋体"/>
                <w:bCs/>
                <w:color w:val="000000" w:themeColor="text1"/>
                <w:spacing w:val="0"/>
                <w:sz w:val="24"/>
                <w:highlight w:val="none"/>
                <w14:textFill>
                  <w14:solidFill>
                    <w14:schemeClr w14:val="tx1"/>
                  </w14:solidFill>
                </w14:textFill>
              </w:rPr>
              <w:t>。</w:t>
            </w:r>
          </w:p>
          <w:p w14:paraId="458689D4">
            <w:pPr>
              <w:spacing w:line="360" w:lineRule="auto"/>
              <w:jc w:val="center"/>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表3-</w:t>
            </w:r>
            <w:r>
              <w:rPr>
                <w:rFonts w:hint="eastAsia"/>
                <w:b/>
                <w:color w:val="000000" w:themeColor="text1"/>
                <w:spacing w:val="0"/>
                <w:sz w:val="24"/>
                <w:highlight w:val="none"/>
                <w:lang w:val="en-US" w:eastAsia="zh-CN"/>
                <w14:textFill>
                  <w14:solidFill>
                    <w14:schemeClr w14:val="tx1"/>
                  </w14:solidFill>
                </w14:textFill>
              </w:rPr>
              <w:t>8</w:t>
            </w:r>
            <w:r>
              <w:rPr>
                <w:rFonts w:ascii="Times New Roman" w:hAnsi="Times New Roman" w:eastAsia="宋体"/>
                <w:b/>
                <w:color w:val="000000" w:themeColor="text1"/>
                <w:spacing w:val="0"/>
                <w:sz w:val="24"/>
                <w:highlight w:val="none"/>
                <w14:textFill>
                  <w14:solidFill>
                    <w14:schemeClr w14:val="tx1"/>
                  </w14:solidFill>
                </w14:textFill>
              </w:rPr>
              <w:t xml:space="preserve">  建筑施工噪声排放限值</w:t>
            </w:r>
          </w:p>
          <w:tbl>
            <w:tblPr>
              <w:tblStyle w:val="26"/>
              <w:tblW w:w="8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2"/>
              <w:gridCol w:w="3837"/>
            </w:tblGrid>
            <w:tr w14:paraId="4EC23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222" w:type="dxa"/>
                  <w:vAlign w:val="center"/>
                </w:tcPr>
                <w:p w14:paraId="556272FD">
                  <w:pPr>
                    <w:adjustRightInd w:val="0"/>
                    <w:snapToGrid w:val="0"/>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昼间</w:t>
                  </w:r>
                </w:p>
              </w:tc>
              <w:tc>
                <w:tcPr>
                  <w:tcW w:w="3837" w:type="dxa"/>
                  <w:vAlign w:val="center"/>
                </w:tcPr>
                <w:p w14:paraId="3CE2401B">
                  <w:pPr>
                    <w:adjustRightInd w:val="0"/>
                    <w:snapToGrid w:val="0"/>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夜间</w:t>
                  </w:r>
                </w:p>
              </w:tc>
            </w:tr>
            <w:tr w14:paraId="45520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22" w:type="dxa"/>
                  <w:vAlign w:val="center"/>
                </w:tcPr>
                <w:p w14:paraId="0AD48FD7">
                  <w:pPr>
                    <w:adjustRightInd w:val="0"/>
                    <w:snapToGrid w:val="0"/>
                    <w:spacing w:line="240" w:lineRule="atLeast"/>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70</w:t>
                  </w:r>
                  <w:r>
                    <w:rPr>
                      <w:rFonts w:ascii="Times New Roman" w:hAnsi="Times New Roman" w:eastAsia="宋体"/>
                      <w:bCs/>
                      <w:color w:val="000000" w:themeColor="text1"/>
                      <w:spacing w:val="0"/>
                      <w:szCs w:val="21"/>
                      <w:highlight w:val="none"/>
                      <w14:textFill>
                        <w14:solidFill>
                          <w14:schemeClr w14:val="tx1"/>
                        </w14:solidFill>
                      </w14:textFill>
                    </w:rPr>
                    <w:t>dB(A)</w:t>
                  </w:r>
                </w:p>
              </w:tc>
              <w:tc>
                <w:tcPr>
                  <w:tcW w:w="3837" w:type="dxa"/>
                  <w:vAlign w:val="center"/>
                </w:tcPr>
                <w:p w14:paraId="179EE208">
                  <w:pPr>
                    <w:adjustRightInd w:val="0"/>
                    <w:snapToGrid w:val="0"/>
                    <w:spacing w:line="240" w:lineRule="atLeast"/>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55</w:t>
                  </w:r>
                  <w:r>
                    <w:rPr>
                      <w:rFonts w:ascii="Times New Roman" w:hAnsi="Times New Roman" w:eastAsia="宋体"/>
                      <w:bCs/>
                      <w:color w:val="000000" w:themeColor="text1"/>
                      <w:spacing w:val="0"/>
                      <w:szCs w:val="21"/>
                      <w:highlight w:val="none"/>
                      <w14:textFill>
                        <w14:solidFill>
                          <w14:schemeClr w14:val="tx1"/>
                        </w14:solidFill>
                      </w14:textFill>
                    </w:rPr>
                    <w:t>dB(A)</w:t>
                  </w:r>
                </w:p>
              </w:tc>
            </w:tr>
          </w:tbl>
          <w:p w14:paraId="76B757D4">
            <w:pPr>
              <w:widowControl/>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72B165D6">
            <w:pPr>
              <w:widowControl/>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②运行期</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三岔</w:t>
            </w:r>
            <w:r>
              <w:rPr>
                <w:rFonts w:ascii="Times New Roman" w:hAnsi="Times New Roman" w:eastAsia="宋体"/>
                <w:color w:val="000000" w:themeColor="text1"/>
                <w:spacing w:val="0"/>
                <w:sz w:val="24"/>
                <w:highlight w:val="none"/>
                <w14:textFill>
                  <w14:solidFill>
                    <w14:schemeClr w14:val="tx1"/>
                  </w14:solidFill>
                </w14:textFill>
              </w:rPr>
              <w:t>110kV变电站厂界噪声环境执行《工业企业厂界环境噪声排放标准》（GB12348-2008）</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2类</w:t>
            </w:r>
            <w:r>
              <w:rPr>
                <w:rFonts w:ascii="Times New Roman" w:hAnsi="Times New Roman" w:eastAsia="宋体"/>
                <w:color w:val="000000" w:themeColor="text1"/>
                <w:spacing w:val="0"/>
                <w:sz w:val="24"/>
                <w:highlight w:val="none"/>
                <w14:textFill>
                  <w14:solidFill>
                    <w14:schemeClr w14:val="tx1"/>
                  </w14:solidFill>
                </w14:textFill>
              </w:rPr>
              <w:t>标准，具体见表3-</w:t>
            </w:r>
            <w:r>
              <w:rPr>
                <w:rFonts w:hint="eastAsia" w:ascii="Times New Roman" w:hAnsi="Times New Roman" w:eastAsia="宋体"/>
                <w:color w:val="000000" w:themeColor="text1"/>
                <w:spacing w:val="0"/>
                <w:sz w:val="24"/>
                <w:highlight w:val="none"/>
                <w14:textFill>
                  <w14:solidFill>
                    <w14:schemeClr w14:val="tx1"/>
                  </w14:solidFill>
                </w14:textFill>
              </w:rPr>
              <w:t>8</w:t>
            </w:r>
            <w:r>
              <w:rPr>
                <w:rFonts w:ascii="Times New Roman" w:hAnsi="Times New Roman" w:eastAsia="宋体"/>
                <w:color w:val="000000" w:themeColor="text1"/>
                <w:spacing w:val="0"/>
                <w:sz w:val="24"/>
                <w:highlight w:val="none"/>
                <w14:textFill>
                  <w14:solidFill>
                    <w14:schemeClr w14:val="tx1"/>
                  </w14:solidFill>
                </w14:textFill>
              </w:rPr>
              <w:t>。</w:t>
            </w:r>
          </w:p>
          <w:p w14:paraId="1A9CAC78">
            <w:pPr>
              <w:spacing w:line="360" w:lineRule="auto"/>
              <w:ind w:firstLine="7" w:firstLineChars="3"/>
              <w:jc w:val="center"/>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表3-</w:t>
            </w:r>
            <w:r>
              <w:rPr>
                <w:rFonts w:hint="eastAsia"/>
                <w:b/>
                <w:color w:val="000000" w:themeColor="text1"/>
                <w:spacing w:val="0"/>
                <w:sz w:val="24"/>
                <w:highlight w:val="none"/>
                <w:lang w:val="en-US" w:eastAsia="zh-CN"/>
                <w14:textFill>
                  <w14:solidFill>
                    <w14:schemeClr w14:val="tx1"/>
                  </w14:solidFill>
                </w14:textFill>
              </w:rPr>
              <w:t xml:space="preserve">9 </w:t>
            </w:r>
            <w:r>
              <w:rPr>
                <w:rFonts w:ascii="Times New Roman" w:hAnsi="Times New Roman" w:eastAsia="宋体"/>
                <w:b/>
                <w:color w:val="000000" w:themeColor="text1"/>
                <w:spacing w:val="0"/>
                <w:sz w:val="24"/>
                <w:highlight w:val="none"/>
                <w14:textFill>
                  <w14:solidFill>
                    <w14:schemeClr w14:val="tx1"/>
                  </w14:solidFill>
                </w14:textFill>
              </w:rPr>
              <w:t xml:space="preserve"> 本项目具体执行的工业企业厂界环境噪声排放限值</w:t>
            </w:r>
          </w:p>
          <w:tbl>
            <w:tblPr>
              <w:tblStyle w:val="26"/>
              <w:tblW w:w="80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74"/>
              <w:gridCol w:w="2605"/>
              <w:gridCol w:w="2500"/>
            </w:tblGrid>
            <w:tr w14:paraId="32CEC1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74" w:type="dxa"/>
                  <w:vAlign w:val="center"/>
                </w:tcPr>
                <w:p w14:paraId="07913676">
                  <w:pPr>
                    <w:adjustRightInd w:val="0"/>
                    <w:snapToGrid w:val="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类别</w:t>
                  </w:r>
                </w:p>
              </w:tc>
              <w:tc>
                <w:tcPr>
                  <w:tcW w:w="2605" w:type="dxa"/>
                  <w:vAlign w:val="center"/>
                </w:tcPr>
                <w:p w14:paraId="68E30F8D">
                  <w:pPr>
                    <w:adjustRightInd w:val="0"/>
                    <w:snapToGrid w:val="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昼间</w:t>
                  </w:r>
                </w:p>
              </w:tc>
              <w:tc>
                <w:tcPr>
                  <w:tcW w:w="2500" w:type="dxa"/>
                  <w:vAlign w:val="center"/>
                </w:tcPr>
                <w:p w14:paraId="69D88763">
                  <w:pPr>
                    <w:adjustRightInd w:val="0"/>
                    <w:snapToGrid w:val="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夜间</w:t>
                  </w:r>
                </w:p>
              </w:tc>
            </w:tr>
            <w:tr w14:paraId="4171F0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74" w:type="dxa"/>
                  <w:vAlign w:val="center"/>
                </w:tcPr>
                <w:p w14:paraId="40EC967B">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2类</w:t>
                  </w:r>
                </w:p>
              </w:tc>
              <w:tc>
                <w:tcPr>
                  <w:tcW w:w="2605" w:type="dxa"/>
                  <w:vAlign w:val="center"/>
                </w:tcPr>
                <w:p w14:paraId="4F55C672">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60</w:t>
                  </w:r>
                  <w:r>
                    <w:rPr>
                      <w:rFonts w:ascii="Times New Roman" w:hAnsi="Times New Roman" w:eastAsia="宋体"/>
                      <w:bCs/>
                      <w:color w:val="000000" w:themeColor="text1"/>
                      <w:spacing w:val="0"/>
                      <w:szCs w:val="21"/>
                      <w:highlight w:val="none"/>
                      <w14:textFill>
                        <w14:solidFill>
                          <w14:schemeClr w14:val="tx1"/>
                        </w14:solidFill>
                      </w14:textFill>
                    </w:rPr>
                    <w:t>dB(A)</w:t>
                  </w:r>
                </w:p>
              </w:tc>
              <w:tc>
                <w:tcPr>
                  <w:tcW w:w="2500" w:type="dxa"/>
                  <w:vAlign w:val="center"/>
                </w:tcPr>
                <w:p w14:paraId="28AAF47C">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50</w:t>
                  </w:r>
                  <w:r>
                    <w:rPr>
                      <w:rFonts w:ascii="Times New Roman" w:hAnsi="Times New Roman" w:eastAsia="宋体"/>
                      <w:bCs/>
                      <w:color w:val="000000" w:themeColor="text1"/>
                      <w:spacing w:val="0"/>
                      <w:szCs w:val="21"/>
                      <w:highlight w:val="none"/>
                      <w14:textFill>
                        <w14:solidFill>
                          <w14:schemeClr w14:val="tx1"/>
                        </w14:solidFill>
                      </w14:textFill>
                    </w:rPr>
                    <w:t>dB(A)</w:t>
                  </w:r>
                </w:p>
              </w:tc>
            </w:tr>
          </w:tbl>
          <w:p w14:paraId="7B36AB97">
            <w:pPr>
              <w:pStyle w:val="7"/>
              <w:spacing w:after="0" w:line="360" w:lineRule="auto"/>
              <w:ind w:left="0" w:leftChars="0" w:firstLine="0"/>
              <w:jc w:val="left"/>
              <w:outlineLvl w:val="9"/>
              <w:rPr>
                <w:rFonts w:ascii="Times New Roman" w:hAnsi="Times New Roman" w:eastAsia="宋体"/>
                <w:color w:val="000000" w:themeColor="text1"/>
                <w:spacing w:val="0"/>
                <w:highlight w:val="none"/>
                <w14:textFill>
                  <w14:solidFill>
                    <w14:schemeClr w14:val="tx1"/>
                  </w14:solidFill>
                </w14:textFill>
              </w:rPr>
            </w:pPr>
          </w:p>
        </w:tc>
      </w:tr>
      <w:tr w14:paraId="6A4C6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06" w:type="dxa"/>
            <w:vAlign w:val="center"/>
          </w:tcPr>
          <w:p w14:paraId="774607A1">
            <w:pPr>
              <w:adjustRightInd w:val="0"/>
              <w:snapToGrid w:val="0"/>
              <w:jc w:val="center"/>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其他</w:t>
            </w:r>
          </w:p>
        </w:tc>
        <w:tc>
          <w:tcPr>
            <w:tcW w:w="8720" w:type="dxa"/>
            <w:vAlign w:val="center"/>
          </w:tcPr>
          <w:p w14:paraId="549F90CA">
            <w:pPr>
              <w:pStyle w:val="7"/>
              <w:spacing w:after="0" w:line="360" w:lineRule="auto"/>
              <w:ind w:left="0" w:leftChars="0"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（1）施工期固体废物按照《中华人民共和国固体废物污染环境防治法》（2020年修订）相关要求执行。</w:t>
            </w:r>
          </w:p>
          <w:p w14:paraId="08828568">
            <w:pPr>
              <w:pStyle w:val="7"/>
              <w:spacing w:after="0" w:line="360" w:lineRule="auto"/>
              <w:ind w:left="0" w:leftChars="0"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（2）运行期变电站危险废物贮存执行</w:t>
            </w:r>
            <w:r>
              <w:rPr>
                <w:rFonts w:ascii="Times New Roman" w:hAnsi="Times New Roman" w:eastAsia="宋体"/>
                <w:bCs/>
                <w:color w:val="000000" w:themeColor="text1"/>
                <w:spacing w:val="0"/>
                <w:sz w:val="24"/>
                <w:highlight w:val="none"/>
                <w14:textFill>
                  <w14:solidFill>
                    <w14:schemeClr w14:val="tx1"/>
                  </w14:solidFill>
                </w14:textFill>
              </w:rPr>
              <w:t xml:space="preserve">《危险废物贮存污染控制标准》（GB18597-2023）。   </w:t>
            </w:r>
          </w:p>
          <w:p w14:paraId="1244891A">
            <w:pPr>
              <w:pStyle w:val="7"/>
              <w:spacing w:after="0"/>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 xml:space="preserve"> （3）本项目</w:t>
            </w:r>
            <w:r>
              <w:rPr>
                <w:rFonts w:ascii="Times New Roman" w:hAnsi="Times New Roman" w:eastAsia="宋体"/>
                <w:color w:val="000000" w:themeColor="text1"/>
                <w:spacing w:val="0"/>
                <w:sz w:val="24"/>
                <w:highlight w:val="none"/>
                <w14:textFill>
                  <w14:solidFill>
                    <w14:schemeClr w14:val="tx1"/>
                  </w14:solidFill>
                </w14:textFill>
              </w:rPr>
              <w:t>无总量控制指标。</w:t>
            </w:r>
            <w:r>
              <w:rPr>
                <w:rFonts w:ascii="Times New Roman" w:hAnsi="Times New Roman" w:eastAsia="宋体"/>
                <w:bCs/>
                <w:color w:val="000000" w:themeColor="text1"/>
                <w:spacing w:val="0"/>
                <w:sz w:val="24"/>
                <w:highlight w:val="none"/>
                <w14:textFill>
                  <w14:solidFill>
                    <w14:schemeClr w14:val="tx1"/>
                  </w14:solidFill>
                </w14:textFill>
              </w:rPr>
              <w:t xml:space="preserve">    </w:t>
            </w:r>
          </w:p>
        </w:tc>
      </w:tr>
    </w:tbl>
    <w:p w14:paraId="0FD5ABBC">
      <w:pPr>
        <w:pStyle w:val="23"/>
        <w:spacing w:before="0" w:beforeAutospacing="0" w:after="0" w:afterAutospacing="0" w:line="360" w:lineRule="auto"/>
        <w:jc w:val="both"/>
        <w:outlineLvl w:val="9"/>
        <w:rPr>
          <w:rFonts w:ascii="Times New Roman" w:hAnsi="Times New Roman" w:eastAsia="宋体"/>
          <w:b/>
          <w:bCs/>
          <w:snapToGrid w:val="0"/>
          <w:color w:val="000000" w:themeColor="text1"/>
          <w:spacing w:val="0"/>
          <w:sz w:val="30"/>
          <w:szCs w:val="30"/>
          <w:highlight w:val="none"/>
          <w14:textFill>
            <w14:solidFill>
              <w14:schemeClr w14:val="tx1"/>
            </w14:solidFill>
          </w14:textFill>
        </w:rPr>
        <w:sectPr>
          <w:pgSz w:w="11907" w:h="16840"/>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132A1075">
      <w:pPr>
        <w:pStyle w:val="23"/>
        <w:spacing w:before="0" w:beforeAutospacing="0" w:after="0" w:afterAutospacing="0" w:line="360" w:lineRule="auto"/>
        <w:jc w:val="center"/>
        <w:outlineLvl w:val="0"/>
        <w:rPr>
          <w:rFonts w:ascii="Times New Roman" w:hAnsi="Times New Roman" w:eastAsia="宋体"/>
          <w:snapToGrid w:val="0"/>
          <w:color w:val="000000" w:themeColor="text1"/>
          <w:spacing w:val="0"/>
          <w:sz w:val="30"/>
          <w:szCs w:val="30"/>
          <w:highlight w:val="none"/>
          <w14:textFill>
            <w14:solidFill>
              <w14:schemeClr w14:val="tx1"/>
            </w14:solidFill>
          </w14:textFill>
        </w:rPr>
      </w:pPr>
      <w:bookmarkStart w:id="8" w:name="_Toc31057"/>
      <w:r>
        <w:rPr>
          <w:rFonts w:ascii="Times New Roman" w:hAnsi="Times New Roman" w:eastAsia="宋体"/>
          <w:b/>
          <w:bCs/>
          <w:snapToGrid w:val="0"/>
          <w:color w:val="000000" w:themeColor="text1"/>
          <w:spacing w:val="0"/>
          <w:sz w:val="30"/>
          <w:szCs w:val="30"/>
          <w:highlight w:val="none"/>
          <w14:textFill>
            <w14:solidFill>
              <w14:schemeClr w14:val="tx1"/>
            </w14:solidFill>
          </w14:textFill>
        </w:rPr>
        <w:t>四、生态环境影响分析</w:t>
      </w:r>
      <w:bookmarkEnd w:id="8"/>
    </w:p>
    <w:tbl>
      <w:tblPr>
        <w:tblStyle w:val="26"/>
        <w:tblW w:w="94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673"/>
      </w:tblGrid>
      <w:tr w14:paraId="2A477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6" w:type="dxa"/>
            <w:tcMar>
              <w:left w:w="28" w:type="dxa"/>
              <w:right w:w="28" w:type="dxa"/>
            </w:tcMar>
            <w:vAlign w:val="center"/>
          </w:tcPr>
          <w:p w14:paraId="4FC62514">
            <w:pPr>
              <w:pStyle w:val="23"/>
              <w:adjustRightInd w:val="0"/>
              <w:snapToGrid w:val="0"/>
              <w:spacing w:before="0" w:beforeAutospacing="0" w:after="0" w:afterAutospacing="0"/>
              <w:jc w:val="center"/>
              <w:outlineLvl w:val="9"/>
              <w:rPr>
                <w:rFonts w:ascii="Times New Roman" w:hAnsi="Times New Roman" w:eastAsia="宋体"/>
                <w:bCs/>
                <w:color w:val="000000" w:themeColor="text1"/>
                <w:spacing w:val="0"/>
                <w:kern w:val="2"/>
                <w:sz w:val="21"/>
                <w:szCs w:val="21"/>
                <w:highlight w:val="none"/>
                <w14:textFill>
                  <w14:solidFill>
                    <w14:schemeClr w14:val="tx1"/>
                  </w14:solidFill>
                </w14:textFill>
              </w:rPr>
            </w:pPr>
            <w:bookmarkStart w:id="9" w:name="_Hlk49796138"/>
            <w:r>
              <w:rPr>
                <w:rFonts w:ascii="Times New Roman" w:hAnsi="Times New Roman" w:eastAsia="宋体"/>
                <w:bCs/>
                <w:color w:val="000000" w:themeColor="text1"/>
                <w:spacing w:val="0"/>
                <w:kern w:val="2"/>
                <w:highlight w:val="none"/>
                <w14:textFill>
                  <w14:solidFill>
                    <w14:schemeClr w14:val="tx1"/>
                  </w14:solidFill>
                </w14:textFill>
              </w:rPr>
              <w:t>施工期生态环境影响分析</w:t>
            </w:r>
            <w:bookmarkEnd w:id="9"/>
          </w:p>
        </w:tc>
        <w:tc>
          <w:tcPr>
            <w:tcW w:w="8673" w:type="dxa"/>
          </w:tcPr>
          <w:p w14:paraId="7F896287">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1、生态影响分析</w:t>
            </w:r>
          </w:p>
          <w:p w14:paraId="5495D552">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（1）变电站工程</w:t>
            </w:r>
          </w:p>
          <w:p w14:paraId="1325836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变电站工程施工期对生态的影响主要来自场地平整、基础开挖、材料运输、设备临时堆放等施工活动中施工机械、车辆、人员对土壤的扰动以及对地表植被碾压、堆压、踩踏等影响。</w:t>
            </w:r>
          </w:p>
          <w:p w14:paraId="212FE83B">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①对土地利用的影响分析</w:t>
            </w:r>
          </w:p>
          <w:p w14:paraId="45ECEE09">
            <w:pPr>
              <w:spacing w:line="360" w:lineRule="auto"/>
              <w:ind w:firstLine="480" w:firstLineChars="200"/>
              <w:jc w:val="left"/>
              <w:outlineLvl w:val="9"/>
              <w:rPr>
                <w:rFonts w:ascii="Times New Roman" w:hAnsi="Times New Roman" w:eastAsia="宋体"/>
                <w:bCs/>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本项目变电站区域永久占地</w:t>
            </w:r>
            <w:r>
              <w:rPr>
                <w:rFonts w:hint="eastAsia"/>
                <w:color w:val="000000" w:themeColor="text1"/>
                <w:spacing w:val="0"/>
                <w:sz w:val="24"/>
                <w:highlight w:val="none"/>
                <w:lang w:val="en-US" w:eastAsia="zh-CN"/>
                <w14:textFill>
                  <w14:solidFill>
                    <w14:schemeClr w14:val="tx1"/>
                  </w14:solidFill>
                </w14:textFill>
              </w:rPr>
              <w:t>0.6286</w:t>
            </w:r>
            <w:r>
              <w:rPr>
                <w:rFonts w:hint="eastAsia" w:ascii="Times New Roman" w:hAnsi="Times New Roman" w:eastAsia="宋体"/>
                <w:color w:val="000000" w:themeColor="text1"/>
                <w:spacing w:val="0"/>
                <w:sz w:val="24"/>
                <w:highlight w:val="none"/>
                <w14:textFill>
                  <w14:solidFill>
                    <w14:schemeClr w14:val="tx1"/>
                  </w14:solidFill>
                </w14:textFill>
              </w:rPr>
              <w:t>hm</w:t>
            </w:r>
            <w:r>
              <w:rPr>
                <w:rFonts w:hint="eastAsia" w:ascii="Times New Roman" w:hAnsi="Times New Roman" w:eastAsia="宋体"/>
                <w:color w:val="000000" w:themeColor="text1"/>
                <w:spacing w:val="0"/>
                <w:sz w:val="24"/>
                <w:highlight w:val="none"/>
                <w:vertAlign w:val="superscript"/>
                <w14:textFill>
                  <w14:solidFill>
                    <w14:schemeClr w14:val="tx1"/>
                  </w14:solidFill>
                </w14:textFill>
              </w:rPr>
              <w:t>2</w:t>
            </w:r>
            <w:r>
              <w:rPr>
                <w:rFonts w:hint="eastAsia" w:ascii="Times New Roman" w:hAnsi="Times New Roman" w:eastAsia="宋体"/>
                <w:color w:val="000000" w:themeColor="text1"/>
                <w:spacing w:val="0"/>
                <w:sz w:val="24"/>
                <w:highlight w:val="none"/>
                <w14:textFill>
                  <w14:solidFill>
                    <w14:schemeClr w14:val="tx1"/>
                  </w14:solidFill>
                </w14:textFill>
              </w:rPr>
              <w:t>，已取得用地预审与选址意见书，临时占地</w:t>
            </w:r>
            <w:r>
              <w:rPr>
                <w:rFonts w:hint="eastAsia"/>
                <w:color w:val="000000" w:themeColor="text1"/>
                <w:spacing w:val="0"/>
                <w:sz w:val="24"/>
                <w:highlight w:val="none"/>
                <w:lang w:val="en-US" w:eastAsia="zh-CN"/>
                <w14:textFill>
                  <w14:solidFill>
                    <w14:schemeClr w14:val="tx1"/>
                  </w14:solidFill>
                </w14:textFill>
              </w:rPr>
              <w:t>0.5868</w:t>
            </w:r>
            <w:r>
              <w:rPr>
                <w:rFonts w:hint="eastAsia" w:ascii="Times New Roman" w:hAnsi="Times New Roman" w:eastAsia="宋体"/>
                <w:color w:val="000000" w:themeColor="text1"/>
                <w:spacing w:val="0"/>
                <w:sz w:val="24"/>
                <w:highlight w:val="none"/>
                <w14:textFill>
                  <w14:solidFill>
                    <w14:schemeClr w14:val="tx1"/>
                  </w14:solidFill>
                </w14:textFill>
              </w:rPr>
              <w:t>hm</w:t>
            </w:r>
            <w:r>
              <w:rPr>
                <w:rFonts w:hint="eastAsia" w:ascii="Times New Roman" w:hAnsi="Times New Roman" w:eastAsia="宋体"/>
                <w:color w:val="000000" w:themeColor="text1"/>
                <w:spacing w:val="0"/>
                <w:sz w:val="24"/>
                <w:highlight w:val="none"/>
                <w:vertAlign w:val="superscript"/>
                <w14:textFill>
                  <w14:solidFill>
                    <w14:schemeClr w14:val="tx1"/>
                  </w14:solidFill>
                </w14:textFill>
              </w:rPr>
              <w:t>2</w:t>
            </w:r>
            <w:r>
              <w:rPr>
                <w:rFonts w:hint="eastAsia" w:ascii="Times New Roman" w:hAnsi="Times New Roman" w:eastAsia="宋体"/>
                <w:color w:val="000000" w:themeColor="text1"/>
                <w:spacing w:val="0"/>
                <w:sz w:val="24"/>
                <w:highlight w:val="none"/>
                <w14:textFill>
                  <w14:solidFill>
                    <w14:schemeClr w14:val="tx1"/>
                  </w14:solidFill>
                </w14:textFill>
              </w:rPr>
              <w:t>，占地类型现状为旱地</w:t>
            </w:r>
            <w:r>
              <w:rPr>
                <w:rFonts w:hint="eastAsia"/>
                <w:color w:val="000000" w:themeColor="text1"/>
                <w:spacing w:val="0"/>
                <w:sz w:val="24"/>
                <w:highlight w:val="none"/>
                <w:lang w:eastAsia="zh-CN"/>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农村道路</w:t>
            </w:r>
            <w:r>
              <w:rPr>
                <w:rFonts w:hint="eastAsia" w:ascii="Times New Roman" w:hAnsi="Times New Roman" w:eastAsia="宋体"/>
                <w:color w:val="000000" w:themeColor="text1"/>
                <w:spacing w:val="0"/>
                <w:sz w:val="24"/>
                <w:highlight w:val="none"/>
                <w14:textFill>
                  <w14:solidFill>
                    <w14:schemeClr w14:val="tx1"/>
                  </w14:solidFill>
                </w14:textFill>
              </w:rPr>
              <w:t>。施工期由于基础开挖、设备的安装及配电装置室、一体化辅助用房等辅助工程建设和施工营地（施工人员生活区、材料堆放场）、站外供水及排水管线、10千伏临时施工电源线路等设置会占用部分土地，不可避免地导致站址区域内土壤及植被被扰动。变电站永久占地面积与整个区域相比，占地面积相对较小，施工也较为集中，</w:t>
            </w:r>
            <w:r>
              <w:rPr>
                <w:rFonts w:hint="eastAsia"/>
                <w:color w:val="000000" w:themeColor="text1"/>
                <w:spacing w:val="0"/>
                <w:sz w:val="24"/>
                <w:highlight w:val="none"/>
                <w:lang w:val="en-US" w:eastAsia="zh-CN"/>
                <w14:textFill>
                  <w14:solidFill>
                    <w14:schemeClr w14:val="tx1"/>
                  </w14:solidFill>
                </w14:textFill>
              </w:rPr>
              <w:t>施工结束后对</w:t>
            </w:r>
            <w:r>
              <w:rPr>
                <w:rFonts w:hint="eastAsia" w:ascii="Times New Roman" w:hAnsi="Times New Roman" w:eastAsia="宋体"/>
                <w:color w:val="000000" w:themeColor="text1"/>
                <w:spacing w:val="0"/>
                <w:sz w:val="24"/>
                <w:highlight w:val="none"/>
                <w14:textFill>
                  <w14:solidFill>
                    <w14:schemeClr w14:val="tx1"/>
                  </w14:solidFill>
                </w14:textFill>
              </w:rPr>
              <w:t>施工营地、站外供水及排水管线、10千伏临时施工电源线路</w:t>
            </w:r>
            <w:r>
              <w:rPr>
                <w:rFonts w:hint="eastAsia"/>
                <w:color w:val="000000" w:themeColor="text1"/>
                <w:spacing w:val="0"/>
                <w:sz w:val="24"/>
                <w:highlight w:val="none"/>
                <w:lang w:val="en-US" w:eastAsia="zh-CN"/>
                <w14:textFill>
                  <w14:solidFill>
                    <w14:schemeClr w14:val="tx1"/>
                  </w14:solidFill>
                </w14:textFill>
              </w:rPr>
              <w:t>进行拆除</w:t>
            </w:r>
            <w:r>
              <w:rPr>
                <w:rFonts w:hint="eastAsia" w:ascii="Times New Roman" w:hAnsi="Times New Roman" w:eastAsia="宋体"/>
                <w:color w:val="000000" w:themeColor="text1"/>
                <w:spacing w:val="0"/>
                <w:sz w:val="24"/>
                <w:highlight w:val="none"/>
                <w14:textFill>
                  <w14:solidFill>
                    <w14:schemeClr w14:val="tx1"/>
                  </w14:solidFill>
                </w14:textFill>
              </w:rPr>
              <w:t>，临时占地及时恢复原有土地功能，对区域土地利用的影响很小</w:t>
            </w:r>
            <w:r>
              <w:rPr>
                <w:rFonts w:ascii="Times New Roman" w:hAnsi="Times New Roman" w:eastAsia="宋体"/>
                <w:color w:val="000000" w:themeColor="text1"/>
                <w:spacing w:val="0"/>
                <w:sz w:val="24"/>
                <w:highlight w:val="none"/>
                <w14:textFill>
                  <w14:solidFill>
                    <w14:schemeClr w14:val="tx1"/>
                  </w14:solidFill>
                </w14:textFill>
              </w:rPr>
              <w:t>。</w:t>
            </w:r>
          </w:p>
          <w:p w14:paraId="2D749780">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②对植被的影响分析</w:t>
            </w:r>
          </w:p>
          <w:p w14:paraId="6CE4E73C">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本项目变电站对所在区域植被的影响主要来源于工程建设过程中，站址内场地平整、进站道路修筑、施工营地、站外供水及排水管线、10千伏临时施工电源线路等对变电站站址内及周围原有植被造成短暂的占压，破坏地表植被。施工营地、站外供水及排水管线、10千伏临时施工电源线路无永久占地，均为临时占地，占地类型现状为旱地，且变电站区域不涉及林地占用，因此，施工期对植被生物量的影响是有限且短暂的，随着施工期的结束站外临时占地恢复至原有土地功能，对区域植被的影响很小</w:t>
            </w:r>
            <w:r>
              <w:rPr>
                <w:rFonts w:ascii="Times New Roman" w:hAnsi="Times New Roman" w:eastAsia="宋体"/>
                <w:color w:val="000000" w:themeColor="text1"/>
                <w:spacing w:val="0"/>
                <w:sz w:val="24"/>
                <w:highlight w:val="none"/>
                <w14:textFill>
                  <w14:solidFill>
                    <w14:schemeClr w14:val="tx1"/>
                  </w14:solidFill>
                </w14:textFill>
              </w:rPr>
              <w:t>。</w:t>
            </w:r>
          </w:p>
          <w:p w14:paraId="2487CB8E">
            <w:pPr>
              <w:spacing w:line="360" w:lineRule="auto"/>
              <w:ind w:firstLine="480" w:firstLineChars="200"/>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③对野生动物的影响分析</w:t>
            </w:r>
            <w:r>
              <w:rPr>
                <w:rFonts w:ascii="Times New Roman" w:hAnsi="Times New Roman" w:eastAsia="宋体"/>
                <w:b/>
                <w:color w:val="000000" w:themeColor="text1"/>
                <w:spacing w:val="0"/>
                <w:sz w:val="24"/>
                <w:highlight w:val="none"/>
                <w14:textFill>
                  <w14:solidFill>
                    <w14:schemeClr w14:val="tx1"/>
                  </w14:solidFill>
                </w14:textFill>
              </w:rPr>
              <w:t xml:space="preserve"> </w:t>
            </w:r>
          </w:p>
          <w:p w14:paraId="0898C9A7">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变电站所在区域人类活动较为频繁，许多野生动物为避开人类，早已离开变电站所在区域，因此难以见到珍稀野生动物，所在区域无珍稀及濒危物种和需要特殊保护的物种，也无大、中型食草类、食肉类动物。工程建设不会对所在区域野生动物有明显的影响。</w:t>
            </w:r>
          </w:p>
          <w:p w14:paraId="5FBA72AD">
            <w:pPr>
              <w:spacing w:line="360" w:lineRule="auto"/>
              <w:ind w:firstLine="480" w:firstLineChars="200"/>
              <w:outlineLvl w:val="9"/>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④</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生物多样性影响分析</w:t>
            </w:r>
          </w:p>
          <w:p w14:paraId="707E127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4"/>
                <w:highlight w:val="none"/>
                <w:lang w:val="en-US" w:eastAsia="zh-CN"/>
                <w14:textFill>
                  <w14:solidFill>
                    <w14:schemeClr w14:val="tx1"/>
                  </w14:solidFill>
                </w14:textFill>
              </w:rPr>
              <w:t>本项目施工活动对临时占地植被破坏，</w:t>
            </w:r>
            <w:r>
              <w:rPr>
                <w:rFonts w:hint="eastAsia" w:ascii="Times New Roman" w:hAnsi="Times New Roman" w:eastAsia="宋体" w:cs="Times New Roman"/>
                <w:color w:val="000000" w:themeColor="text1"/>
                <w:spacing w:val="0"/>
                <w:kern w:val="2"/>
                <w:sz w:val="24"/>
                <w:szCs w:val="24"/>
                <w:highlight w:val="none"/>
                <w:lang w:val="en-US" w:eastAsia="zh-CN"/>
                <w14:textFill>
                  <w14:solidFill>
                    <w14:schemeClr w14:val="tx1"/>
                  </w14:solidFill>
                </w14:textFill>
              </w:rPr>
              <w:t>临时</w:t>
            </w:r>
            <w:r>
              <w:rPr>
                <w:rFonts w:hint="default" w:ascii="Times New Roman" w:hAnsi="Times New Roman" w:eastAsia="宋体" w:cs="Times New Roman"/>
                <w:color w:val="000000" w:themeColor="text1"/>
                <w:spacing w:val="0"/>
                <w:kern w:val="2"/>
                <w:sz w:val="24"/>
                <w:szCs w:val="24"/>
                <w:highlight w:val="none"/>
                <w:lang w:val="en-US" w:eastAsia="zh-CN"/>
                <w14:textFill>
                  <w14:solidFill>
                    <w14:schemeClr w14:val="tx1"/>
                  </w14:solidFill>
                </w14:textFill>
              </w:rPr>
              <w:t>占地类型为</w:t>
            </w:r>
            <w:r>
              <w:rPr>
                <w:rFonts w:hint="eastAsia"/>
                <w:color w:val="000000" w:themeColor="text1"/>
                <w:spacing w:val="0"/>
                <w:sz w:val="24"/>
                <w:highlight w:val="none"/>
                <w:lang w:val="en-US" w:eastAsia="zh-CN"/>
                <w14:textFill>
                  <w14:solidFill>
                    <w14:schemeClr w14:val="tx1"/>
                  </w14:solidFill>
                </w14:textFill>
              </w:rPr>
              <w:t>旱地</w:t>
            </w:r>
            <w:r>
              <w:rPr>
                <w:rFonts w:hint="default" w:ascii="Times New Roman" w:hAnsi="Times New Roman" w:eastAsia="宋体" w:cs="Times New Roman"/>
                <w:color w:val="000000" w:themeColor="text1"/>
                <w:spacing w:val="0"/>
                <w:kern w:val="2"/>
                <w:sz w:val="24"/>
                <w:szCs w:val="24"/>
                <w:highlight w:val="none"/>
                <w:lang w:val="en-US" w:eastAsia="zh-CN"/>
                <w14:textFill>
                  <w14:solidFill>
                    <w14:schemeClr w14:val="tx1"/>
                  </w14:solidFill>
                </w14:textFill>
              </w:rPr>
              <w:t>，植被种类为</w:t>
            </w:r>
            <w:r>
              <w:rPr>
                <w:rFonts w:hint="eastAsia" w:ascii="Times New Roman" w:hAnsi="Times New Roman" w:eastAsia="宋体" w:cs="Times New Roman"/>
                <w:color w:val="000000" w:themeColor="text1"/>
                <w:spacing w:val="0"/>
                <w:kern w:val="2"/>
                <w:sz w:val="24"/>
                <w:szCs w:val="24"/>
                <w:highlight w:val="none"/>
                <w:lang w:val="en-US" w:eastAsia="zh-CN"/>
                <w14:textFill>
                  <w14:solidFill>
                    <w14:schemeClr w14:val="tx1"/>
                  </w14:solidFill>
                </w14:textFill>
              </w:rPr>
              <w:t>玉米、小麦</w:t>
            </w:r>
            <w:r>
              <w:rPr>
                <w:rFonts w:hint="eastAsia" w:ascii="Times New Roman" w:hAnsi="Times New Roman" w:eastAsia="宋体" w:cs="Times New Roman"/>
                <w:bCs/>
                <w:color w:val="000000" w:themeColor="text1"/>
                <w:spacing w:val="0"/>
                <w:sz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pacing w:val="0"/>
                <w:kern w:val="2"/>
                <w:sz w:val="24"/>
                <w:szCs w:val="24"/>
                <w:highlight w:val="none"/>
                <w:lang w:val="en-US" w:eastAsia="zh-CN"/>
                <w14:textFill>
                  <w14:solidFill>
                    <w14:schemeClr w14:val="tx1"/>
                  </w14:solidFill>
                </w14:textFill>
              </w:rPr>
              <w:t>为当地常见种</w:t>
            </w:r>
            <w:r>
              <w:rPr>
                <w:rFonts w:hint="default" w:ascii="Times New Roman" w:hAnsi="Times New Roman" w:eastAsia="宋体" w:cs="Times New Roman"/>
                <w:color w:val="000000" w:themeColor="text1"/>
                <w:spacing w:val="0"/>
                <w:kern w:val="2"/>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陆生动物以老鼠、麻雀为主，</w:t>
            </w:r>
            <w:r>
              <w:rPr>
                <w:rFonts w:hint="default" w:ascii="Times New Roman" w:hAnsi="Times New Roman" w:eastAsia="宋体" w:cs="Times New Roman"/>
                <w:color w:val="000000" w:themeColor="text1"/>
                <w:spacing w:val="0"/>
                <w:sz w:val="24"/>
                <w:highlight w:val="none"/>
                <w14:textFill>
                  <w14:solidFill>
                    <w14:schemeClr w14:val="tx1"/>
                  </w14:solidFill>
                </w14:textFill>
              </w:rPr>
              <w:t>在当地均分布相对较多。项目施工期会造成植物数量减少，野生动物生活会受到干扰，但施工结束后，临时占地可恢复原有土地功能，对野生动物及植物的影响很小。因此，本项目的建设对评价区域内生物多样性的影响是很轻微的。</w:t>
            </w:r>
          </w:p>
          <w:p w14:paraId="1BB68817">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w:t>
            </w:r>
            <w:r>
              <w:rPr>
                <w:rFonts w:hint="eastAsia" w:ascii="Times New Roman" w:hAnsi="Times New Roman" w:eastAsia="宋体"/>
                <w:b/>
                <w:bCs/>
                <w:color w:val="000000" w:themeColor="text1"/>
                <w:spacing w:val="0"/>
                <w:sz w:val="24"/>
                <w:highlight w:val="none"/>
                <w14:textFill>
                  <w14:solidFill>
                    <w14:schemeClr w14:val="tx1"/>
                  </w14:solidFill>
                </w14:textFill>
              </w:rPr>
              <w:t>2</w:t>
            </w:r>
            <w:r>
              <w:rPr>
                <w:rFonts w:ascii="Times New Roman" w:hAnsi="Times New Roman" w:eastAsia="宋体"/>
                <w:b/>
                <w:bCs/>
                <w:color w:val="000000" w:themeColor="text1"/>
                <w:spacing w:val="0"/>
                <w:sz w:val="24"/>
                <w:highlight w:val="none"/>
                <w14:textFill>
                  <w14:solidFill>
                    <w14:schemeClr w14:val="tx1"/>
                  </w14:solidFill>
                </w14:textFill>
              </w:rPr>
              <w:t>）输电线路工程</w:t>
            </w:r>
          </w:p>
          <w:p w14:paraId="448FA283">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本项目输电线路</w:t>
            </w:r>
            <w:r>
              <w:rPr>
                <w:rFonts w:hint="eastAsia"/>
                <w:color w:val="000000" w:themeColor="text1"/>
                <w:spacing w:val="0"/>
                <w:sz w:val="24"/>
                <w:highlight w:val="none"/>
                <w:lang w:val="en-US" w:eastAsia="zh-CN"/>
                <w14:textFill>
                  <w14:solidFill>
                    <w14:schemeClr w14:val="tx1"/>
                  </w14:solidFill>
                </w14:textFill>
              </w:rPr>
              <w:t>较短，</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约为6.13km</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施工过程中要进行电缆、塔基作业</w:t>
            </w:r>
            <w:r>
              <w:rPr>
                <w:rFonts w:hint="eastAsia" w:ascii="Times New Roman" w:hAnsi="Times New Roman" w:eastAsia="宋体"/>
                <w:color w:val="000000" w:themeColor="text1"/>
                <w:spacing w:val="0"/>
                <w:sz w:val="24"/>
                <w:highlight w:val="none"/>
                <w14:textFill>
                  <w14:solidFill>
                    <w14:schemeClr w14:val="tx1"/>
                  </w14:solidFill>
                </w14:textFill>
              </w:rPr>
              <w:t>施工</w:t>
            </w:r>
            <w:r>
              <w:rPr>
                <w:rFonts w:ascii="Times New Roman" w:hAnsi="Times New Roman" w:eastAsia="宋体"/>
                <w:color w:val="000000" w:themeColor="text1"/>
                <w:spacing w:val="0"/>
                <w:sz w:val="24"/>
                <w:highlight w:val="none"/>
                <w14:textFill>
                  <w14:solidFill>
                    <w14:schemeClr w14:val="tx1"/>
                  </w14:solidFill>
                </w14:textFill>
              </w:rPr>
              <w:t>工序，且有施工机械及人员活动。施工期对区域生态环境的影响主要表现为对施工作业区域土壤的扰动，堆压、碾压、踩踏破坏地表植被。</w:t>
            </w:r>
          </w:p>
          <w:p w14:paraId="555A525B">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①对土地利用的影响分析</w:t>
            </w:r>
          </w:p>
          <w:p w14:paraId="051653F0">
            <w:pPr>
              <w:pStyle w:val="7"/>
              <w:spacing w:after="0" w:line="360" w:lineRule="auto"/>
              <w:ind w:left="0" w:leftChars="0" w:firstLine="480" w:firstLineChars="200"/>
              <w:outlineLvl w:val="9"/>
              <w:rPr>
                <w:rFonts w:ascii="Times New Roman" w:hAnsi="Times New Roman" w:eastAsia="宋体"/>
                <w:snapToGrid w:val="0"/>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本项目输电线路永久、临时占地类型为</w:t>
            </w:r>
            <w:r>
              <w:rPr>
                <w:rFonts w:hint="eastAsia" w:ascii="Times New Roman" w:hAnsi="Times New Roman" w:eastAsia="宋体"/>
                <w:color w:val="000000" w:themeColor="text1"/>
                <w:spacing w:val="0"/>
                <w:sz w:val="24"/>
                <w:highlight w:val="none"/>
                <w14:textFill>
                  <w14:solidFill>
                    <w14:schemeClr w14:val="tx1"/>
                  </w14:solidFill>
                </w14:textFill>
              </w:rPr>
              <w:t>旱地、果园、农村道路</w:t>
            </w:r>
            <w:r>
              <w:rPr>
                <w:rFonts w:ascii="Times New Roman" w:hAnsi="Times New Roman" w:eastAsia="宋体"/>
                <w:color w:val="000000" w:themeColor="text1"/>
                <w:spacing w:val="0"/>
                <w:sz w:val="24"/>
                <w:highlight w:val="none"/>
                <w14:textFill>
                  <w14:solidFill>
                    <w14:schemeClr w14:val="tx1"/>
                  </w14:solidFill>
                </w14:textFill>
              </w:rPr>
              <w:t>。施工临时占地主要为</w:t>
            </w:r>
            <w:r>
              <w:rPr>
                <w:rFonts w:hint="eastAsia" w:ascii="Times New Roman" w:hAnsi="Times New Roman" w:eastAsia="宋体"/>
                <w:color w:val="000000" w:themeColor="text1"/>
                <w:spacing w:val="0"/>
                <w:sz w:val="24"/>
                <w:highlight w:val="none"/>
                <w14:textFill>
                  <w14:solidFill>
                    <w14:schemeClr w14:val="tx1"/>
                  </w14:solidFill>
                </w14:textFill>
              </w:rPr>
              <w:t>牵张场、跨越场等</w:t>
            </w:r>
            <w:r>
              <w:rPr>
                <w:rFonts w:ascii="Times New Roman" w:hAnsi="Times New Roman" w:eastAsia="宋体"/>
                <w:color w:val="000000" w:themeColor="text1"/>
                <w:spacing w:val="0"/>
                <w:sz w:val="24"/>
                <w:highlight w:val="none"/>
                <w14:textFill>
                  <w14:solidFill>
                    <w14:schemeClr w14:val="tx1"/>
                  </w14:solidFill>
                </w14:textFill>
              </w:rPr>
              <w:t>施工区域。输电线路</w:t>
            </w:r>
            <w:r>
              <w:rPr>
                <w:rFonts w:ascii="Times New Roman" w:hAnsi="Times New Roman" w:eastAsia="宋体"/>
                <w:snapToGrid w:val="0"/>
                <w:color w:val="000000" w:themeColor="text1"/>
                <w:spacing w:val="0"/>
                <w:sz w:val="24"/>
                <w:highlight w:val="none"/>
                <w14:textFill>
                  <w14:solidFill>
                    <w14:schemeClr w14:val="tx1"/>
                  </w14:solidFill>
                </w14:textFill>
              </w:rPr>
              <w:t>永久占地仅为</w:t>
            </w:r>
            <w:r>
              <w:rPr>
                <w:rFonts w:hint="eastAsia"/>
                <w:snapToGrid w:val="0"/>
                <w:color w:val="000000" w:themeColor="text1"/>
                <w:spacing w:val="0"/>
                <w:sz w:val="24"/>
                <w:highlight w:val="none"/>
                <w:lang w:val="en-US" w:eastAsia="zh-CN"/>
                <w14:textFill>
                  <w14:solidFill>
                    <w14:schemeClr w14:val="tx1"/>
                  </w14:solidFill>
                </w14:textFill>
              </w:rPr>
              <w:t>0.1402</w:t>
            </w:r>
            <w:r>
              <w:rPr>
                <w:rFonts w:hint="eastAsia" w:ascii="Times New Roman" w:hAnsi="Times New Roman" w:eastAsia="宋体"/>
                <w:snapToGrid w:val="0"/>
                <w:color w:val="000000" w:themeColor="text1"/>
                <w:spacing w:val="0"/>
                <w:sz w:val="24"/>
                <w:highlight w:val="none"/>
                <w14:textFill>
                  <w14:solidFill>
                    <w14:schemeClr w14:val="tx1"/>
                  </w14:solidFill>
                </w14:textFill>
              </w:rPr>
              <w:t>hm</w:t>
            </w:r>
            <w:r>
              <w:rPr>
                <w:rFonts w:hint="eastAsia" w:ascii="Times New Roman" w:hAnsi="Times New Roman" w:eastAsia="宋体"/>
                <w:snapToGrid w:val="0"/>
                <w:color w:val="000000" w:themeColor="text1"/>
                <w:spacing w:val="0"/>
                <w:sz w:val="24"/>
                <w:highlight w:val="none"/>
                <w:vertAlign w:val="superscript"/>
                <w14:textFill>
                  <w14:solidFill>
                    <w14:schemeClr w14:val="tx1"/>
                  </w14:solidFill>
                </w14:textFill>
              </w:rPr>
              <w:t>2</w:t>
            </w:r>
            <w:r>
              <w:rPr>
                <w:rFonts w:ascii="Times New Roman" w:hAnsi="Times New Roman" w:eastAsia="宋体"/>
                <w:snapToGrid w:val="0"/>
                <w:color w:val="000000" w:themeColor="text1"/>
                <w:spacing w:val="0"/>
                <w:sz w:val="24"/>
                <w:highlight w:val="none"/>
                <w14:textFill>
                  <w14:solidFill>
                    <w14:schemeClr w14:val="tx1"/>
                  </w14:solidFill>
                </w14:textFill>
              </w:rPr>
              <w:t>，临时占地为</w:t>
            </w:r>
            <w:r>
              <w:rPr>
                <w:rFonts w:hint="eastAsia"/>
                <w:bCs/>
                <w:color w:val="000000" w:themeColor="text1"/>
                <w:spacing w:val="0"/>
                <w:sz w:val="24"/>
                <w:highlight w:val="none"/>
                <w:lang w:val="en-US" w:eastAsia="zh-CN"/>
                <w14:textFill>
                  <w14:solidFill>
                    <w14:schemeClr w14:val="tx1"/>
                  </w14:solidFill>
                </w14:textFill>
              </w:rPr>
              <w:t>2.9000</w:t>
            </w:r>
            <w:r>
              <w:rPr>
                <w:rFonts w:ascii="Times New Roman" w:hAnsi="Times New Roman" w:eastAsia="宋体"/>
                <w:bCs/>
                <w:color w:val="000000" w:themeColor="text1"/>
                <w:spacing w:val="0"/>
                <w:sz w:val="24"/>
                <w:highlight w:val="none"/>
                <w14:textFill>
                  <w14:solidFill>
                    <w14:schemeClr w14:val="tx1"/>
                  </w14:solidFill>
                </w14:textFill>
              </w:rPr>
              <w:t>hm</w:t>
            </w:r>
            <w:r>
              <w:rPr>
                <w:rFonts w:ascii="Times New Roman" w:hAnsi="Times New Roman" w:eastAsia="宋体"/>
                <w:bCs/>
                <w:color w:val="000000" w:themeColor="text1"/>
                <w:spacing w:val="0"/>
                <w:sz w:val="24"/>
                <w:highlight w:val="none"/>
                <w:vertAlign w:val="superscript"/>
                <w14:textFill>
                  <w14:solidFill>
                    <w14:schemeClr w14:val="tx1"/>
                  </w14:solidFill>
                </w14:textFill>
              </w:rPr>
              <w:t>2</w:t>
            </w:r>
            <w:r>
              <w:rPr>
                <w:rFonts w:ascii="Times New Roman" w:hAnsi="Times New Roman" w:eastAsia="宋体"/>
                <w:bCs/>
                <w:color w:val="000000" w:themeColor="text1"/>
                <w:spacing w:val="0"/>
                <w:sz w:val="24"/>
                <w:highlight w:val="none"/>
                <w14:textFill>
                  <w14:solidFill>
                    <w14:schemeClr w14:val="tx1"/>
                  </w14:solidFill>
                </w14:textFill>
              </w:rPr>
              <w:t>，占地</w:t>
            </w:r>
            <w:r>
              <w:rPr>
                <w:rFonts w:ascii="Times New Roman" w:hAnsi="Times New Roman" w:eastAsia="宋体"/>
                <w:snapToGrid w:val="0"/>
                <w:color w:val="000000" w:themeColor="text1"/>
                <w:spacing w:val="0"/>
                <w:sz w:val="24"/>
                <w:highlight w:val="none"/>
                <w14:textFill>
                  <w14:solidFill>
                    <w14:schemeClr w14:val="tx1"/>
                  </w14:solidFill>
                </w14:textFill>
              </w:rPr>
              <w:t>以临时占地为主，较为分散，输电线路不存在集中大量占用土地的情况，对生态环境的影响较小，</w:t>
            </w:r>
            <w:r>
              <w:rPr>
                <w:rFonts w:ascii="Times New Roman" w:hAnsi="Times New Roman" w:eastAsia="宋体"/>
                <w:color w:val="000000" w:themeColor="text1"/>
                <w:spacing w:val="0"/>
                <w:sz w:val="24"/>
                <w:highlight w:val="none"/>
                <w14:textFill>
                  <w14:solidFill>
                    <w14:schemeClr w14:val="tx1"/>
                  </w14:solidFill>
                </w14:textFill>
              </w:rPr>
              <w:t>经过一定恢复期后，土地利用状况不会发生变化，仍可保持原有使用功能，</w:t>
            </w:r>
            <w:r>
              <w:rPr>
                <w:rFonts w:ascii="Times New Roman" w:hAnsi="Times New Roman" w:eastAsia="宋体"/>
                <w:snapToGrid w:val="0"/>
                <w:color w:val="000000" w:themeColor="text1"/>
                <w:spacing w:val="0"/>
                <w:sz w:val="24"/>
                <w:highlight w:val="none"/>
                <w14:textFill>
                  <w14:solidFill>
                    <w14:schemeClr w14:val="tx1"/>
                  </w14:solidFill>
                </w14:textFill>
              </w:rPr>
              <w:t>对区域土地利用几乎无影响。</w:t>
            </w:r>
          </w:p>
          <w:p w14:paraId="449EE0B9">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②对植被的影响分析</w:t>
            </w:r>
          </w:p>
          <w:p w14:paraId="1E1FFE7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本项目评价范围内未发现受国家和地方重点保护的珍稀、濒危动植物等物种。</w:t>
            </w:r>
            <w:r>
              <w:rPr>
                <w:rFonts w:hint="eastAsia" w:ascii="Times New Roman" w:hAnsi="Times New Roman" w:eastAsia="宋体"/>
                <w:color w:val="000000" w:themeColor="text1"/>
                <w:spacing w:val="0"/>
                <w:sz w:val="24"/>
                <w:highlight w:val="none"/>
                <w14:textFill>
                  <w14:solidFill>
                    <w14:schemeClr w14:val="tx1"/>
                  </w14:solidFill>
                </w14:textFill>
              </w:rPr>
              <w:t>本项目所在区域土地现状主要为旱地、果园、农村道路、其他林地、其他草地等</w:t>
            </w:r>
            <w:r>
              <w:rPr>
                <w:rFonts w:hint="eastAsia"/>
                <w:color w:val="000000" w:themeColor="text1"/>
                <w:spacing w:val="0"/>
                <w:sz w:val="24"/>
                <w:highlight w:val="none"/>
                <w:lang w:eastAsia="zh-CN"/>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项目用地范围现状主要为旱地、果园</w:t>
            </w:r>
            <w:r>
              <w:rPr>
                <w:rFonts w:hint="eastAsia" w:ascii="Times New Roman" w:hAnsi="Times New Roman" w:eastAsia="宋体"/>
                <w:color w:val="000000" w:themeColor="text1"/>
                <w:spacing w:val="0"/>
                <w:sz w:val="24"/>
                <w:highlight w:val="none"/>
                <w14:textFill>
                  <w14:solidFill>
                    <w14:schemeClr w14:val="tx1"/>
                  </w14:solidFill>
                </w14:textFill>
              </w:rPr>
              <w:t>。经现场调查，项目所在区域地表植被主要为农田栽培植被、人工栽培果树、人工种植林木和自然草本植被，农田栽培植被主要有小麦、玉米等，人工栽培果树主要有苹果树、梨树等，人工种植林木主要有杨树、槐树等，自然草本植被主要有沙蒿、油蒿、白刺、芒草、马齿苋、狗尾巴草、蒲公英等</w:t>
            </w:r>
            <w:r>
              <w:rPr>
                <w:rFonts w:ascii="Times New Roman" w:hAnsi="Times New Roman" w:eastAsia="宋体"/>
                <w:color w:val="000000" w:themeColor="text1"/>
                <w:spacing w:val="0"/>
                <w:kern w:val="0"/>
                <w:sz w:val="24"/>
                <w:highlight w:val="none"/>
                <w14:textFill>
                  <w14:solidFill>
                    <w14:schemeClr w14:val="tx1"/>
                  </w14:solidFill>
                </w14:textFill>
              </w:rPr>
              <w:t>。</w:t>
            </w:r>
          </w:p>
          <w:p w14:paraId="4C70D160">
            <w:pPr>
              <w:pStyle w:val="7"/>
              <w:spacing w:after="0" w:line="360" w:lineRule="auto"/>
              <w:ind w:left="0" w:leftChars="0"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输电线路永久占地会使线路沿线的植被受到破坏，架空线路对线下植被生长无影响。本项塔基永久占地很小，地下电缆均为临时占地，无永久占地，项目主要影响来自于临时占地。施工时，应将临时占地的施工场地设置于植被稀少的地方；施工临时道路应充分利用现有道路，并避开植被较好处。本项目占地类型为</w:t>
            </w:r>
            <w:r>
              <w:rPr>
                <w:rFonts w:hint="eastAsia" w:ascii="Times New Roman" w:hAnsi="Times New Roman" w:eastAsia="宋体"/>
                <w:color w:val="000000" w:themeColor="text1"/>
                <w:spacing w:val="0"/>
                <w:sz w:val="24"/>
                <w:highlight w:val="none"/>
                <w14:textFill>
                  <w14:solidFill>
                    <w14:schemeClr w14:val="tx1"/>
                  </w14:solidFill>
                </w14:textFill>
              </w:rPr>
              <w:t>耕地</w:t>
            </w:r>
            <w:r>
              <w:rPr>
                <w:rFonts w:ascii="Times New Roman" w:hAnsi="Times New Roman" w:eastAsia="宋体"/>
                <w:color w:val="000000" w:themeColor="text1"/>
                <w:spacing w:val="0"/>
                <w:sz w:val="24"/>
                <w:highlight w:val="none"/>
                <w14:textFill>
                  <w14:solidFill>
                    <w14:schemeClr w14:val="tx1"/>
                  </w14:solidFill>
                </w14:textFill>
              </w:rPr>
              <w:t>时，施工结束后</w:t>
            </w:r>
            <w:r>
              <w:rPr>
                <w:rFonts w:hint="eastAsia" w:ascii="Times New Roman" w:hAnsi="Times New Roman" w:eastAsia="宋体"/>
                <w:color w:val="000000" w:themeColor="text1"/>
                <w:spacing w:val="0"/>
                <w:sz w:val="24"/>
                <w:highlight w:val="none"/>
                <w14:textFill>
                  <w14:solidFill>
                    <w14:schemeClr w14:val="tx1"/>
                  </w14:solidFill>
                </w14:textFill>
              </w:rPr>
              <w:t>及时清理施工现场、复耕恢复其原有土地功能</w:t>
            </w:r>
            <w:r>
              <w:rPr>
                <w:rFonts w:ascii="Times New Roman" w:hAnsi="Times New Roman" w:eastAsia="宋体"/>
                <w:color w:val="000000" w:themeColor="text1"/>
                <w:spacing w:val="0"/>
                <w:sz w:val="24"/>
                <w:highlight w:val="none"/>
                <w14:textFill>
                  <w14:solidFill>
                    <w14:schemeClr w14:val="tx1"/>
                  </w14:solidFill>
                </w14:textFill>
              </w:rPr>
              <w:t>，永久占用的</w:t>
            </w:r>
            <w:r>
              <w:rPr>
                <w:rFonts w:hint="eastAsia" w:ascii="Times New Roman" w:hAnsi="Times New Roman" w:eastAsia="宋体"/>
                <w:color w:val="000000" w:themeColor="text1"/>
                <w:spacing w:val="0"/>
                <w:sz w:val="24"/>
                <w:highlight w:val="none"/>
                <w14:textFill>
                  <w14:solidFill>
                    <w14:schemeClr w14:val="tx1"/>
                  </w14:solidFill>
                </w14:textFill>
              </w:rPr>
              <w:t>耕地</w:t>
            </w:r>
            <w:r>
              <w:rPr>
                <w:rFonts w:ascii="Times New Roman" w:hAnsi="Times New Roman" w:eastAsia="宋体"/>
                <w:color w:val="000000" w:themeColor="text1"/>
                <w:spacing w:val="0"/>
                <w:sz w:val="24"/>
                <w:highlight w:val="none"/>
                <w14:textFill>
                  <w14:solidFill>
                    <w14:schemeClr w14:val="tx1"/>
                  </w14:solidFill>
                </w14:textFill>
              </w:rPr>
              <w:t>进行生态赔偿。因此，临时占地对植被的影响只是暂时的，随着临时占地的恢复，对植被的影响将得到消除。</w:t>
            </w:r>
          </w:p>
          <w:p w14:paraId="1F1D1CAE">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③对野生动物的影响分析</w:t>
            </w:r>
          </w:p>
          <w:p w14:paraId="3AE1F9A8">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outlineLvl w:val="9"/>
              <w:rPr>
                <w:rFonts w:ascii="Times New Roman" w:hAnsi="Times New Roman" w:eastAsia="宋体" w:cs="Times New Roman"/>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对野生动物的影响主要表现在施工过程中产生的噪声等会影响线路范围和周边地区野生动物的栖息。项目所在区域人类活动比较频繁，受人类活动干扰程度大，不是动物活动的主要范围。经现场调查，本项目所经区域动物物种主要为常见的鸟类如麻雀等，陆生动物主要为田鼠等，未见珍稀、重点保护野生动物。且线路长度较短，施工时间短，对野生动物的影响为间断性、暂时性的。沿线没有珍贵野生动物出没，由于施工周期短，施工过程中通过加强对施工人员保护野生</w:t>
            </w:r>
            <w:r>
              <w:rPr>
                <w:rFonts w:ascii="Times New Roman" w:hAnsi="Times New Roman" w:eastAsia="宋体" w:cs="Times New Roman"/>
                <w:color w:val="000000" w:themeColor="text1"/>
                <w:spacing w:val="0"/>
                <w:sz w:val="24"/>
                <w:highlight w:val="none"/>
                <w14:textFill>
                  <w14:solidFill>
                    <w14:schemeClr w14:val="tx1"/>
                  </w14:solidFill>
                </w14:textFill>
              </w:rPr>
              <w:t>动植物的宣传教育，提高施工人员自觉保护野生动植物的环保意识，本项目施工不会对沿线野生动物有明显的影响。</w:t>
            </w:r>
          </w:p>
          <w:p w14:paraId="0A336F96">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outlineLvl w:val="9"/>
              <w:rPr>
                <w:rFonts w:ascii="Times New Roman" w:hAnsi="Times New Roman" w:eastAsia="宋体" w:cs="Times New Roman"/>
                <w:color w:val="000000" w:themeColor="text1"/>
                <w:spacing w:val="0"/>
                <w:sz w:val="24"/>
                <w:highlight w:val="none"/>
                <w14:textFill>
                  <w14:solidFill>
                    <w14:schemeClr w14:val="tx1"/>
                  </w14:solidFill>
                </w14:textFill>
              </w:rPr>
            </w:pPr>
            <w:r>
              <w:rPr>
                <w:rFonts w:ascii="Times New Roman" w:hAnsi="Times New Roman" w:eastAsia="宋体" w:cs="Times New Roman"/>
                <w:color w:val="000000" w:themeColor="text1"/>
                <w:spacing w:val="0"/>
                <w:sz w:val="24"/>
                <w:highlight w:val="none"/>
                <w14:textFill>
                  <w14:solidFill>
                    <w14:schemeClr w14:val="tx1"/>
                  </w14:solidFill>
                </w14:textFill>
              </w:rPr>
              <w:fldChar w:fldCharType="begin"/>
            </w:r>
            <w:r>
              <w:rPr>
                <w:rFonts w:ascii="Times New Roman" w:hAnsi="Times New Roman" w:eastAsia="宋体" w:cs="Times New Roman"/>
                <w:color w:val="000000" w:themeColor="text1"/>
                <w:spacing w:val="0"/>
                <w:sz w:val="24"/>
                <w:highlight w:val="none"/>
                <w14:textFill>
                  <w14:solidFill>
                    <w14:schemeClr w14:val="tx1"/>
                  </w14:solidFill>
                </w14:textFill>
              </w:rPr>
              <w:instrText xml:space="preserve"> = 4 \* GB3 \* MERGEFORMAT </w:instrText>
            </w:r>
            <w:r>
              <w:rPr>
                <w:rFonts w:ascii="Times New Roman" w:hAnsi="Times New Roman" w:eastAsia="宋体" w:cs="Times New Roman"/>
                <w:color w:val="000000" w:themeColor="text1"/>
                <w:spacing w:val="0"/>
                <w:sz w:val="24"/>
                <w:highlight w:val="none"/>
                <w14:textFill>
                  <w14:solidFill>
                    <w14:schemeClr w14:val="tx1"/>
                  </w14:solidFill>
                </w14:textFill>
              </w:rPr>
              <w:fldChar w:fldCharType="separate"/>
            </w:r>
            <w:r>
              <w:rPr>
                <w:rFonts w:ascii="Times New Roman" w:hAnsi="Times New Roman" w:eastAsia="宋体" w:cs="Times New Roman"/>
                <w:color w:val="000000" w:themeColor="text1"/>
                <w:spacing w:val="0"/>
                <w:sz w:val="24"/>
                <w:highlight w:val="none"/>
                <w14:textFill>
                  <w14:solidFill>
                    <w14:schemeClr w14:val="tx1"/>
                  </w14:solidFill>
                </w14:textFill>
              </w:rPr>
              <w:t>④</w:t>
            </w:r>
            <w:r>
              <w:rPr>
                <w:rFonts w:ascii="Times New Roman" w:hAnsi="Times New Roman" w:eastAsia="宋体" w:cs="Times New Roman"/>
                <w:color w:val="000000" w:themeColor="text1"/>
                <w:spacing w:val="0"/>
                <w:sz w:val="24"/>
                <w:highlight w:val="none"/>
                <w14:textFill>
                  <w14:solidFill>
                    <w14:schemeClr w14:val="tx1"/>
                  </w14:solidFill>
                </w14:textFill>
              </w:rPr>
              <w:fldChar w:fldCharType="end"/>
            </w:r>
            <w:r>
              <w:rPr>
                <w:rFonts w:ascii="Times New Roman" w:hAnsi="Times New Roman" w:eastAsia="宋体" w:cs="Times New Roman"/>
                <w:color w:val="000000" w:themeColor="text1"/>
                <w:spacing w:val="0"/>
                <w:sz w:val="24"/>
                <w:highlight w:val="none"/>
                <w14:textFill>
                  <w14:solidFill>
                    <w14:schemeClr w14:val="tx1"/>
                  </w14:solidFill>
                </w14:textFill>
              </w:rPr>
              <w:t>对生物多样性的影响分析</w:t>
            </w:r>
          </w:p>
          <w:p w14:paraId="724C80E4">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s="Times New Roman"/>
                <w:color w:val="000000" w:themeColor="text1"/>
                <w:spacing w:val="0"/>
                <w:sz w:val="24"/>
                <w:highlight w:val="none"/>
                <w14:textFill>
                  <w14:solidFill>
                    <w14:schemeClr w14:val="tx1"/>
                  </w14:solidFill>
                </w14:textFill>
              </w:rPr>
              <w:t>线路占地范围内</w:t>
            </w:r>
            <w:r>
              <w:rPr>
                <w:rFonts w:hint="eastAsia" w:ascii="Times New Roman" w:hAnsi="Times New Roman" w:eastAsia="宋体" w:cs="Times New Roman"/>
                <w:color w:val="000000" w:themeColor="text1"/>
                <w:spacing w:val="0"/>
                <w:sz w:val="24"/>
                <w:highlight w:val="none"/>
                <w14:textFill>
                  <w14:solidFill>
                    <w14:schemeClr w14:val="tx1"/>
                  </w14:solidFill>
                </w14:textFill>
              </w:rPr>
              <w:t>主要为</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旱地</w:t>
            </w:r>
            <w:r>
              <w:rPr>
                <w:rFonts w:ascii="Times New Roman" w:hAnsi="Times New Roman" w:eastAsia="宋体" w:cs="Times New Roman"/>
                <w:color w:val="000000" w:themeColor="text1"/>
                <w:spacing w:val="0"/>
                <w:sz w:val="24"/>
                <w:highlight w:val="none"/>
                <w14:textFill>
                  <w14:solidFill>
                    <w14:schemeClr w14:val="tx1"/>
                  </w14:solidFill>
                </w14:textFill>
              </w:rPr>
              <w:t>，</w:t>
            </w:r>
            <w:r>
              <w:rPr>
                <w:rFonts w:hint="eastAsia" w:ascii="Times New Roman" w:hAnsi="Times New Roman" w:eastAsia="宋体" w:cs="Times New Roman"/>
                <w:color w:val="000000" w:themeColor="text1"/>
                <w:spacing w:val="0"/>
                <w:sz w:val="24"/>
                <w:highlight w:val="none"/>
                <w14:textFill>
                  <w14:solidFill>
                    <w14:schemeClr w14:val="tx1"/>
                  </w14:solidFill>
                </w14:textFill>
              </w:rPr>
              <w:t>主要作物为小麦、玉米等</w:t>
            </w:r>
            <w:r>
              <w:rPr>
                <w:rFonts w:ascii="Times New Roman" w:hAnsi="Times New Roman" w:eastAsia="宋体" w:cs="Times New Roman"/>
                <w:color w:val="000000" w:themeColor="text1"/>
                <w:spacing w:val="0"/>
                <w:sz w:val="24"/>
                <w:highlight w:val="none"/>
                <w14:textFill>
                  <w14:solidFill>
                    <w14:schemeClr w14:val="tx1"/>
                  </w14:solidFill>
                </w14:textFill>
              </w:rPr>
              <w:t>，均为项目所在地常见植物种类。陆生动物</w:t>
            </w:r>
            <w:r>
              <w:rPr>
                <w:rFonts w:ascii="Times New Roman" w:hAnsi="Times New Roman" w:eastAsia="宋体"/>
                <w:bCs/>
                <w:color w:val="000000" w:themeColor="text1"/>
                <w:spacing w:val="0"/>
                <w:sz w:val="24"/>
                <w:highlight w:val="none"/>
                <w14:textFill>
                  <w14:solidFill>
                    <w14:schemeClr w14:val="tx1"/>
                  </w14:solidFill>
                </w14:textFill>
              </w:rPr>
              <w:t>以老鼠、麻雀为主，</w:t>
            </w:r>
            <w:r>
              <w:rPr>
                <w:rFonts w:ascii="Times New Roman" w:hAnsi="Times New Roman" w:eastAsia="宋体"/>
                <w:color w:val="000000" w:themeColor="text1"/>
                <w:spacing w:val="0"/>
                <w:sz w:val="24"/>
                <w:highlight w:val="none"/>
                <w14:textFill>
                  <w14:solidFill>
                    <w14:schemeClr w14:val="tx1"/>
                  </w14:solidFill>
                </w14:textFill>
              </w:rPr>
              <w:t>在当地均分布相对较多。项目施工期会造成植物数量减少，野生动物生活会受到干扰，但施工结束后，临时占地可恢复原有土地功能，对野生动物及植物的影响很小。因此，本项目的建设对评价区域内生物多样性的影响是很轻微的。</w:t>
            </w:r>
          </w:p>
          <w:p w14:paraId="43F2C0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本项目输电线路经过</w:t>
            </w:r>
            <w:r>
              <w:rPr>
                <w:rFonts w:hint="default"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大部分</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地区</w:t>
            </w:r>
            <w:r>
              <w:rPr>
                <w:rFonts w:hint="default"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现状</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为</w:t>
            </w:r>
            <w:r>
              <w:rPr>
                <w:rFonts w:hint="eastAsia" w:cs="Times New Roman"/>
                <w:color w:val="000000" w:themeColor="text1"/>
                <w:spacing w:val="0"/>
                <w:w w:val="100"/>
                <w:position w:val="0"/>
                <w:sz w:val="24"/>
                <w:szCs w:val="24"/>
                <w:highlight w:val="none"/>
                <w:lang w:val="en-US" w:eastAsia="zh-CN"/>
                <w14:textFill>
                  <w14:solidFill>
                    <w14:schemeClr w14:val="tx1"/>
                  </w14:solidFill>
                </w14:textFill>
              </w:rPr>
              <w:t>旱地</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，会对农业生态环境带来一定影响。输电线路平均</w:t>
            </w:r>
            <w:r>
              <w:rPr>
                <w:rFonts w:hint="default"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隔几百米</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建一基铁塔。施工临时占地主要为塔基开挖土方占地、临时道路、牵张场、</w:t>
            </w:r>
            <w:r>
              <w:rPr>
                <w:rFonts w:hint="default" w:ascii="Times New Roman" w:hAnsi="Times New Roman" w:eastAsia="宋体" w:cs="Times New Roman"/>
                <w:color w:val="000000" w:themeColor="text1"/>
                <w:spacing w:val="0"/>
                <w:w w:val="100"/>
                <w:position w:val="0"/>
                <w:sz w:val="24"/>
                <w:szCs w:val="24"/>
                <w:highlight w:val="none"/>
                <w:lang w:eastAsia="zh-CN"/>
                <w14:textFill>
                  <w14:solidFill>
                    <w14:schemeClr w14:val="tx1"/>
                  </w14:solidFill>
                </w14:textFill>
              </w:rPr>
              <w:t>临时设备存放场等</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临时占地。</w:t>
            </w:r>
            <w:r>
              <w:rPr>
                <w:rFonts w:hint="default"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地下电缆段较短均为临时占地，无永久占地，临时占地恢复后对生态系统无影响。</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临时占地对农业生态环境的影响是暂时的，随着施工结束并采取相应恢复措施后，不利的环境影响可以得到逐步消除。</w:t>
            </w:r>
          </w:p>
          <w:p w14:paraId="7BF99BE4">
            <w:pPr>
              <w:pStyle w:val="7"/>
              <w:spacing w:after="0" w:line="360" w:lineRule="auto"/>
              <w:ind w:left="0" w:leftChars="0"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2、声环境影响分析</w:t>
            </w:r>
          </w:p>
          <w:p w14:paraId="31DE7DC7">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（1）变电站工程</w:t>
            </w:r>
          </w:p>
          <w:p w14:paraId="3F8C103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lang w:bidi="ar"/>
                <w14:textFill>
                  <w14:solidFill>
                    <w14:schemeClr w14:val="tx1"/>
                  </w14:solidFill>
                </w14:textFill>
              </w:rPr>
              <w:t>本项目施工期噪声主要是各种机械设备所产生的噪声，本项目施工设备中噪声级较高的机械设备有装载机、推土机、挖掘机、压路机等，</w:t>
            </w:r>
            <w:r>
              <w:rPr>
                <w:rFonts w:ascii="Times New Roman" w:hAnsi="Times New Roman" w:eastAsia="宋体"/>
                <w:color w:val="000000" w:themeColor="text1"/>
                <w:spacing w:val="0"/>
                <w:sz w:val="24"/>
                <w:highlight w:val="none"/>
                <w14:textFill>
                  <w14:solidFill>
                    <w14:schemeClr w14:val="tx1"/>
                  </w14:solidFill>
                </w14:textFill>
              </w:rPr>
              <w:t>施工场地内机械设备大多属于移动声源，难以预测施工场地各场界噪声值，因此，本次仅针对各噪声源强单独作用时噪声贡献值进行预测。变电站施工所采用设备一般为中等规模，参照《环境噪声与振动控制工程技术导则》（HJ2034-2013），选择适中的噪声源源强值，常见施工设备噪声源强见表4-1所示。</w:t>
            </w:r>
          </w:p>
          <w:p w14:paraId="7B55D38E">
            <w:pPr>
              <w:spacing w:line="360" w:lineRule="auto"/>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表4-1  常见施工设备噪声源不同距离声压级</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2814"/>
              <w:gridCol w:w="2811"/>
            </w:tblGrid>
            <w:tr w14:paraId="5495A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92" w:type="dxa"/>
                  <w:vAlign w:val="center"/>
                </w:tcPr>
                <w:p w14:paraId="26A1F1CA">
                  <w:pPr>
                    <w:pStyle w:val="44"/>
                    <w:spacing w:line="240" w:lineRule="auto"/>
                    <w:ind w:firstLine="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设备名称</w:t>
                  </w:r>
                </w:p>
              </w:tc>
              <w:tc>
                <w:tcPr>
                  <w:tcW w:w="2814" w:type="dxa"/>
                  <w:vAlign w:val="center"/>
                </w:tcPr>
                <w:p w14:paraId="2DC587F5">
                  <w:pPr>
                    <w:pStyle w:val="44"/>
                    <w:spacing w:line="240" w:lineRule="auto"/>
                    <w:ind w:firstLine="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距设备距离（m）</w:t>
                  </w:r>
                </w:p>
              </w:tc>
              <w:tc>
                <w:tcPr>
                  <w:tcW w:w="2811" w:type="dxa"/>
                  <w:vAlign w:val="center"/>
                </w:tcPr>
                <w:p w14:paraId="0DFD96FA">
                  <w:pPr>
                    <w:pStyle w:val="44"/>
                    <w:spacing w:line="240" w:lineRule="auto"/>
                    <w:ind w:firstLine="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噪声源（dB(A)）</w:t>
                  </w:r>
                </w:p>
              </w:tc>
            </w:tr>
            <w:tr w14:paraId="7270D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592" w:type="dxa"/>
                  <w:vAlign w:val="center"/>
                </w:tcPr>
                <w:p w14:paraId="0C497E94">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液压挖掘机</w:t>
                  </w:r>
                </w:p>
              </w:tc>
              <w:tc>
                <w:tcPr>
                  <w:tcW w:w="2814" w:type="dxa"/>
                  <w:vAlign w:val="center"/>
                </w:tcPr>
                <w:p w14:paraId="7A89A9A3">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w:t>
                  </w:r>
                </w:p>
              </w:tc>
              <w:tc>
                <w:tcPr>
                  <w:tcW w:w="2811" w:type="dxa"/>
                  <w:vAlign w:val="center"/>
                </w:tcPr>
                <w:p w14:paraId="0E3DC30F">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82-90</w:t>
                  </w:r>
                </w:p>
              </w:tc>
            </w:tr>
            <w:tr w14:paraId="12C62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592" w:type="dxa"/>
                  <w:vAlign w:val="center"/>
                </w:tcPr>
                <w:p w14:paraId="6F2FB60A">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商砼搅拌车</w:t>
                  </w:r>
                </w:p>
              </w:tc>
              <w:tc>
                <w:tcPr>
                  <w:tcW w:w="2814" w:type="dxa"/>
                  <w:vAlign w:val="center"/>
                </w:tcPr>
                <w:p w14:paraId="14678A0F">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w:t>
                  </w:r>
                </w:p>
              </w:tc>
              <w:tc>
                <w:tcPr>
                  <w:tcW w:w="2811" w:type="dxa"/>
                  <w:vAlign w:val="center"/>
                </w:tcPr>
                <w:p w14:paraId="63280EA1">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85-90</w:t>
                  </w:r>
                </w:p>
              </w:tc>
            </w:tr>
            <w:tr w14:paraId="3D5D6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592" w:type="dxa"/>
                  <w:vAlign w:val="center"/>
                </w:tcPr>
                <w:p w14:paraId="56783524">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重型运输车</w:t>
                  </w:r>
                </w:p>
              </w:tc>
              <w:tc>
                <w:tcPr>
                  <w:tcW w:w="2814" w:type="dxa"/>
                  <w:vAlign w:val="center"/>
                </w:tcPr>
                <w:p w14:paraId="5C9B7B32">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w:t>
                  </w:r>
                </w:p>
              </w:tc>
              <w:tc>
                <w:tcPr>
                  <w:tcW w:w="2811" w:type="dxa"/>
                  <w:vAlign w:val="center"/>
                </w:tcPr>
                <w:p w14:paraId="53D21431">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82-90</w:t>
                  </w:r>
                </w:p>
              </w:tc>
            </w:tr>
          </w:tbl>
          <w:p w14:paraId="440F966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250A4A4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由此公式计算各类施工机械在不同距离处的噪声预测值见表4-2。</w:t>
            </w:r>
          </w:p>
          <w:p w14:paraId="16D17E76">
            <w:pPr>
              <w:spacing w:line="360" w:lineRule="auto"/>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表4-2  距声源不同距离施工噪声预测值表</w:t>
            </w:r>
          </w:p>
          <w:tbl>
            <w:tblPr>
              <w:tblStyle w:val="26"/>
              <w:tblW w:w="82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740"/>
              <w:gridCol w:w="870"/>
              <w:gridCol w:w="780"/>
              <w:gridCol w:w="825"/>
              <w:gridCol w:w="765"/>
              <w:gridCol w:w="772"/>
              <w:gridCol w:w="728"/>
              <w:gridCol w:w="720"/>
              <w:gridCol w:w="713"/>
            </w:tblGrid>
            <w:tr w14:paraId="4E9AF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5" w:type="dxa"/>
                  <w:vMerge w:val="restart"/>
                  <w:vAlign w:val="center"/>
                </w:tcPr>
                <w:p w14:paraId="7DED2C76">
                  <w:pPr>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机械类型</w:t>
                  </w:r>
                </w:p>
              </w:tc>
              <w:tc>
                <w:tcPr>
                  <w:tcW w:w="6913" w:type="dxa"/>
                  <w:gridSpan w:val="9"/>
                  <w:vAlign w:val="center"/>
                </w:tcPr>
                <w:p w14:paraId="0ECFA288">
                  <w:pPr>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噪声预测值（dB(A)）</w:t>
                  </w:r>
                </w:p>
              </w:tc>
            </w:tr>
            <w:tr w14:paraId="65CB6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5" w:type="dxa"/>
                  <w:vMerge w:val="continue"/>
                  <w:vAlign w:val="center"/>
                </w:tcPr>
                <w:p w14:paraId="2943E05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740" w:type="dxa"/>
                  <w:vAlign w:val="center"/>
                </w:tcPr>
                <w:p w14:paraId="2C0255B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5m</w:t>
                  </w:r>
                </w:p>
              </w:tc>
              <w:tc>
                <w:tcPr>
                  <w:tcW w:w="870" w:type="dxa"/>
                  <w:vAlign w:val="center"/>
                </w:tcPr>
                <w:p w14:paraId="709F9E87">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10m</w:t>
                  </w:r>
                </w:p>
              </w:tc>
              <w:tc>
                <w:tcPr>
                  <w:tcW w:w="780" w:type="dxa"/>
                  <w:vAlign w:val="center"/>
                </w:tcPr>
                <w:p w14:paraId="369198B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20m</w:t>
                  </w:r>
                </w:p>
              </w:tc>
              <w:tc>
                <w:tcPr>
                  <w:tcW w:w="825" w:type="dxa"/>
                  <w:vAlign w:val="center"/>
                </w:tcPr>
                <w:p w14:paraId="0A9C0E61">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40m</w:t>
                  </w:r>
                </w:p>
              </w:tc>
              <w:tc>
                <w:tcPr>
                  <w:tcW w:w="765" w:type="dxa"/>
                  <w:vAlign w:val="center"/>
                </w:tcPr>
                <w:p w14:paraId="1FE062A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50m</w:t>
                  </w:r>
                </w:p>
              </w:tc>
              <w:tc>
                <w:tcPr>
                  <w:tcW w:w="772" w:type="dxa"/>
                  <w:vAlign w:val="center"/>
                </w:tcPr>
                <w:p w14:paraId="7E364C9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100m</w:t>
                  </w:r>
                </w:p>
              </w:tc>
              <w:tc>
                <w:tcPr>
                  <w:tcW w:w="728" w:type="dxa"/>
                  <w:vAlign w:val="center"/>
                </w:tcPr>
                <w:p w14:paraId="0425B44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130m</w:t>
                  </w:r>
                </w:p>
              </w:tc>
              <w:tc>
                <w:tcPr>
                  <w:tcW w:w="720" w:type="dxa"/>
                  <w:vAlign w:val="center"/>
                </w:tcPr>
                <w:p w14:paraId="35818C8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150m</w:t>
                  </w:r>
                </w:p>
              </w:tc>
              <w:tc>
                <w:tcPr>
                  <w:tcW w:w="713" w:type="dxa"/>
                  <w:vAlign w:val="center"/>
                </w:tcPr>
                <w:p w14:paraId="45F8687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200m</w:t>
                  </w:r>
                </w:p>
              </w:tc>
            </w:tr>
            <w:tr w14:paraId="07E8D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5" w:type="dxa"/>
                  <w:vAlign w:val="center"/>
                </w:tcPr>
                <w:p w14:paraId="47DF4D6C">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液压挖掘机</w:t>
                  </w:r>
                </w:p>
              </w:tc>
              <w:tc>
                <w:tcPr>
                  <w:tcW w:w="740" w:type="dxa"/>
                  <w:vAlign w:val="center"/>
                </w:tcPr>
                <w:p w14:paraId="5CA9FEC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86</w:t>
                  </w:r>
                </w:p>
              </w:tc>
              <w:tc>
                <w:tcPr>
                  <w:tcW w:w="870" w:type="dxa"/>
                  <w:vAlign w:val="center"/>
                </w:tcPr>
                <w:p w14:paraId="009FEA4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80</w:t>
                  </w:r>
                </w:p>
              </w:tc>
              <w:tc>
                <w:tcPr>
                  <w:tcW w:w="780" w:type="dxa"/>
                  <w:vAlign w:val="center"/>
                </w:tcPr>
                <w:p w14:paraId="11EB019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74</w:t>
                  </w:r>
                </w:p>
              </w:tc>
              <w:tc>
                <w:tcPr>
                  <w:tcW w:w="825" w:type="dxa"/>
                  <w:vAlign w:val="center"/>
                </w:tcPr>
                <w:p w14:paraId="7FA9550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68</w:t>
                  </w:r>
                </w:p>
              </w:tc>
              <w:tc>
                <w:tcPr>
                  <w:tcW w:w="765" w:type="dxa"/>
                  <w:vAlign w:val="center"/>
                </w:tcPr>
                <w:p w14:paraId="1E30AC7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66</w:t>
                  </w:r>
                </w:p>
              </w:tc>
              <w:tc>
                <w:tcPr>
                  <w:tcW w:w="772" w:type="dxa"/>
                  <w:vAlign w:val="center"/>
                </w:tcPr>
                <w:p w14:paraId="4C5590F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60</w:t>
                  </w:r>
                </w:p>
              </w:tc>
              <w:tc>
                <w:tcPr>
                  <w:tcW w:w="728" w:type="dxa"/>
                  <w:vAlign w:val="center"/>
                </w:tcPr>
                <w:p w14:paraId="09A7735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58</w:t>
                  </w:r>
                </w:p>
              </w:tc>
              <w:tc>
                <w:tcPr>
                  <w:tcW w:w="720" w:type="dxa"/>
                  <w:vAlign w:val="center"/>
                </w:tcPr>
                <w:p w14:paraId="7800334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56</w:t>
                  </w:r>
                </w:p>
              </w:tc>
              <w:tc>
                <w:tcPr>
                  <w:tcW w:w="713" w:type="dxa"/>
                  <w:vAlign w:val="center"/>
                </w:tcPr>
                <w:p w14:paraId="3ABD36B7">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54</w:t>
                  </w:r>
                </w:p>
              </w:tc>
            </w:tr>
            <w:tr w14:paraId="0CA4C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5" w:type="dxa"/>
                  <w:vAlign w:val="center"/>
                </w:tcPr>
                <w:p w14:paraId="0B557D6E">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商砼搅拌车</w:t>
                  </w:r>
                </w:p>
              </w:tc>
              <w:tc>
                <w:tcPr>
                  <w:tcW w:w="740" w:type="dxa"/>
                  <w:vAlign w:val="center"/>
                </w:tcPr>
                <w:p w14:paraId="69B9AF1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88</w:t>
                  </w:r>
                </w:p>
              </w:tc>
              <w:tc>
                <w:tcPr>
                  <w:tcW w:w="870" w:type="dxa"/>
                  <w:vAlign w:val="center"/>
                </w:tcPr>
                <w:p w14:paraId="137DEB4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82</w:t>
                  </w:r>
                </w:p>
              </w:tc>
              <w:tc>
                <w:tcPr>
                  <w:tcW w:w="780" w:type="dxa"/>
                  <w:vAlign w:val="center"/>
                </w:tcPr>
                <w:p w14:paraId="60B8D7C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76</w:t>
                  </w:r>
                </w:p>
              </w:tc>
              <w:tc>
                <w:tcPr>
                  <w:tcW w:w="825" w:type="dxa"/>
                  <w:vAlign w:val="center"/>
                </w:tcPr>
                <w:p w14:paraId="2E3B530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70</w:t>
                  </w:r>
                </w:p>
              </w:tc>
              <w:tc>
                <w:tcPr>
                  <w:tcW w:w="765" w:type="dxa"/>
                  <w:vAlign w:val="center"/>
                </w:tcPr>
                <w:p w14:paraId="34ECE39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68</w:t>
                  </w:r>
                </w:p>
              </w:tc>
              <w:tc>
                <w:tcPr>
                  <w:tcW w:w="772" w:type="dxa"/>
                  <w:vAlign w:val="center"/>
                </w:tcPr>
                <w:p w14:paraId="7EE3426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62</w:t>
                  </w:r>
                </w:p>
              </w:tc>
              <w:tc>
                <w:tcPr>
                  <w:tcW w:w="728" w:type="dxa"/>
                  <w:vAlign w:val="center"/>
                </w:tcPr>
                <w:p w14:paraId="6F7899D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60</w:t>
                  </w:r>
                </w:p>
              </w:tc>
              <w:tc>
                <w:tcPr>
                  <w:tcW w:w="720" w:type="dxa"/>
                  <w:vAlign w:val="center"/>
                </w:tcPr>
                <w:p w14:paraId="00B23D7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58</w:t>
                  </w:r>
                </w:p>
              </w:tc>
              <w:tc>
                <w:tcPr>
                  <w:tcW w:w="713" w:type="dxa"/>
                  <w:vAlign w:val="center"/>
                </w:tcPr>
                <w:p w14:paraId="50EC19C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56</w:t>
                  </w:r>
                </w:p>
              </w:tc>
            </w:tr>
            <w:tr w14:paraId="6829E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5" w:type="dxa"/>
                  <w:vAlign w:val="center"/>
                </w:tcPr>
                <w:p w14:paraId="281AE630">
                  <w:pPr>
                    <w:pStyle w:val="44"/>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重型运输车</w:t>
                  </w:r>
                </w:p>
              </w:tc>
              <w:tc>
                <w:tcPr>
                  <w:tcW w:w="740" w:type="dxa"/>
                  <w:vAlign w:val="center"/>
                </w:tcPr>
                <w:p w14:paraId="2AFD8D2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86</w:t>
                  </w:r>
                </w:p>
              </w:tc>
              <w:tc>
                <w:tcPr>
                  <w:tcW w:w="870" w:type="dxa"/>
                  <w:vAlign w:val="center"/>
                </w:tcPr>
                <w:p w14:paraId="5C1C5F6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80</w:t>
                  </w:r>
                </w:p>
              </w:tc>
              <w:tc>
                <w:tcPr>
                  <w:tcW w:w="780" w:type="dxa"/>
                  <w:vAlign w:val="center"/>
                </w:tcPr>
                <w:p w14:paraId="47854E5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74</w:t>
                  </w:r>
                </w:p>
              </w:tc>
              <w:tc>
                <w:tcPr>
                  <w:tcW w:w="825" w:type="dxa"/>
                  <w:vAlign w:val="center"/>
                </w:tcPr>
                <w:p w14:paraId="601AF12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68</w:t>
                  </w:r>
                </w:p>
              </w:tc>
              <w:tc>
                <w:tcPr>
                  <w:tcW w:w="765" w:type="dxa"/>
                  <w:vAlign w:val="center"/>
                </w:tcPr>
                <w:p w14:paraId="04A1B8E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66</w:t>
                  </w:r>
                </w:p>
              </w:tc>
              <w:tc>
                <w:tcPr>
                  <w:tcW w:w="772" w:type="dxa"/>
                  <w:vAlign w:val="center"/>
                </w:tcPr>
                <w:p w14:paraId="4B3EA8E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60</w:t>
                  </w:r>
                </w:p>
              </w:tc>
              <w:tc>
                <w:tcPr>
                  <w:tcW w:w="728" w:type="dxa"/>
                  <w:vAlign w:val="center"/>
                </w:tcPr>
                <w:p w14:paraId="3DE2172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58</w:t>
                  </w:r>
                </w:p>
              </w:tc>
              <w:tc>
                <w:tcPr>
                  <w:tcW w:w="720" w:type="dxa"/>
                  <w:vAlign w:val="center"/>
                </w:tcPr>
                <w:p w14:paraId="259F3BB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56</w:t>
                  </w:r>
                </w:p>
              </w:tc>
              <w:tc>
                <w:tcPr>
                  <w:tcW w:w="713" w:type="dxa"/>
                  <w:vAlign w:val="center"/>
                </w:tcPr>
                <w:p w14:paraId="68C1A6D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54</w:t>
                  </w:r>
                </w:p>
              </w:tc>
            </w:tr>
          </w:tbl>
          <w:p w14:paraId="2BCF3AF7">
            <w:pPr>
              <w:pStyle w:val="11"/>
              <w:outlineLvl w:val="9"/>
              <w:rPr>
                <w:rFonts w:ascii="Times New Roman" w:hAnsi="Times New Roman" w:eastAsia="宋体"/>
                <w:b/>
                <w:bCs/>
                <w:color w:val="000000" w:themeColor="text1"/>
                <w:spacing w:val="0"/>
                <w:sz w:val="21"/>
                <w:szCs w:val="21"/>
                <w:highlight w:val="none"/>
                <w14:textFill>
                  <w14:solidFill>
                    <w14:schemeClr w14:val="tx1"/>
                  </w14:solidFill>
                </w14:textFill>
              </w:rPr>
            </w:pPr>
          </w:p>
          <w:p w14:paraId="4815DA37">
            <w:pPr>
              <w:spacing w:line="360" w:lineRule="auto"/>
              <w:ind w:firstLine="480" w:firstLineChars="200"/>
              <w:outlineLvl w:val="9"/>
              <w:rPr>
                <w:rFonts w:ascii="Times New Roman" w:hAnsi="Times New Roman" w:eastAsia="宋体"/>
                <w:color w:val="000000" w:themeColor="text1"/>
                <w:spacing w:val="0"/>
                <w:sz w:val="24"/>
                <w:szCs w:val="21"/>
                <w:highlight w:val="none"/>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根据计算，离声源40m之外均可衰减至 70dB(A)以下</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，离声源130m之外可衰减值60</w:t>
            </w:r>
            <w:r>
              <w:rPr>
                <w:rFonts w:ascii="Times New Roman" w:hAnsi="Times New Roman" w:eastAsia="宋体"/>
                <w:color w:val="000000" w:themeColor="text1"/>
                <w:spacing w:val="0"/>
                <w:kern w:val="0"/>
                <w:sz w:val="24"/>
                <w:highlight w:val="none"/>
                <w:lang w:bidi="ar"/>
                <w14:textFill>
                  <w14:solidFill>
                    <w14:schemeClr w14:val="tx1"/>
                  </w14:solidFill>
                </w14:textFill>
              </w:rPr>
              <w:t>dB(A)以下。变电站</w:t>
            </w:r>
            <w:r>
              <w:rPr>
                <w:rFonts w:ascii="Times New Roman" w:hAnsi="Times New Roman" w:eastAsia="宋体"/>
                <w:color w:val="000000" w:themeColor="text1"/>
                <w:spacing w:val="0"/>
                <w:sz w:val="24"/>
                <w:highlight w:val="none"/>
                <w14:textFill>
                  <w14:solidFill>
                    <w14:schemeClr w14:val="tx1"/>
                  </w14:solidFill>
                </w14:textFill>
              </w:rPr>
              <w:t>可通过先建设变电站实体围墙</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sz w:val="24"/>
                <w:szCs w:val="21"/>
                <w:highlight w:val="none"/>
                <w14:textFill>
                  <w14:solidFill>
                    <w14:schemeClr w14:val="tx1"/>
                  </w14:solidFill>
                </w14:textFill>
              </w:rPr>
              <w:t>其组合隔声量按15dB(A)考虑，</w:t>
            </w:r>
            <w:r>
              <w:rPr>
                <w:rFonts w:hint="eastAsia" w:ascii="Times New Roman" w:hAnsi="Times New Roman" w:eastAsia="宋体"/>
                <w:color w:val="000000" w:themeColor="text1"/>
                <w:spacing w:val="0"/>
                <w:sz w:val="24"/>
                <w:szCs w:val="21"/>
                <w:highlight w:val="none"/>
                <w14:textFill>
                  <w14:solidFill>
                    <w14:schemeClr w14:val="tx1"/>
                  </w14:solidFill>
                </w14:textFill>
              </w:rPr>
              <w:t>结合各施工阶段施工噪声预测结果可知，本工程施工昼间噪声满足《建筑施工噪声排放标准》（</w:t>
            </w:r>
            <w:r>
              <w:rPr>
                <w:rFonts w:ascii="Times New Roman" w:hAnsi="Times New Roman" w:eastAsia="宋体"/>
                <w:color w:val="000000" w:themeColor="text1"/>
                <w:spacing w:val="0"/>
                <w:sz w:val="24"/>
                <w:szCs w:val="21"/>
                <w:highlight w:val="none"/>
                <w14:textFill>
                  <w14:solidFill>
                    <w14:schemeClr w14:val="tx1"/>
                  </w14:solidFill>
                </w14:textFill>
              </w:rPr>
              <w:t>GB12523-20</w:t>
            </w:r>
            <w:r>
              <w:rPr>
                <w:rFonts w:hint="eastAsia"/>
                <w:color w:val="000000" w:themeColor="text1"/>
                <w:spacing w:val="0"/>
                <w:sz w:val="24"/>
                <w:szCs w:val="21"/>
                <w:highlight w:val="none"/>
                <w:lang w:val="en-US" w:eastAsia="zh-CN"/>
                <w14:textFill>
                  <w14:solidFill>
                    <w14:schemeClr w14:val="tx1"/>
                  </w14:solidFill>
                </w14:textFill>
              </w:rPr>
              <w:t>25</w:t>
            </w:r>
            <w:r>
              <w:rPr>
                <w:rFonts w:hint="eastAsia" w:ascii="Times New Roman" w:hAnsi="Times New Roman" w:eastAsia="宋体"/>
                <w:color w:val="000000" w:themeColor="text1"/>
                <w:spacing w:val="0"/>
                <w:sz w:val="24"/>
                <w:szCs w:val="21"/>
                <w:highlight w:val="none"/>
                <w14:textFill>
                  <w14:solidFill>
                    <w14:schemeClr w14:val="tx1"/>
                  </w14:solidFill>
                </w14:textFill>
              </w:rPr>
              <w:t>）中昼间</w:t>
            </w:r>
            <w:r>
              <w:rPr>
                <w:rFonts w:ascii="Times New Roman" w:hAnsi="Times New Roman" w:eastAsia="宋体"/>
                <w:color w:val="000000" w:themeColor="text1"/>
                <w:spacing w:val="0"/>
                <w:sz w:val="24"/>
                <w:szCs w:val="21"/>
                <w:highlight w:val="none"/>
                <w14:textFill>
                  <w14:solidFill>
                    <w14:schemeClr w14:val="tx1"/>
                  </w14:solidFill>
                </w14:textFill>
              </w:rPr>
              <w:t>70dB(A)</w:t>
            </w:r>
            <w:r>
              <w:rPr>
                <w:rFonts w:hint="eastAsia" w:ascii="Times New Roman" w:hAnsi="Times New Roman" w:eastAsia="宋体"/>
                <w:color w:val="000000" w:themeColor="text1"/>
                <w:spacing w:val="0"/>
                <w:sz w:val="24"/>
                <w:szCs w:val="21"/>
                <w:highlight w:val="none"/>
                <w14:textFill>
                  <w14:solidFill>
                    <w14:schemeClr w14:val="tx1"/>
                  </w14:solidFill>
                </w14:textFill>
              </w:rPr>
              <w:t>的限值要求。</w:t>
            </w:r>
          </w:p>
          <w:p w14:paraId="09614A93">
            <w:pPr>
              <w:spacing w:line="360" w:lineRule="auto"/>
              <w:ind w:firstLine="480" w:firstLineChars="200"/>
              <w:outlineLvl w:val="9"/>
              <w:rPr>
                <w:rFonts w:ascii="Times New Roman" w:hAnsi="Times New Roman" w:eastAsia="宋体"/>
                <w:color w:val="000000" w:themeColor="text1"/>
                <w:spacing w:val="0"/>
                <w:kern w:val="0"/>
                <w:sz w:val="24"/>
                <w:highlight w:val="none"/>
                <w:lang w:bidi="ar"/>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夜间施工噪声排放满足标准距离较长，</w:t>
            </w:r>
            <w:r>
              <w:rPr>
                <w:rFonts w:hint="eastAsia" w:ascii="Times New Roman" w:hAnsi="Times New Roman" w:eastAsia="宋体"/>
                <w:color w:val="000000" w:themeColor="text1"/>
                <w:spacing w:val="0"/>
                <w:kern w:val="0"/>
                <w:sz w:val="24"/>
                <w:highlight w:val="none"/>
                <w:lang w:val="en-US" w:eastAsia="zh-CN" w:bidi="ar"/>
                <w14:textFill>
                  <w14:solidFill>
                    <w14:schemeClr w14:val="tx1"/>
                  </w14:solidFill>
                </w14:textFill>
              </w:rPr>
              <w:t>变电站</w:t>
            </w:r>
            <w:r>
              <w:rPr>
                <w:rFonts w:ascii="Times New Roman" w:hAnsi="Times New Roman" w:eastAsia="宋体"/>
                <w:color w:val="000000" w:themeColor="text1"/>
                <w:spacing w:val="0"/>
                <w:kern w:val="0"/>
                <w:sz w:val="24"/>
                <w:highlight w:val="none"/>
                <w:lang w:bidi="ar"/>
                <w14:textFill>
                  <w14:solidFill>
                    <w14:schemeClr w14:val="tx1"/>
                  </w14:solidFill>
                </w14:textFill>
              </w:rPr>
              <w:t>评价范围内</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无声</w:t>
            </w:r>
            <w:r>
              <w:rPr>
                <w:rFonts w:ascii="Times New Roman" w:hAnsi="Times New Roman" w:eastAsia="宋体"/>
                <w:color w:val="000000" w:themeColor="text1"/>
                <w:spacing w:val="0"/>
                <w:kern w:val="0"/>
                <w:sz w:val="24"/>
                <w:highlight w:val="none"/>
                <w:lang w:bidi="ar"/>
                <w14:textFill>
                  <w14:solidFill>
                    <w14:schemeClr w14:val="tx1"/>
                  </w14:solidFill>
                </w14:textFill>
              </w:rPr>
              <w:t>环境敏感目标</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w:t>
            </w:r>
            <w:r>
              <w:rPr>
                <w:rFonts w:ascii="Times New Roman" w:hAnsi="Times New Roman" w:eastAsia="宋体"/>
                <w:color w:val="000000" w:themeColor="text1"/>
                <w:spacing w:val="0"/>
                <w:kern w:val="0"/>
                <w:sz w:val="24"/>
                <w:highlight w:val="none"/>
                <w:lang w:bidi="ar"/>
                <w14:textFill>
                  <w14:solidFill>
                    <w14:schemeClr w14:val="tx1"/>
                  </w14:solidFill>
                </w14:textFill>
              </w:rPr>
              <w:t>本次评价要求，如变电站需在夜间施工时，需按照《中华人民共和国环境噪声污染防治法》的要求。</w:t>
            </w:r>
            <w:r>
              <w:rPr>
                <w:rFonts w:ascii="Times New Roman" w:hAnsi="Times New Roman" w:eastAsia="宋体"/>
                <w:color w:val="000000" w:themeColor="text1"/>
                <w:spacing w:val="0"/>
                <w:sz w:val="24"/>
                <w:highlight w:val="none"/>
                <w14:textFill>
                  <w14:solidFill>
                    <w14:schemeClr w14:val="tx1"/>
                  </w14:solidFill>
                </w14:textFill>
              </w:rPr>
              <w:t>施工期通过变电站围墙阻隔，加强施工机械维护和保养，避免噪声源强较大的机械同时进行施工作业等措施，可确保施工期变电站厂界噪声满足</w:t>
            </w:r>
            <w:r>
              <w:rPr>
                <w:rFonts w:ascii="Times New Roman" w:hAnsi="Times New Roman" w:eastAsia="宋体"/>
                <w:color w:val="000000" w:themeColor="text1"/>
                <w:spacing w:val="0"/>
                <w:kern w:val="0"/>
                <w:sz w:val="24"/>
                <w:highlight w:val="none"/>
                <w:lang w:bidi="ar"/>
                <w14:textFill>
                  <w14:solidFill>
                    <w14:schemeClr w14:val="tx1"/>
                  </w14:solidFill>
                </w14:textFill>
              </w:rPr>
              <w:t>《建筑施工噪声排放标准》</w:t>
            </w:r>
            <w:r>
              <w:rPr>
                <w:rFonts w:ascii="Times New Roman" w:hAnsi="Times New Roman" w:eastAsia="宋体"/>
                <w:color w:val="000000" w:themeColor="text1"/>
                <w:spacing w:val="0"/>
                <w:sz w:val="24"/>
                <w:highlight w:val="none"/>
                <w14:textFill>
                  <w14:solidFill>
                    <w14:schemeClr w14:val="tx1"/>
                  </w14:solidFill>
                </w14:textFill>
              </w:rPr>
              <w:t>标准限值要求</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kern w:val="0"/>
                <w:sz w:val="24"/>
                <w:highlight w:val="none"/>
                <w:lang w:bidi="ar"/>
                <w14:textFill>
                  <w14:solidFill>
                    <w14:schemeClr w14:val="tx1"/>
                  </w14:solidFill>
                </w14:textFill>
              </w:rPr>
              <w:t>变电站施工开挖土方时段较集中，且变电站围墙为装配式围墙，电容器采用块式基础装配模式，设备支架</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采用独立基础，电缆沟采用</w:t>
            </w:r>
            <w:r>
              <w:rPr>
                <w:rFonts w:hint="eastAsia"/>
                <w:color w:val="000000" w:themeColor="text1"/>
                <w:spacing w:val="0"/>
                <w:kern w:val="0"/>
                <w:sz w:val="24"/>
                <w:highlight w:val="none"/>
                <w:lang w:eastAsia="zh-CN" w:bidi="ar"/>
                <w14:textFill>
                  <w14:solidFill>
                    <w14:schemeClr w14:val="tx1"/>
                  </w14:solidFill>
                </w14:textFill>
              </w:rPr>
              <w:t>穿管</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敷设方式，</w:t>
            </w:r>
            <w:r>
              <w:rPr>
                <w:rFonts w:ascii="Times New Roman" w:hAnsi="Times New Roman" w:eastAsia="宋体"/>
                <w:color w:val="000000" w:themeColor="text1"/>
                <w:spacing w:val="0"/>
                <w:kern w:val="0"/>
                <w:sz w:val="24"/>
                <w:highlight w:val="none"/>
                <w:lang w:bidi="ar"/>
                <w14:textFill>
                  <w14:solidFill>
                    <w14:schemeClr w14:val="tx1"/>
                  </w14:solidFill>
                </w14:textFill>
              </w:rPr>
              <w:t>与传统变电站相比，减少了施工作业时间，因而施工期间运输车辆产生的交通噪声污染是短暂的</w:t>
            </w:r>
            <w:r>
              <w:rPr>
                <w:rFonts w:ascii="Times New Roman" w:hAnsi="Times New Roman" w:eastAsia="宋体"/>
                <w:color w:val="000000" w:themeColor="text1"/>
                <w:spacing w:val="0"/>
                <w:kern w:val="0"/>
                <w:sz w:val="24"/>
                <w:highlight w:val="none"/>
                <w14:textFill>
                  <w14:solidFill>
                    <w14:schemeClr w14:val="tx1"/>
                  </w14:solidFill>
                </w14:textFill>
              </w:rPr>
              <w:t>。</w:t>
            </w:r>
          </w:p>
          <w:p w14:paraId="57D0DECE">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4"/>
                <w:highlight w:val="none"/>
                <w14:textFill>
                  <w14:solidFill>
                    <w14:schemeClr w14:val="tx1"/>
                  </w14:solidFill>
                </w14:textFill>
              </w:rPr>
              <w:t>（2）</w:t>
            </w:r>
            <w:r>
              <w:rPr>
                <w:rFonts w:ascii="Times New Roman" w:hAnsi="Times New Roman" w:eastAsia="宋体"/>
                <w:b/>
                <w:bCs/>
                <w:color w:val="000000" w:themeColor="text1"/>
                <w:spacing w:val="0"/>
                <w:sz w:val="24"/>
                <w:highlight w:val="none"/>
                <w14:textFill>
                  <w14:solidFill>
                    <w14:schemeClr w14:val="tx1"/>
                  </w14:solidFill>
                </w14:textFill>
              </w:rPr>
              <w:t>输电线路</w:t>
            </w:r>
            <w:r>
              <w:rPr>
                <w:rFonts w:hint="eastAsia" w:ascii="Times New Roman" w:hAnsi="Times New Roman" w:eastAsia="宋体"/>
                <w:b/>
                <w:bCs/>
                <w:color w:val="000000" w:themeColor="text1"/>
                <w:spacing w:val="0"/>
                <w:sz w:val="24"/>
                <w:highlight w:val="none"/>
                <w14:textFill>
                  <w14:solidFill>
                    <w14:schemeClr w14:val="tx1"/>
                  </w14:solidFill>
                </w14:textFill>
              </w:rPr>
              <w:t>工程</w:t>
            </w:r>
          </w:p>
          <w:p w14:paraId="03005AB6">
            <w:pPr>
              <w:widowControl/>
              <w:spacing w:line="360" w:lineRule="auto"/>
              <w:ind w:firstLine="480" w:firstLineChars="200"/>
              <w:jc w:val="left"/>
              <w:outlineLvl w:val="9"/>
              <w:rPr>
                <w:rFonts w:ascii="Times New Roman" w:hAnsi="Times New Roman" w:eastAsia="宋体"/>
                <w:color w:val="000000" w:themeColor="text1"/>
                <w:spacing w:val="0"/>
                <w:kern w:val="0"/>
                <w:sz w:val="24"/>
                <w:highlight w:val="none"/>
                <w:lang w:bidi="ar"/>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输电线路施工期间噪声影响较大阶段为施工准备阶段（含物料运输、临时道路修筑）及基础施工阶段（含基础开挖、混凝土灌注），主要声源为挖掘机、旋挖钻机等。</w:t>
            </w:r>
          </w:p>
          <w:p w14:paraId="3FA4A261">
            <w:pPr>
              <w:widowControl/>
              <w:spacing w:line="360" w:lineRule="auto"/>
              <w:ind w:firstLine="480" w:firstLineChars="200"/>
              <w:jc w:val="left"/>
              <w:outlineLvl w:val="9"/>
              <w:rPr>
                <w:rFonts w:ascii="Times New Roman" w:hAnsi="Times New Roman" w:eastAsia="宋体"/>
                <w:color w:val="000000" w:themeColor="text1"/>
                <w:spacing w:val="0"/>
                <w:kern w:val="0"/>
                <w:sz w:val="24"/>
                <w:highlight w:val="none"/>
                <w:lang w:bidi="ar"/>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线路工程为点状施工，各施工点施工量小，施工时间短，单塔施工准备到基础浇筑完成时间一般可在3日内完成，施工高峰期每天运行时间约4h。施工结束，施工噪声影响亦会结束。</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本项目</w:t>
            </w:r>
            <w:r>
              <w:rPr>
                <w:rFonts w:ascii="Times New Roman" w:hAnsi="Times New Roman" w:eastAsia="宋体"/>
                <w:color w:val="000000" w:themeColor="text1"/>
                <w:spacing w:val="0"/>
                <w:kern w:val="0"/>
                <w:sz w:val="24"/>
                <w:highlight w:val="none"/>
                <w:lang w:bidi="ar"/>
                <w14:textFill>
                  <w14:solidFill>
                    <w14:schemeClr w14:val="tx1"/>
                  </w14:solidFill>
                </w14:textFill>
              </w:rPr>
              <w:t>地下电缆段线路较短，施工时设置施工围挡，各施工作业段施工量小，对声环境影响较小。</w:t>
            </w:r>
          </w:p>
          <w:p w14:paraId="29F627CD">
            <w:pPr>
              <w:widowControl/>
              <w:spacing w:line="360" w:lineRule="auto"/>
              <w:ind w:firstLine="480" w:firstLineChars="200"/>
              <w:jc w:val="left"/>
              <w:outlineLvl w:val="9"/>
              <w:rPr>
                <w:rFonts w:ascii="Times New Roman" w:hAnsi="Times New Roman" w:eastAsia="宋体"/>
                <w:color w:val="000000" w:themeColor="text1"/>
                <w:spacing w:val="0"/>
                <w:kern w:val="0"/>
                <w:sz w:val="24"/>
                <w:highlight w:val="none"/>
                <w:lang w:bidi="ar"/>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根据《低噪声施工设备指导名录（第一批）》（工业和信息化部 生态环境部 住房和城乡建设部 市场监管总局 四部门公告 2023年第12号），挖掘机的噪声源强为66~74dB（A）。</w:t>
            </w:r>
          </w:p>
          <w:p w14:paraId="6361B5AB">
            <w:pPr>
              <w:widowControl/>
              <w:spacing w:line="360" w:lineRule="auto"/>
              <w:ind w:firstLine="480" w:firstLineChars="200"/>
              <w:jc w:val="left"/>
              <w:outlineLvl w:val="9"/>
              <w:rPr>
                <w:rFonts w:hint="eastAsia" w:ascii="Times New Roman" w:hAnsi="Times New Roman" w:eastAsia="宋体"/>
                <w:color w:val="000000" w:themeColor="text1"/>
                <w:spacing w:val="0"/>
                <w:kern w:val="0"/>
                <w:sz w:val="24"/>
                <w:highlight w:val="none"/>
                <w:lang w:eastAsia="zh-CN" w:bidi="ar"/>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根据《中华人民共和国环境噪声污染防治法》的要求，在噪声敏感建筑物集中区域施工作业，应当优先使用低噪声施工工艺和设备。因本项目部分塔位距离声环境敏感目标较近，本次评价要求输电线路在声敏感目标附近施工时，需按照《中华人民共和国环境噪声污染防治法》要求，采用低噪声设备</w:t>
            </w:r>
            <w:r>
              <w:rPr>
                <w:rFonts w:hint="eastAsia"/>
                <w:color w:val="000000" w:themeColor="text1"/>
                <w:spacing w:val="0"/>
                <w:kern w:val="0"/>
                <w:sz w:val="24"/>
                <w:highlight w:val="none"/>
                <w:lang w:eastAsia="zh-CN" w:bidi="ar"/>
                <w14:textFill>
                  <w14:solidFill>
                    <w14:schemeClr w14:val="tx1"/>
                  </w14:solidFill>
                </w14:textFill>
              </w:rPr>
              <w:t>。</w:t>
            </w:r>
          </w:p>
          <w:p w14:paraId="368344ED">
            <w:pPr>
              <w:widowControl/>
              <w:spacing w:line="360" w:lineRule="auto"/>
              <w:ind w:firstLine="480" w:firstLineChars="200"/>
              <w:jc w:val="left"/>
              <w:outlineLvl w:val="9"/>
              <w:rPr>
                <w:rFonts w:ascii="Times New Roman" w:hAnsi="Times New Roman" w:eastAsia="宋体"/>
                <w:color w:val="000000" w:themeColor="text1"/>
                <w:spacing w:val="0"/>
                <w:kern w:val="0"/>
                <w:sz w:val="24"/>
                <w:highlight w:val="none"/>
                <w:lang w:bidi="ar"/>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输电线路夜间不进行施工，仅在昼间施工。本次评价针对评价范围内</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距离最近的</w:t>
            </w:r>
            <w:r>
              <w:rPr>
                <w:rFonts w:ascii="Times New Roman" w:hAnsi="Times New Roman" w:eastAsia="宋体"/>
                <w:color w:val="000000" w:themeColor="text1"/>
                <w:spacing w:val="0"/>
                <w:kern w:val="0"/>
                <w:sz w:val="24"/>
                <w:highlight w:val="none"/>
                <w:lang w:bidi="ar"/>
                <w14:textFill>
                  <w14:solidFill>
                    <w14:schemeClr w14:val="tx1"/>
                  </w14:solidFill>
                </w14:textFill>
              </w:rPr>
              <w:t>声环境敏感目标进行了施工期昼间噪声预测，噪声源强选用单台施工机械作业，距声源1m处的声压级为70dB(A)。预测仅考虑噪声源强因距离引起的衰减，不考虑大气吸收、地面效应、施工围挡等引起的衰减，具体本项目输电线路施工期声环境敏感目标处噪声预测结果见表4-3。</w:t>
            </w:r>
          </w:p>
          <w:p w14:paraId="64F80FD6">
            <w:pPr>
              <w:snapToGrid w:val="0"/>
              <w:jc w:val="center"/>
              <w:outlineLvl w:val="9"/>
              <w:rPr>
                <w:rFonts w:ascii="Times New Roman" w:hAnsi="Times New Roman" w:eastAsia="宋体"/>
                <w:b/>
                <w:color w:val="000000" w:themeColor="text1"/>
                <w:spacing w:val="0"/>
                <w:sz w:val="24"/>
                <w:szCs w:val="18"/>
                <w:highlight w:val="none"/>
                <w14:textFill>
                  <w14:solidFill>
                    <w14:schemeClr w14:val="tx1"/>
                  </w14:solidFill>
                </w14:textFill>
              </w:rPr>
            </w:pPr>
            <w:r>
              <w:rPr>
                <w:rFonts w:ascii="Times New Roman" w:hAnsi="Times New Roman" w:eastAsia="宋体"/>
                <w:b/>
                <w:color w:val="000000" w:themeColor="text1"/>
                <w:spacing w:val="0"/>
                <w:sz w:val="24"/>
                <w:szCs w:val="18"/>
                <w:highlight w:val="none"/>
                <w14:textFill>
                  <w14:solidFill>
                    <w14:schemeClr w14:val="tx1"/>
                  </w14:solidFill>
                </w14:textFill>
              </w:rPr>
              <w:t>表4-3 输电线路施工期沿线声环境保护目标处噪声预测结果    单位：</w:t>
            </w:r>
            <w:r>
              <w:rPr>
                <w:rFonts w:ascii="Times New Roman" w:hAnsi="Times New Roman" w:eastAsia="宋体"/>
                <w:color w:val="000000" w:themeColor="text1"/>
                <w:spacing w:val="0"/>
                <w:sz w:val="24"/>
                <w:highlight w:val="none"/>
                <w14:textFill>
                  <w14:solidFill>
                    <w14:schemeClr w14:val="tx1"/>
                  </w14:solidFill>
                </w14:textFill>
              </w:rPr>
              <w:t>dB(A)</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48"/>
              <w:gridCol w:w="1335"/>
              <w:gridCol w:w="1185"/>
              <w:gridCol w:w="1200"/>
              <w:gridCol w:w="1185"/>
              <w:gridCol w:w="1268"/>
              <w:gridCol w:w="717"/>
              <w:gridCol w:w="677"/>
            </w:tblGrid>
            <w:tr w14:paraId="2C4BB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808" w:hRule="atLeast"/>
                <w:jc w:val="center"/>
              </w:trPr>
              <w:tc>
                <w:tcPr>
                  <w:tcW w:w="548" w:type="dxa"/>
                  <w:tcBorders>
                    <w:tl2br w:val="nil"/>
                    <w:tr2bl w:val="nil"/>
                  </w:tcBorders>
                  <w:vAlign w:val="center"/>
                </w:tcPr>
                <w:p w14:paraId="1B84797C">
                  <w:pPr>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序号</w:t>
                  </w:r>
                </w:p>
              </w:tc>
              <w:tc>
                <w:tcPr>
                  <w:tcW w:w="1335" w:type="dxa"/>
                  <w:tcBorders>
                    <w:tl2br w:val="nil"/>
                    <w:tr2bl w:val="nil"/>
                  </w:tcBorders>
                  <w:vAlign w:val="center"/>
                </w:tcPr>
                <w:p w14:paraId="44353D5F">
                  <w:pPr>
                    <w:snapToGrid w:val="0"/>
                    <w:jc w:val="center"/>
                    <w:outlineLvl w:val="9"/>
                    <w:rPr>
                      <w:rFonts w:ascii="Times New Roman" w:hAnsi="Times New Roman" w:eastAsia="宋体"/>
                      <w:b/>
                      <w:color w:val="000000" w:themeColor="text1"/>
                      <w:spacing w:val="0"/>
                      <w:szCs w:val="21"/>
                      <w:highlight w:val="none"/>
                      <w:lang w:val="zh-CN"/>
                      <w14:textFill>
                        <w14:solidFill>
                          <w14:schemeClr w14:val="tx1"/>
                        </w14:solidFill>
                      </w14:textFill>
                    </w:rPr>
                  </w:pPr>
                  <w:r>
                    <w:rPr>
                      <w:rFonts w:ascii="Times New Roman" w:hAnsi="Times New Roman" w:eastAsia="宋体"/>
                      <w:b/>
                      <w:color w:val="000000" w:themeColor="text1"/>
                      <w:spacing w:val="0"/>
                      <w:szCs w:val="21"/>
                      <w:highlight w:val="none"/>
                      <w:lang w:val="zh-CN"/>
                      <w14:textFill>
                        <w14:solidFill>
                          <w14:schemeClr w14:val="tx1"/>
                        </w14:solidFill>
                      </w14:textFill>
                    </w:rPr>
                    <w:t>声环境保护目标</w:t>
                  </w:r>
                </w:p>
              </w:tc>
              <w:tc>
                <w:tcPr>
                  <w:tcW w:w="1185" w:type="dxa"/>
                  <w:tcBorders>
                    <w:tl2br w:val="nil"/>
                    <w:tr2bl w:val="nil"/>
                  </w:tcBorders>
                  <w:vAlign w:val="center"/>
                </w:tcPr>
                <w:p w14:paraId="49804F9C">
                  <w:pPr>
                    <w:snapToGrid w:val="0"/>
                    <w:jc w:val="center"/>
                    <w:outlineLvl w:val="9"/>
                    <w:rPr>
                      <w:rFonts w:ascii="Times New Roman" w:hAnsi="Times New Roman" w:eastAsia="宋体"/>
                      <w:b/>
                      <w:color w:val="000000" w:themeColor="text1"/>
                      <w:spacing w:val="0"/>
                      <w:szCs w:val="21"/>
                      <w:highlight w:val="none"/>
                      <w:lang w:val="zh-CN"/>
                      <w14:textFill>
                        <w14:solidFill>
                          <w14:schemeClr w14:val="tx1"/>
                        </w14:solidFill>
                      </w14:textFill>
                    </w:rPr>
                  </w:pPr>
                  <w:r>
                    <w:rPr>
                      <w:rFonts w:ascii="Times New Roman" w:hAnsi="Times New Roman" w:eastAsia="宋体"/>
                      <w:b/>
                      <w:color w:val="000000" w:themeColor="text1"/>
                      <w:spacing w:val="0"/>
                      <w:szCs w:val="21"/>
                      <w:highlight w:val="none"/>
                      <w:lang w:val="zh-CN"/>
                      <w14:textFill>
                        <w14:solidFill>
                          <w14:schemeClr w14:val="tx1"/>
                        </w14:solidFill>
                      </w14:textFill>
                    </w:rPr>
                    <w:t>与</w:t>
                  </w:r>
                  <w:r>
                    <w:rPr>
                      <w:rFonts w:hint="eastAsia" w:ascii="Times New Roman" w:hAnsi="Times New Roman" w:eastAsia="宋体"/>
                      <w:b/>
                      <w:color w:val="000000" w:themeColor="text1"/>
                      <w:spacing w:val="0"/>
                      <w:szCs w:val="21"/>
                      <w:highlight w:val="none"/>
                      <w:lang w:val="en-US" w:eastAsia="zh-CN"/>
                      <w14:textFill>
                        <w14:solidFill>
                          <w14:schemeClr w14:val="tx1"/>
                        </w14:solidFill>
                      </w14:textFill>
                    </w:rPr>
                    <w:t>施工厂界</w:t>
                  </w:r>
                  <w:r>
                    <w:rPr>
                      <w:rFonts w:ascii="Times New Roman" w:hAnsi="Times New Roman" w:eastAsia="宋体"/>
                      <w:b/>
                      <w:color w:val="000000" w:themeColor="text1"/>
                      <w:spacing w:val="0"/>
                      <w:szCs w:val="21"/>
                      <w:highlight w:val="none"/>
                      <w:lang w:val="zh-CN"/>
                      <w14:textFill>
                        <w14:solidFill>
                          <w14:schemeClr w14:val="tx1"/>
                        </w14:solidFill>
                      </w14:textFill>
                    </w:rPr>
                    <w:t>最近距离</w:t>
                  </w:r>
                </w:p>
              </w:tc>
              <w:tc>
                <w:tcPr>
                  <w:tcW w:w="1200" w:type="dxa"/>
                  <w:tcBorders>
                    <w:tl2br w:val="nil"/>
                    <w:tr2bl w:val="nil"/>
                  </w:tcBorders>
                  <w:vAlign w:val="center"/>
                </w:tcPr>
                <w:p w14:paraId="5A7AF54D">
                  <w:pPr>
                    <w:snapToGrid w:val="0"/>
                    <w:jc w:val="center"/>
                    <w:outlineLvl w:val="9"/>
                    <w:rPr>
                      <w:rFonts w:ascii="Times New Roman" w:hAnsi="Times New Roman" w:eastAsia="宋体"/>
                      <w:b/>
                      <w:color w:val="000000" w:themeColor="text1"/>
                      <w:spacing w:val="0"/>
                      <w:szCs w:val="21"/>
                      <w:highlight w:val="none"/>
                      <w:lang w:val="zh-CN"/>
                      <w14:textFill>
                        <w14:solidFill>
                          <w14:schemeClr w14:val="tx1"/>
                        </w14:solidFill>
                      </w14:textFill>
                    </w:rPr>
                  </w:pPr>
                  <w:r>
                    <w:rPr>
                      <w:rFonts w:ascii="Times New Roman" w:hAnsi="Times New Roman" w:eastAsia="宋体"/>
                      <w:b/>
                      <w:color w:val="000000" w:themeColor="text1"/>
                      <w:spacing w:val="0"/>
                      <w:szCs w:val="21"/>
                      <w:highlight w:val="none"/>
                      <w:lang w:val="zh-CN"/>
                      <w14:textFill>
                        <w14:solidFill>
                          <w14:schemeClr w14:val="tx1"/>
                        </w14:solidFill>
                      </w14:textFill>
                    </w:rPr>
                    <w:t>噪声贡献值</w:t>
                  </w:r>
                </w:p>
              </w:tc>
              <w:tc>
                <w:tcPr>
                  <w:tcW w:w="1185" w:type="dxa"/>
                  <w:tcBorders>
                    <w:tl2br w:val="nil"/>
                    <w:tr2bl w:val="nil"/>
                  </w:tcBorders>
                  <w:vAlign w:val="center"/>
                </w:tcPr>
                <w:p w14:paraId="3A217ED0">
                  <w:pPr>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昼间噪声背景值</w:t>
                  </w:r>
                </w:p>
              </w:tc>
              <w:tc>
                <w:tcPr>
                  <w:tcW w:w="1268" w:type="dxa"/>
                  <w:tcBorders>
                    <w:tl2br w:val="nil"/>
                    <w:tr2bl w:val="nil"/>
                  </w:tcBorders>
                  <w:vAlign w:val="center"/>
                </w:tcPr>
                <w:p w14:paraId="320AC45C">
                  <w:pPr>
                    <w:snapToGrid w:val="0"/>
                    <w:jc w:val="center"/>
                    <w:outlineLvl w:val="9"/>
                    <w:rPr>
                      <w:rFonts w:ascii="Times New Roman" w:hAnsi="Times New Roman" w:eastAsia="宋体"/>
                      <w:b/>
                      <w:color w:val="000000" w:themeColor="text1"/>
                      <w:spacing w:val="0"/>
                      <w:szCs w:val="21"/>
                      <w:highlight w:val="none"/>
                      <w:lang w:val="zh-CN"/>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昼间</w:t>
                  </w:r>
                  <w:r>
                    <w:rPr>
                      <w:rFonts w:ascii="Times New Roman" w:hAnsi="Times New Roman" w:eastAsia="宋体"/>
                      <w:b/>
                      <w:color w:val="000000" w:themeColor="text1"/>
                      <w:spacing w:val="0"/>
                      <w:szCs w:val="21"/>
                      <w:highlight w:val="none"/>
                      <w:lang w:val="zh-CN"/>
                      <w14:textFill>
                        <w14:solidFill>
                          <w14:schemeClr w14:val="tx1"/>
                        </w14:solidFill>
                      </w14:textFill>
                    </w:rPr>
                    <w:t>噪声预测值</w:t>
                  </w:r>
                </w:p>
              </w:tc>
              <w:tc>
                <w:tcPr>
                  <w:tcW w:w="717" w:type="dxa"/>
                  <w:tcBorders>
                    <w:tl2br w:val="nil"/>
                    <w:tr2bl w:val="nil"/>
                  </w:tcBorders>
                  <w:vAlign w:val="center"/>
                </w:tcPr>
                <w:p w14:paraId="621BCC3F">
                  <w:pPr>
                    <w:snapToGrid w:val="0"/>
                    <w:jc w:val="center"/>
                    <w:outlineLvl w:val="9"/>
                    <w:rPr>
                      <w:rFonts w:ascii="Times New Roman" w:hAnsi="Times New Roman" w:eastAsia="宋体"/>
                      <w:b/>
                      <w:color w:val="000000" w:themeColor="text1"/>
                      <w:spacing w:val="0"/>
                      <w:szCs w:val="21"/>
                      <w:highlight w:val="none"/>
                      <w:lang w:val="zh-CN"/>
                      <w14:textFill>
                        <w14:solidFill>
                          <w14:schemeClr w14:val="tx1"/>
                        </w14:solidFill>
                      </w14:textFill>
                    </w:rPr>
                  </w:pPr>
                  <w:r>
                    <w:rPr>
                      <w:rFonts w:ascii="Times New Roman" w:hAnsi="Times New Roman" w:eastAsia="宋体"/>
                      <w:b/>
                      <w:color w:val="000000" w:themeColor="text1"/>
                      <w:spacing w:val="0"/>
                      <w:szCs w:val="21"/>
                      <w:highlight w:val="none"/>
                      <w:lang w:val="zh-CN"/>
                      <w14:textFill>
                        <w14:solidFill>
                          <w14:schemeClr w14:val="tx1"/>
                        </w14:solidFill>
                      </w14:textFill>
                    </w:rPr>
                    <w:t>标准</w:t>
                  </w:r>
                </w:p>
              </w:tc>
              <w:tc>
                <w:tcPr>
                  <w:tcW w:w="677" w:type="dxa"/>
                  <w:tcBorders>
                    <w:tl2br w:val="nil"/>
                    <w:tr2bl w:val="nil"/>
                  </w:tcBorders>
                  <w:vAlign w:val="center"/>
                </w:tcPr>
                <w:p w14:paraId="5F776A05">
                  <w:pPr>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达标</w:t>
                  </w:r>
                </w:p>
                <w:p w14:paraId="032B398E">
                  <w:pPr>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情况</w:t>
                  </w:r>
                </w:p>
              </w:tc>
            </w:tr>
            <w:tr w14:paraId="3BDDB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81" w:hRule="atLeast"/>
                <w:jc w:val="center"/>
              </w:trPr>
              <w:tc>
                <w:tcPr>
                  <w:tcW w:w="548" w:type="dxa"/>
                  <w:tcBorders>
                    <w:tl2br w:val="nil"/>
                    <w:tr2bl w:val="nil"/>
                  </w:tcBorders>
                  <w:vAlign w:val="center"/>
                </w:tcPr>
                <w:p w14:paraId="702F5628">
                  <w:pPr>
                    <w:pStyle w:val="43"/>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1</w:t>
                  </w:r>
                </w:p>
              </w:tc>
              <w:tc>
                <w:tcPr>
                  <w:tcW w:w="1335" w:type="dxa"/>
                  <w:tcBorders>
                    <w:tl2br w:val="nil"/>
                    <w:tr2bl w:val="nil"/>
                  </w:tcBorders>
                  <w:shd w:val="clear" w:color="auto" w:fill="auto"/>
                  <w:vAlign w:val="center"/>
                </w:tcPr>
                <w:p w14:paraId="63091DC9">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马德祥家</w:t>
                  </w:r>
                </w:p>
              </w:tc>
              <w:tc>
                <w:tcPr>
                  <w:tcW w:w="1185" w:type="dxa"/>
                  <w:tcBorders>
                    <w:tl2br w:val="nil"/>
                    <w:tr2bl w:val="nil"/>
                  </w:tcBorders>
                  <w:vAlign w:val="center"/>
                </w:tcPr>
                <w:p w14:paraId="6FC89F87">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约70m</w:t>
                  </w:r>
                </w:p>
              </w:tc>
              <w:tc>
                <w:tcPr>
                  <w:tcW w:w="1200" w:type="dxa"/>
                  <w:tcBorders>
                    <w:tl2br w:val="nil"/>
                    <w:tr2bl w:val="nil"/>
                  </w:tcBorders>
                  <w:vAlign w:val="center"/>
                </w:tcPr>
                <w:p w14:paraId="7E9CF361">
                  <w:pPr>
                    <w:spacing w:beforeLines="0" w:afterLines="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z w:val="22"/>
                      <w:szCs w:val="24"/>
                      <w14:textFill>
                        <w14:solidFill>
                          <w14:schemeClr w14:val="tx1"/>
                        </w14:solidFill>
                      </w14:textFill>
                    </w:rPr>
                    <w:t>33</w:t>
                  </w:r>
                </w:p>
              </w:tc>
              <w:tc>
                <w:tcPr>
                  <w:tcW w:w="1185" w:type="dxa"/>
                  <w:tcBorders>
                    <w:tl2br w:val="nil"/>
                    <w:tr2bl w:val="nil"/>
                  </w:tcBorders>
                  <w:vAlign w:val="center"/>
                </w:tcPr>
                <w:p w14:paraId="6631BB75">
                  <w:pPr>
                    <w:adjustRightInd w:val="0"/>
                    <w:snapToGrid w:val="0"/>
                    <w:spacing w:beforeLines="0" w:afterLines="0"/>
                    <w:jc w:val="center"/>
                    <w:outlineLvl w:val="9"/>
                    <w:rPr>
                      <w:rFonts w:ascii="Times New Roman" w:hAnsi="Times New Roman" w:eastAsia="宋体"/>
                      <w:b w:val="0"/>
                      <w:bCs/>
                      <w:color w:val="000000" w:themeColor="text1"/>
                      <w:spacing w:val="0"/>
                      <w:sz w:val="21"/>
                      <w:szCs w:val="21"/>
                      <w:highlight w:val="none"/>
                      <w14:textFill>
                        <w14:solidFill>
                          <w14:schemeClr w14:val="tx1"/>
                        </w14:solidFill>
                      </w14:textFill>
                    </w:rPr>
                  </w:pPr>
                  <w:r>
                    <w:rPr>
                      <w:rFonts w:hint="eastAsia" w:ascii="Times New Roman" w:hAnsi="Times New Roman" w:eastAsia="宋体"/>
                      <w:b w:val="0"/>
                      <w:bCs/>
                      <w:color w:val="000000" w:themeColor="text1"/>
                      <w:sz w:val="21"/>
                      <w:szCs w:val="21"/>
                      <w:lang w:bidi="ar"/>
                      <w14:textFill>
                        <w14:solidFill>
                          <w14:schemeClr w14:val="tx1"/>
                        </w14:solidFill>
                      </w14:textFill>
                    </w:rPr>
                    <w:t>43</w:t>
                  </w:r>
                </w:p>
              </w:tc>
              <w:tc>
                <w:tcPr>
                  <w:tcW w:w="1268" w:type="dxa"/>
                  <w:tcBorders>
                    <w:tl2br w:val="nil"/>
                    <w:tr2bl w:val="nil"/>
                  </w:tcBorders>
                  <w:vAlign w:val="center"/>
                </w:tcPr>
                <w:p w14:paraId="1CF17503">
                  <w:pPr>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43</w:t>
                  </w:r>
                </w:p>
              </w:tc>
              <w:tc>
                <w:tcPr>
                  <w:tcW w:w="717" w:type="dxa"/>
                  <w:vMerge w:val="restart"/>
                  <w:tcBorders>
                    <w:tl2br w:val="nil"/>
                    <w:tr2bl w:val="nil"/>
                  </w:tcBorders>
                  <w:vAlign w:val="center"/>
                </w:tcPr>
                <w:p w14:paraId="7622B114">
                  <w:pPr>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55</w:t>
                  </w:r>
                </w:p>
              </w:tc>
              <w:tc>
                <w:tcPr>
                  <w:tcW w:w="677" w:type="dxa"/>
                  <w:vMerge w:val="restart"/>
                  <w:tcBorders>
                    <w:tl2br w:val="nil"/>
                    <w:tr2bl w:val="nil"/>
                  </w:tcBorders>
                  <w:vAlign w:val="center"/>
                </w:tcPr>
                <w:p w14:paraId="2BF046ED">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达标</w:t>
                  </w:r>
                </w:p>
              </w:tc>
            </w:tr>
            <w:tr w14:paraId="790CA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81" w:hRule="atLeast"/>
                <w:jc w:val="center"/>
              </w:trPr>
              <w:tc>
                <w:tcPr>
                  <w:tcW w:w="548" w:type="dxa"/>
                  <w:tcBorders>
                    <w:tl2br w:val="nil"/>
                    <w:tr2bl w:val="nil"/>
                  </w:tcBorders>
                  <w:vAlign w:val="center"/>
                </w:tcPr>
                <w:p w14:paraId="4325730E">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2</w:t>
                  </w:r>
                </w:p>
              </w:tc>
              <w:tc>
                <w:tcPr>
                  <w:tcW w:w="1335" w:type="dxa"/>
                  <w:tcBorders>
                    <w:tl2br w:val="nil"/>
                    <w:tr2bl w:val="nil"/>
                  </w:tcBorders>
                  <w:shd w:val="clear" w:color="auto" w:fill="auto"/>
                  <w:vAlign w:val="center"/>
                </w:tcPr>
                <w:p w14:paraId="0EBBB4D5">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肖伏才家</w:t>
                  </w:r>
                </w:p>
              </w:tc>
              <w:tc>
                <w:tcPr>
                  <w:tcW w:w="1185" w:type="dxa"/>
                  <w:tcBorders>
                    <w:tl2br w:val="nil"/>
                    <w:tr2bl w:val="nil"/>
                  </w:tcBorders>
                  <w:vAlign w:val="center"/>
                </w:tcPr>
                <w:p w14:paraId="52151390">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约48m</w:t>
                  </w:r>
                </w:p>
              </w:tc>
              <w:tc>
                <w:tcPr>
                  <w:tcW w:w="1200" w:type="dxa"/>
                  <w:tcBorders>
                    <w:tl2br w:val="nil"/>
                    <w:tr2bl w:val="nil"/>
                  </w:tcBorders>
                  <w:vAlign w:val="center"/>
                </w:tcPr>
                <w:p w14:paraId="0D9C6065">
                  <w:pPr>
                    <w:spacing w:beforeLines="0" w:afterLines="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z w:val="22"/>
                      <w:szCs w:val="24"/>
                      <w14:textFill>
                        <w14:solidFill>
                          <w14:schemeClr w14:val="tx1"/>
                        </w14:solidFill>
                      </w14:textFill>
                    </w:rPr>
                    <w:t>36</w:t>
                  </w:r>
                </w:p>
              </w:tc>
              <w:tc>
                <w:tcPr>
                  <w:tcW w:w="1185" w:type="dxa"/>
                  <w:tcBorders>
                    <w:tl2br w:val="nil"/>
                    <w:tr2bl w:val="nil"/>
                  </w:tcBorders>
                  <w:vAlign w:val="center"/>
                </w:tcPr>
                <w:p w14:paraId="432AB771">
                  <w:pPr>
                    <w:adjustRightInd w:val="0"/>
                    <w:snapToGrid w:val="0"/>
                    <w:spacing w:beforeLines="0" w:afterLines="0"/>
                    <w:jc w:val="center"/>
                    <w:outlineLvl w:val="9"/>
                    <w:rPr>
                      <w:rFonts w:ascii="Times New Roman" w:hAnsi="Times New Roman" w:eastAsia="宋体"/>
                      <w:b w:val="0"/>
                      <w:bCs/>
                      <w:color w:val="000000" w:themeColor="text1"/>
                      <w:spacing w:val="0"/>
                      <w:sz w:val="21"/>
                      <w:szCs w:val="21"/>
                      <w:highlight w:val="none"/>
                      <w14:textFill>
                        <w14:solidFill>
                          <w14:schemeClr w14:val="tx1"/>
                        </w14:solidFill>
                      </w14:textFill>
                    </w:rPr>
                  </w:pPr>
                  <w:r>
                    <w:rPr>
                      <w:rFonts w:hint="eastAsia" w:ascii="Times New Roman" w:hAnsi="Times New Roman" w:eastAsia="宋体"/>
                      <w:b w:val="0"/>
                      <w:bCs/>
                      <w:color w:val="000000" w:themeColor="text1"/>
                      <w:sz w:val="21"/>
                      <w:szCs w:val="21"/>
                      <w:lang w:bidi="ar"/>
                      <w14:textFill>
                        <w14:solidFill>
                          <w14:schemeClr w14:val="tx1"/>
                        </w14:solidFill>
                      </w14:textFill>
                    </w:rPr>
                    <w:t>45</w:t>
                  </w:r>
                </w:p>
              </w:tc>
              <w:tc>
                <w:tcPr>
                  <w:tcW w:w="1268" w:type="dxa"/>
                  <w:tcBorders>
                    <w:tl2br w:val="nil"/>
                    <w:tr2bl w:val="nil"/>
                  </w:tcBorders>
                  <w:vAlign w:val="center"/>
                </w:tcPr>
                <w:p w14:paraId="58CC3F18">
                  <w:pPr>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4</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6</w:t>
                  </w:r>
                </w:p>
              </w:tc>
              <w:tc>
                <w:tcPr>
                  <w:tcW w:w="717" w:type="dxa"/>
                  <w:vMerge w:val="continue"/>
                  <w:tcBorders>
                    <w:tl2br w:val="nil"/>
                    <w:tr2bl w:val="nil"/>
                  </w:tcBorders>
                  <w:vAlign w:val="center"/>
                </w:tcPr>
                <w:p w14:paraId="2E9D5BC7">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677" w:type="dxa"/>
                  <w:vMerge w:val="continue"/>
                  <w:tcBorders>
                    <w:tl2br w:val="nil"/>
                    <w:tr2bl w:val="nil"/>
                  </w:tcBorders>
                  <w:vAlign w:val="center"/>
                </w:tcPr>
                <w:p w14:paraId="65D6B5E3">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r>
            <w:tr w14:paraId="7AE5F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81" w:hRule="atLeast"/>
                <w:jc w:val="center"/>
              </w:trPr>
              <w:tc>
                <w:tcPr>
                  <w:tcW w:w="548" w:type="dxa"/>
                  <w:tcBorders>
                    <w:tl2br w:val="nil"/>
                    <w:tr2bl w:val="nil"/>
                  </w:tcBorders>
                  <w:vAlign w:val="center"/>
                </w:tcPr>
                <w:p w14:paraId="74B2A038">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3</w:t>
                  </w:r>
                </w:p>
              </w:tc>
              <w:tc>
                <w:tcPr>
                  <w:tcW w:w="1335" w:type="dxa"/>
                  <w:tcBorders>
                    <w:tl2br w:val="nil"/>
                    <w:tr2bl w:val="nil"/>
                  </w:tcBorders>
                  <w:shd w:val="clear" w:color="auto" w:fill="auto"/>
                  <w:vAlign w:val="center"/>
                </w:tcPr>
                <w:p w14:paraId="03B98526">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尚志军家</w:t>
                  </w:r>
                </w:p>
              </w:tc>
              <w:tc>
                <w:tcPr>
                  <w:tcW w:w="1185" w:type="dxa"/>
                  <w:tcBorders>
                    <w:tl2br w:val="nil"/>
                    <w:tr2bl w:val="nil"/>
                  </w:tcBorders>
                  <w:vAlign w:val="center"/>
                </w:tcPr>
                <w:p w14:paraId="7F35BF91">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约</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58</w:t>
                  </w:r>
                  <w:r>
                    <w:rPr>
                      <w:rFonts w:hint="eastAsia" w:ascii="Times New Roman" w:hAnsi="Times New Roman" w:eastAsia="宋体"/>
                      <w:color w:val="000000" w:themeColor="text1"/>
                      <w:spacing w:val="0"/>
                      <w:sz w:val="21"/>
                      <w:szCs w:val="21"/>
                      <w:highlight w:val="none"/>
                      <w14:textFill>
                        <w14:solidFill>
                          <w14:schemeClr w14:val="tx1"/>
                        </w14:solidFill>
                      </w14:textFill>
                    </w:rPr>
                    <w:t>m</w:t>
                  </w:r>
                </w:p>
              </w:tc>
              <w:tc>
                <w:tcPr>
                  <w:tcW w:w="1200" w:type="dxa"/>
                  <w:tcBorders>
                    <w:tl2br w:val="nil"/>
                    <w:tr2bl w:val="nil"/>
                  </w:tcBorders>
                  <w:vAlign w:val="center"/>
                </w:tcPr>
                <w:p w14:paraId="4C0329CB">
                  <w:pPr>
                    <w:spacing w:beforeLines="0" w:afterLines="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z w:val="22"/>
                      <w:szCs w:val="24"/>
                      <w14:textFill>
                        <w14:solidFill>
                          <w14:schemeClr w14:val="tx1"/>
                        </w14:solidFill>
                      </w14:textFill>
                    </w:rPr>
                    <w:t>35</w:t>
                  </w:r>
                </w:p>
              </w:tc>
              <w:tc>
                <w:tcPr>
                  <w:tcW w:w="1185" w:type="dxa"/>
                  <w:tcBorders>
                    <w:tl2br w:val="nil"/>
                    <w:tr2bl w:val="nil"/>
                  </w:tcBorders>
                  <w:vAlign w:val="center"/>
                </w:tcPr>
                <w:p w14:paraId="30671E00">
                  <w:pPr>
                    <w:adjustRightInd w:val="0"/>
                    <w:snapToGrid w:val="0"/>
                    <w:spacing w:beforeLines="0" w:afterLines="0"/>
                    <w:jc w:val="center"/>
                    <w:outlineLvl w:val="9"/>
                    <w:rPr>
                      <w:rFonts w:ascii="Times New Roman" w:hAnsi="Times New Roman" w:eastAsia="宋体"/>
                      <w:b w:val="0"/>
                      <w:bCs/>
                      <w:color w:val="000000" w:themeColor="text1"/>
                      <w:spacing w:val="0"/>
                      <w:sz w:val="21"/>
                      <w:szCs w:val="21"/>
                      <w:highlight w:val="none"/>
                      <w14:textFill>
                        <w14:solidFill>
                          <w14:schemeClr w14:val="tx1"/>
                        </w14:solidFill>
                      </w14:textFill>
                    </w:rPr>
                  </w:pPr>
                  <w:r>
                    <w:rPr>
                      <w:rFonts w:hint="eastAsia" w:ascii="Times New Roman" w:hAnsi="Times New Roman" w:eastAsia="宋体"/>
                      <w:b w:val="0"/>
                      <w:bCs/>
                      <w:color w:val="000000" w:themeColor="text1"/>
                      <w:sz w:val="21"/>
                      <w:szCs w:val="21"/>
                      <w:lang w:bidi="ar"/>
                      <w14:textFill>
                        <w14:solidFill>
                          <w14:schemeClr w14:val="tx1"/>
                        </w14:solidFill>
                      </w14:textFill>
                    </w:rPr>
                    <w:t>44</w:t>
                  </w:r>
                </w:p>
              </w:tc>
              <w:tc>
                <w:tcPr>
                  <w:tcW w:w="1268" w:type="dxa"/>
                  <w:tcBorders>
                    <w:tl2br w:val="nil"/>
                    <w:tr2bl w:val="nil"/>
                  </w:tcBorders>
                  <w:vAlign w:val="center"/>
                </w:tcPr>
                <w:p w14:paraId="7EF6A3E3">
                  <w:pPr>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4</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5</w:t>
                  </w:r>
                </w:p>
              </w:tc>
              <w:tc>
                <w:tcPr>
                  <w:tcW w:w="717" w:type="dxa"/>
                  <w:vMerge w:val="continue"/>
                  <w:tcBorders>
                    <w:tl2br w:val="nil"/>
                    <w:tr2bl w:val="nil"/>
                  </w:tcBorders>
                  <w:vAlign w:val="center"/>
                </w:tcPr>
                <w:p w14:paraId="56FA3D04">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677" w:type="dxa"/>
                  <w:vMerge w:val="continue"/>
                  <w:tcBorders>
                    <w:tl2br w:val="nil"/>
                    <w:tr2bl w:val="nil"/>
                  </w:tcBorders>
                  <w:vAlign w:val="center"/>
                </w:tcPr>
                <w:p w14:paraId="59039E8A">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r>
            <w:tr w14:paraId="1915B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09" w:hRule="atLeast"/>
                <w:jc w:val="center"/>
              </w:trPr>
              <w:tc>
                <w:tcPr>
                  <w:tcW w:w="548" w:type="dxa"/>
                  <w:tcBorders>
                    <w:tl2br w:val="nil"/>
                    <w:tr2bl w:val="nil"/>
                  </w:tcBorders>
                  <w:vAlign w:val="center"/>
                </w:tcPr>
                <w:p w14:paraId="63430B7B">
                  <w:pPr>
                    <w:pStyle w:val="43"/>
                    <w:adjustRightInd w:val="0"/>
                    <w:snapToGrid w:val="0"/>
                    <w:jc w:val="center"/>
                    <w:outlineLvl w:val="9"/>
                    <w:rPr>
                      <w:rFonts w:ascii="Times New Roman" w:hAnsi="Times New Roman" w:eastAsia="宋体"/>
                      <w:color w:val="000000" w:themeColor="text1"/>
                      <w:spacing w:val="0"/>
                      <w:kern w:val="2"/>
                      <w:sz w:val="21"/>
                      <w:szCs w:val="21"/>
                      <w:highlight w:val="none"/>
                      <w14:textFill>
                        <w14:solidFill>
                          <w14:schemeClr w14:val="tx1"/>
                        </w14:solidFill>
                      </w14:textFill>
                    </w:rPr>
                  </w:pPr>
                  <w:r>
                    <w:rPr>
                      <w:rFonts w:ascii="Times New Roman" w:hAnsi="Times New Roman" w:eastAsia="宋体"/>
                      <w:color w:val="000000" w:themeColor="text1"/>
                      <w:spacing w:val="0"/>
                      <w:kern w:val="2"/>
                      <w:sz w:val="21"/>
                      <w:szCs w:val="21"/>
                      <w:highlight w:val="none"/>
                      <w14:textFill>
                        <w14:solidFill>
                          <w14:schemeClr w14:val="tx1"/>
                        </w14:solidFill>
                      </w14:textFill>
                    </w:rPr>
                    <w:t>4</w:t>
                  </w:r>
                </w:p>
              </w:tc>
              <w:tc>
                <w:tcPr>
                  <w:tcW w:w="1335" w:type="dxa"/>
                  <w:tcBorders>
                    <w:tl2br w:val="nil"/>
                    <w:tr2bl w:val="nil"/>
                  </w:tcBorders>
                  <w:shd w:val="clear" w:color="auto" w:fill="auto"/>
                  <w:vAlign w:val="center"/>
                </w:tcPr>
                <w:p w14:paraId="1E1C473A">
                  <w:pPr>
                    <w:adjustRightInd w:val="0"/>
                    <w:snapToGrid w:val="0"/>
                    <w:jc w:val="center"/>
                    <w:outlineLvl w:val="9"/>
                    <w:rPr>
                      <w:rFonts w:hint="default" w:ascii="Times New Roman" w:hAnsi="Times New Roman" w:eastAsia="宋体" w:cs="Times New Roman"/>
                      <w:color w:val="000000" w:themeColor="text1"/>
                      <w:spacing w:val="0"/>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kern w:val="0"/>
                      <w:sz w:val="21"/>
                      <w:szCs w:val="21"/>
                      <w:highlight w:val="none"/>
                      <w:lang w:val="en-US" w:eastAsia="zh-CN"/>
                      <w14:textFill>
                        <w14:solidFill>
                          <w14:schemeClr w14:val="tx1"/>
                        </w14:solidFill>
                      </w14:textFill>
                    </w:rPr>
                    <w:t>空置房屋</w:t>
                  </w:r>
                </w:p>
              </w:tc>
              <w:tc>
                <w:tcPr>
                  <w:tcW w:w="1185" w:type="dxa"/>
                  <w:tcBorders>
                    <w:tl2br w:val="nil"/>
                    <w:tr2bl w:val="nil"/>
                  </w:tcBorders>
                  <w:vAlign w:val="center"/>
                </w:tcPr>
                <w:p w14:paraId="3DE531DF">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约</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50</w:t>
                  </w:r>
                  <w:r>
                    <w:rPr>
                      <w:rFonts w:hint="eastAsia" w:ascii="Times New Roman" w:hAnsi="Times New Roman" w:eastAsia="宋体"/>
                      <w:color w:val="000000" w:themeColor="text1"/>
                      <w:spacing w:val="0"/>
                      <w:sz w:val="21"/>
                      <w:szCs w:val="21"/>
                      <w:highlight w:val="none"/>
                      <w14:textFill>
                        <w14:solidFill>
                          <w14:schemeClr w14:val="tx1"/>
                        </w14:solidFill>
                      </w14:textFill>
                    </w:rPr>
                    <w:t>m</w:t>
                  </w:r>
                </w:p>
              </w:tc>
              <w:tc>
                <w:tcPr>
                  <w:tcW w:w="1200" w:type="dxa"/>
                  <w:tcBorders>
                    <w:tl2br w:val="nil"/>
                    <w:tr2bl w:val="nil"/>
                  </w:tcBorders>
                  <w:vAlign w:val="center"/>
                </w:tcPr>
                <w:p w14:paraId="1CB6FB86">
                  <w:pPr>
                    <w:spacing w:beforeLines="0" w:afterLines="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ascii="Times New Roman" w:hAnsi="Times New Roman" w:eastAsia="宋体"/>
                      <w:color w:val="000000" w:themeColor="text1"/>
                      <w:sz w:val="22"/>
                      <w:szCs w:val="24"/>
                      <w14:textFill>
                        <w14:solidFill>
                          <w14:schemeClr w14:val="tx1"/>
                        </w14:solidFill>
                      </w14:textFill>
                    </w:rPr>
                    <w:t>36</w:t>
                  </w:r>
                </w:p>
              </w:tc>
              <w:tc>
                <w:tcPr>
                  <w:tcW w:w="1185" w:type="dxa"/>
                  <w:tcBorders>
                    <w:tl2br w:val="nil"/>
                    <w:tr2bl w:val="nil"/>
                  </w:tcBorders>
                  <w:vAlign w:val="center"/>
                </w:tcPr>
                <w:p w14:paraId="32DC1068">
                  <w:pPr>
                    <w:adjustRightInd w:val="0"/>
                    <w:snapToGrid w:val="0"/>
                    <w:spacing w:beforeLines="0" w:afterLines="0"/>
                    <w:jc w:val="center"/>
                    <w:outlineLvl w:val="9"/>
                    <w:rPr>
                      <w:rFonts w:ascii="Times New Roman" w:hAnsi="Times New Roman" w:eastAsia="宋体"/>
                      <w:b w:val="0"/>
                      <w:bCs/>
                      <w:color w:val="000000" w:themeColor="text1"/>
                      <w:spacing w:val="0"/>
                      <w:sz w:val="21"/>
                      <w:szCs w:val="21"/>
                      <w:highlight w:val="none"/>
                      <w14:textFill>
                        <w14:solidFill>
                          <w14:schemeClr w14:val="tx1"/>
                        </w14:solidFill>
                      </w14:textFill>
                    </w:rPr>
                  </w:pPr>
                  <w:r>
                    <w:rPr>
                      <w:rFonts w:hint="eastAsia" w:ascii="Times New Roman" w:hAnsi="Times New Roman" w:eastAsia="宋体"/>
                      <w:b w:val="0"/>
                      <w:bCs/>
                      <w:color w:val="000000" w:themeColor="text1"/>
                      <w:sz w:val="21"/>
                      <w:szCs w:val="21"/>
                      <w:lang w:bidi="ar"/>
                      <w14:textFill>
                        <w14:solidFill>
                          <w14:schemeClr w14:val="tx1"/>
                        </w14:solidFill>
                      </w14:textFill>
                    </w:rPr>
                    <w:t>44</w:t>
                  </w:r>
                </w:p>
              </w:tc>
              <w:tc>
                <w:tcPr>
                  <w:tcW w:w="1268" w:type="dxa"/>
                  <w:tcBorders>
                    <w:tl2br w:val="nil"/>
                    <w:tr2bl w:val="nil"/>
                  </w:tcBorders>
                  <w:vAlign w:val="center"/>
                </w:tcPr>
                <w:p w14:paraId="3F6E3F9F">
                  <w:pPr>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4</w:t>
                  </w: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5</w:t>
                  </w:r>
                </w:p>
              </w:tc>
              <w:tc>
                <w:tcPr>
                  <w:tcW w:w="717" w:type="dxa"/>
                  <w:vMerge w:val="continue"/>
                  <w:tcBorders>
                    <w:tl2br w:val="nil"/>
                    <w:tr2bl w:val="nil"/>
                  </w:tcBorders>
                  <w:vAlign w:val="center"/>
                </w:tcPr>
                <w:p w14:paraId="038B8870">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677" w:type="dxa"/>
                  <w:vMerge w:val="continue"/>
                  <w:tcBorders>
                    <w:tl2br w:val="nil"/>
                    <w:tr2bl w:val="nil"/>
                  </w:tcBorders>
                  <w:vAlign w:val="center"/>
                </w:tcPr>
                <w:p w14:paraId="1AFDE3B7">
                  <w:pPr>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r>
          </w:tbl>
          <w:p w14:paraId="704F3881">
            <w:pPr>
              <w:widowControl/>
              <w:spacing w:line="360" w:lineRule="auto"/>
              <w:ind w:firstLine="480" w:firstLineChars="200"/>
              <w:jc w:val="left"/>
              <w:outlineLvl w:val="9"/>
              <w:rPr>
                <w:rFonts w:ascii="Times New Roman" w:hAnsi="Times New Roman" w:eastAsia="宋体"/>
                <w:color w:val="000000" w:themeColor="text1"/>
                <w:spacing w:val="0"/>
                <w:kern w:val="0"/>
                <w:sz w:val="24"/>
                <w:highlight w:val="none"/>
                <w:lang w:bidi="ar"/>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根据预测结果可知，输电线路沿线声环境敏感目标昼间噪声预测值在</w:t>
            </w:r>
            <w:r>
              <w:rPr>
                <w:rFonts w:hint="eastAsia" w:ascii="Times New Roman" w:hAnsi="Times New Roman" w:eastAsia="宋体"/>
                <w:color w:val="000000" w:themeColor="text1"/>
                <w:spacing w:val="0"/>
                <w:kern w:val="0"/>
                <w:sz w:val="24"/>
                <w:highlight w:val="none"/>
                <w:lang w:val="en-US" w:eastAsia="zh-CN" w:bidi="ar"/>
                <w14:textFill>
                  <w14:solidFill>
                    <w14:schemeClr w14:val="tx1"/>
                  </w14:solidFill>
                </w14:textFill>
              </w:rPr>
              <w:t>（</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4</w:t>
            </w:r>
            <w:r>
              <w:rPr>
                <w:rFonts w:hint="eastAsia" w:ascii="Times New Roman" w:hAnsi="Times New Roman" w:eastAsia="宋体"/>
                <w:color w:val="000000" w:themeColor="text1"/>
                <w:spacing w:val="0"/>
                <w:kern w:val="0"/>
                <w:sz w:val="24"/>
                <w:highlight w:val="none"/>
                <w:lang w:val="en-US" w:eastAsia="zh-CN" w:bidi="ar"/>
                <w14:textFill>
                  <w14:solidFill>
                    <w14:schemeClr w14:val="tx1"/>
                  </w14:solidFill>
                </w14:textFill>
              </w:rPr>
              <w:t>3-46）</w:t>
            </w:r>
            <w:r>
              <w:rPr>
                <w:rFonts w:ascii="Times New Roman" w:hAnsi="Times New Roman" w:eastAsia="宋体"/>
                <w:color w:val="000000" w:themeColor="text1"/>
                <w:spacing w:val="0"/>
                <w:kern w:val="0"/>
                <w:sz w:val="24"/>
                <w:highlight w:val="none"/>
                <w:lang w:bidi="ar"/>
                <w14:textFill>
                  <w14:solidFill>
                    <w14:schemeClr w14:val="tx1"/>
                  </w14:solidFill>
                </w14:textFill>
              </w:rPr>
              <w:t>dB(A)之间，均满足《声环境质量标准》（GB3096-2008）中</w:t>
            </w:r>
            <w:r>
              <w:rPr>
                <w:rFonts w:hint="eastAsia" w:ascii="Times New Roman" w:hAnsi="Times New Roman" w:eastAsia="宋体"/>
                <w:color w:val="000000" w:themeColor="text1"/>
                <w:spacing w:val="0"/>
                <w:kern w:val="0"/>
                <w:sz w:val="24"/>
                <w:highlight w:val="none"/>
                <w:lang w:val="en-US" w:eastAsia="zh-CN" w:bidi="ar"/>
                <w14:textFill>
                  <w14:solidFill>
                    <w14:schemeClr w14:val="tx1"/>
                  </w14:solidFill>
                </w14:textFill>
              </w:rPr>
              <w:t>1</w:t>
            </w:r>
            <w:r>
              <w:rPr>
                <w:rFonts w:ascii="Times New Roman" w:hAnsi="Times New Roman" w:eastAsia="宋体"/>
                <w:color w:val="000000" w:themeColor="text1"/>
                <w:spacing w:val="0"/>
                <w:kern w:val="0"/>
                <w:sz w:val="24"/>
                <w:highlight w:val="none"/>
                <w:lang w:bidi="ar"/>
                <w14:textFill>
                  <w14:solidFill>
                    <w14:schemeClr w14:val="tx1"/>
                  </w14:solidFill>
                </w14:textFill>
              </w:rPr>
              <w:t>类标准要求</w:t>
            </w:r>
          </w:p>
          <w:p w14:paraId="2A379F35">
            <w:pPr>
              <w:widowControl/>
              <w:spacing w:line="360" w:lineRule="auto"/>
              <w:ind w:firstLine="480" w:firstLineChars="200"/>
              <w:jc w:val="left"/>
              <w:outlineLvl w:val="9"/>
              <w:rPr>
                <w:rFonts w:ascii="Times New Roman" w:hAnsi="Times New Roman" w:eastAsia="宋体"/>
                <w:color w:val="000000" w:themeColor="text1"/>
                <w:spacing w:val="0"/>
                <w:kern w:val="0"/>
                <w:sz w:val="24"/>
                <w:highlight w:val="none"/>
                <w:lang w:bidi="ar"/>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因施工期噪声为间歇性的，在落实施工场地远离声环境敏感目标布设，设置施工围挡、采用低噪声设备等声环境保护措施，本项目施工期施工厂界噪声贡献值可满足《建筑施工噪声排放标准》（GB12523-20</w:t>
            </w:r>
            <w:r>
              <w:rPr>
                <w:rFonts w:hint="eastAsia"/>
                <w:color w:val="000000" w:themeColor="text1"/>
                <w:spacing w:val="0"/>
                <w:kern w:val="0"/>
                <w:sz w:val="24"/>
                <w:highlight w:val="none"/>
                <w:lang w:val="en-US" w:eastAsia="zh-CN" w:bidi="ar"/>
                <w14:textFill>
                  <w14:solidFill>
                    <w14:schemeClr w14:val="tx1"/>
                  </w14:solidFill>
                </w14:textFill>
              </w:rPr>
              <w:t>25</w:t>
            </w:r>
            <w:r>
              <w:rPr>
                <w:rFonts w:ascii="Times New Roman" w:hAnsi="Times New Roman" w:eastAsia="宋体"/>
                <w:color w:val="000000" w:themeColor="text1"/>
                <w:spacing w:val="0"/>
                <w:kern w:val="0"/>
                <w:sz w:val="24"/>
                <w:highlight w:val="none"/>
                <w:lang w:bidi="ar"/>
                <w14:textFill>
                  <w14:solidFill>
                    <w14:schemeClr w14:val="tx1"/>
                  </w14:solidFill>
                </w14:textFill>
              </w:rPr>
              <w:t>）昼间70dB（A）的标准，声环境敏感目标处噪声预测值也能满足相应功能区标准限值要求。</w:t>
            </w:r>
          </w:p>
          <w:p w14:paraId="32E36EED">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3、施工扬尘影响分析</w:t>
            </w:r>
          </w:p>
          <w:p w14:paraId="5A233630">
            <w:pPr>
              <w:pStyle w:val="7"/>
              <w:spacing w:after="0" w:line="360" w:lineRule="auto"/>
              <w:ind w:left="0" w:leftChars="0"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（1）变电站工程</w:t>
            </w:r>
          </w:p>
          <w:p w14:paraId="13E2C334">
            <w:pPr>
              <w:pStyle w:val="7"/>
              <w:spacing w:after="0" w:line="360" w:lineRule="auto"/>
              <w:ind w:left="0" w:leftChars="0" w:firstLine="480"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color w:val="000000" w:themeColor="text1"/>
                <w:sz w:val="24"/>
                <w:highlight w:val="none"/>
                <w14:textFill>
                  <w14:solidFill>
                    <w14:schemeClr w14:val="tx1"/>
                  </w14:solidFill>
                </w14:textFill>
              </w:rPr>
              <w:t>变电站施工扬尘主要来自站区及进站道路场地平整</w:t>
            </w:r>
            <w:r>
              <w:rPr>
                <w:rFonts w:hint="eastAsia"/>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站外供水</w:t>
            </w:r>
            <w:r>
              <w:rPr>
                <w:rFonts w:hint="eastAsia" w:cs="Times New Roman"/>
                <w:color w:val="000000" w:themeColor="text1"/>
                <w:sz w:val="24"/>
                <w:highlight w:val="none"/>
                <w:lang w:val="en-US" w:eastAsia="zh-CN"/>
                <w14:textFill>
                  <w14:solidFill>
                    <w14:schemeClr w14:val="tx1"/>
                  </w14:solidFill>
                </w14:textFill>
              </w:rPr>
              <w:t>及排</w:t>
            </w:r>
            <w:r>
              <w:rPr>
                <w:rFonts w:hint="default" w:ascii="Times New Roman" w:hAnsi="Times New Roman" w:cs="Times New Roman"/>
                <w:color w:val="000000" w:themeColor="text1"/>
                <w:sz w:val="24"/>
                <w:highlight w:val="none"/>
                <w14:textFill>
                  <w14:solidFill>
                    <w14:schemeClr w14:val="tx1"/>
                  </w14:solidFill>
                </w14:textFill>
              </w:rPr>
              <w:t>水管线</w:t>
            </w:r>
            <w:r>
              <w:rPr>
                <w:rFonts w:hint="eastAsia"/>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10千伏临时</w:t>
            </w:r>
            <w:r>
              <w:rPr>
                <w:rFonts w:hint="default" w:ascii="Times New Roman" w:hAnsi="Times New Roman" w:cs="Times New Roman"/>
                <w:color w:val="000000" w:themeColor="text1"/>
                <w:sz w:val="24"/>
                <w:highlight w:val="none"/>
                <w14:textFill>
                  <w14:solidFill>
                    <w14:schemeClr w14:val="tx1"/>
                  </w14:solidFill>
                </w14:textFill>
              </w:rPr>
              <w:t>施工电源线路</w:t>
            </w:r>
            <w:r>
              <w:rPr>
                <w:color w:val="000000" w:themeColor="text1"/>
                <w:sz w:val="24"/>
                <w:highlight w:val="none"/>
                <w14:textFill>
                  <w14:solidFill>
                    <w14:schemeClr w14:val="tx1"/>
                  </w14:solidFill>
                </w14:textFill>
              </w:rPr>
              <w:t>基础土石方开挖和回填及堆存，材料运输和使用，施工现场内车辆行驶等产生的扬尘。土石方及基础施工、车辆运行等产生的粉尘在短期内将使局部区域空气中TSP增加。</w:t>
            </w:r>
            <w:r>
              <w:rPr>
                <w:color w:val="000000" w:themeColor="text1"/>
                <w:kern w:val="0"/>
                <w:sz w:val="24"/>
                <w:highlight w:val="none"/>
                <w:lang w:bidi="ar"/>
                <w14:textFill>
                  <w14:solidFill>
                    <w14:schemeClr w14:val="tx1"/>
                  </w14:solidFill>
                </w14:textFill>
              </w:rPr>
              <w:t>变电站围墙为装配式围墙，</w:t>
            </w:r>
            <w:r>
              <w:rPr>
                <w:rFonts w:hint="eastAsia" w:cs="Times New Roman"/>
                <w:color w:val="000000" w:themeColor="text1"/>
                <w:kern w:val="0"/>
                <w:sz w:val="24"/>
                <w:highlight w:val="none"/>
                <w:lang w:val="en-US" w:eastAsia="zh-CN" w:bidi="ar"/>
                <w14:textFill>
                  <w14:solidFill>
                    <w14:schemeClr w14:val="tx1"/>
                  </w14:solidFill>
                </w14:textFill>
              </w:rPr>
              <w:t>配电装置室</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采用装配式钢框架结构，与传统变电站相比，</w:t>
            </w:r>
            <w:r>
              <w:rPr>
                <w:rFonts w:hint="eastAsia"/>
                <w:color w:val="000000" w:themeColor="text1"/>
                <w:kern w:val="0"/>
                <w:sz w:val="24"/>
                <w:highlight w:val="none"/>
                <w:lang w:val="en-US" w:eastAsia="zh-CN" w:bidi="ar"/>
                <w14:textFill>
                  <w14:solidFill>
                    <w14:schemeClr w14:val="tx1"/>
                  </w14:solidFill>
                </w14:textFill>
              </w:rPr>
              <w:t>降低</w:t>
            </w:r>
            <w:r>
              <w:rPr>
                <w:color w:val="000000" w:themeColor="text1"/>
                <w:kern w:val="0"/>
                <w:sz w:val="24"/>
                <w:highlight w:val="none"/>
                <w:lang w:bidi="ar"/>
                <w14:textFill>
                  <w14:solidFill>
                    <w14:schemeClr w14:val="tx1"/>
                  </w14:solidFill>
                </w14:textFill>
              </w:rPr>
              <w:t>了施工作业</w:t>
            </w:r>
            <w:r>
              <w:rPr>
                <w:rFonts w:hint="eastAsia"/>
                <w:color w:val="000000" w:themeColor="text1"/>
                <w:kern w:val="0"/>
                <w:sz w:val="24"/>
                <w:highlight w:val="none"/>
                <w:lang w:val="en-US" w:eastAsia="zh-CN" w:bidi="ar"/>
                <w14:textFill>
                  <w14:solidFill>
                    <w14:schemeClr w14:val="tx1"/>
                  </w14:solidFill>
                </w14:textFill>
              </w:rPr>
              <w:t>强度</w:t>
            </w:r>
            <w:r>
              <w:rPr>
                <w:color w:val="000000" w:themeColor="text1"/>
                <w:kern w:val="0"/>
                <w:sz w:val="24"/>
                <w:highlight w:val="none"/>
                <w:lang w:bidi="ar"/>
                <w14:textFill>
                  <w14:solidFill>
                    <w14:schemeClr w14:val="tx1"/>
                  </w14:solidFill>
                </w14:textFill>
              </w:rPr>
              <w:t>，可减少扬尘对周围大气环境的影响。</w:t>
            </w:r>
            <w:r>
              <w:rPr>
                <w:rFonts w:hint="eastAsia"/>
                <w:color w:val="000000" w:themeColor="text1"/>
                <w:kern w:val="0"/>
                <w:sz w:val="24"/>
                <w:highlight w:val="none"/>
                <w:lang w:val="en-US" w:eastAsia="zh-CN" w:bidi="ar"/>
                <w14:textFill>
                  <w14:solidFill>
                    <w14:schemeClr w14:val="tx1"/>
                  </w14:solidFill>
                </w14:textFill>
              </w:rPr>
              <w:t>1</w:t>
            </w:r>
            <w:r>
              <w:rPr>
                <w:rFonts w:hint="eastAsia" w:cs="Times New Roman"/>
                <w:color w:val="000000" w:themeColor="text1"/>
                <w:kern w:val="0"/>
                <w:sz w:val="24"/>
                <w:highlight w:val="none"/>
                <w:lang w:val="en-US" w:eastAsia="zh-CN" w:bidi="ar"/>
                <w14:textFill>
                  <w14:solidFill>
                    <w14:schemeClr w14:val="tx1"/>
                  </w14:solidFill>
                </w14:textFill>
              </w:rPr>
              <w:t>0千伏临时施工电源线路</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，通过分段开挖，分段回填，减少扬尘的产生。</w:t>
            </w:r>
            <w:r>
              <w:rPr>
                <w:rFonts w:hint="eastAsia" w:ascii="Times New Roman" w:hAnsi="Times New Roman" w:cs="Times New Roman"/>
                <w:color w:val="000000" w:themeColor="text1"/>
                <w:kern w:val="0"/>
                <w:sz w:val="24"/>
                <w:highlight w:val="none"/>
                <w:lang w:val="en-US" w:eastAsia="zh-CN" w:bidi="ar"/>
                <w14:textFill>
                  <w14:solidFill>
                    <w14:schemeClr w14:val="tx1"/>
                  </w14:solidFill>
                </w14:textFill>
              </w:rPr>
              <w:t>站外</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供水</w:t>
            </w:r>
            <w:r>
              <w:rPr>
                <w:rFonts w:hint="eastAsia" w:ascii="Times New Roman" w:hAnsi="Times New Roman" w:cs="Times New Roman"/>
                <w:color w:val="000000" w:themeColor="text1"/>
                <w:kern w:val="0"/>
                <w:sz w:val="24"/>
                <w:highlight w:val="none"/>
                <w:lang w:val="en-US" w:eastAsia="zh-CN" w:bidi="ar"/>
                <w14:textFill>
                  <w14:solidFill>
                    <w14:schemeClr w14:val="tx1"/>
                  </w14:solidFill>
                </w14:textFill>
              </w:rPr>
              <w:t>及</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排水管线施工时，应设置施工围挡，施工结束后供水</w:t>
            </w:r>
            <w:r>
              <w:rPr>
                <w:rFonts w:hint="eastAsia" w:ascii="Times New Roman" w:hAnsi="Times New Roman" w:cs="Times New Roman"/>
                <w:color w:val="000000" w:themeColor="text1"/>
                <w:kern w:val="0"/>
                <w:sz w:val="24"/>
                <w:highlight w:val="none"/>
                <w:lang w:val="en-US" w:eastAsia="zh-CN" w:bidi="ar"/>
                <w14:textFill>
                  <w14:solidFill>
                    <w14:schemeClr w14:val="tx1"/>
                  </w14:solidFill>
                </w14:textFill>
              </w:rPr>
              <w:t>及</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排水管线</w:t>
            </w:r>
            <w:r>
              <w:rPr>
                <w:rFonts w:hint="eastAsia" w:ascii="Times New Roman" w:hAnsi="Times New Roman" w:cs="Times New Roman"/>
                <w:color w:val="000000" w:themeColor="text1"/>
                <w:kern w:val="0"/>
                <w:sz w:val="24"/>
                <w:highlight w:val="none"/>
                <w:lang w:val="en-US" w:eastAsia="zh-CN" w:bidi="ar"/>
                <w14:textFill>
                  <w14:solidFill>
                    <w14:schemeClr w14:val="tx1"/>
                  </w14:solidFill>
                </w14:textFill>
              </w:rPr>
              <w:t>、</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10千伏临时施工电源线路拆除后，应及时进行土方回填，进行植被恢复，减少施工扬尘的产生。施工期禁止大风天气进行基础施工，产生的临时堆土及时苫盖，并定期进行洒水；对开挖产生的临时土方、砂石等可能产生扬尘的材料，在运输时用防水布覆盖。在采取以上措施后，变电站施工期对周围大气环境影响较小</w:t>
            </w:r>
            <w:r>
              <w:rPr>
                <w:rFonts w:ascii="Times New Roman" w:hAnsi="Times New Roman" w:eastAsia="宋体"/>
                <w:color w:val="000000" w:themeColor="text1"/>
                <w:spacing w:val="0"/>
                <w:sz w:val="24"/>
                <w:highlight w:val="none"/>
                <w14:textFill>
                  <w14:solidFill>
                    <w14:schemeClr w14:val="tx1"/>
                  </w14:solidFill>
                </w14:textFill>
              </w:rPr>
              <w:t>。</w:t>
            </w:r>
          </w:p>
          <w:p w14:paraId="78420834">
            <w:pPr>
              <w:pStyle w:val="7"/>
              <w:spacing w:after="0" w:line="360" w:lineRule="auto"/>
              <w:ind w:left="0" w:leftChars="0"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w:t>
            </w:r>
            <w:r>
              <w:rPr>
                <w:rFonts w:hint="eastAsia" w:ascii="Times New Roman" w:hAnsi="Times New Roman" w:eastAsia="宋体"/>
                <w:b/>
                <w:bCs/>
                <w:color w:val="000000" w:themeColor="text1"/>
                <w:spacing w:val="0"/>
                <w:sz w:val="24"/>
                <w:highlight w:val="none"/>
                <w14:textFill>
                  <w14:solidFill>
                    <w14:schemeClr w14:val="tx1"/>
                  </w14:solidFill>
                </w14:textFill>
              </w:rPr>
              <w:t>2</w:t>
            </w:r>
            <w:r>
              <w:rPr>
                <w:rFonts w:ascii="Times New Roman" w:hAnsi="Times New Roman" w:eastAsia="宋体"/>
                <w:b/>
                <w:bCs/>
                <w:color w:val="000000" w:themeColor="text1"/>
                <w:spacing w:val="0"/>
                <w:sz w:val="24"/>
                <w:highlight w:val="none"/>
                <w14:textFill>
                  <w14:solidFill>
                    <w14:schemeClr w14:val="tx1"/>
                  </w14:solidFill>
                </w14:textFill>
              </w:rPr>
              <w:t>）输电线路工程</w:t>
            </w:r>
          </w:p>
          <w:p w14:paraId="1841A742">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输电线路施工扬尘主要来自塔基基础开挖、平整等产生的扬尘</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本项目电缆沟采用</w:t>
            </w:r>
            <w:r>
              <w:rPr>
                <w:rFonts w:hint="eastAsia"/>
                <w:color w:val="000000" w:themeColor="text1"/>
                <w:spacing w:val="0"/>
                <w:kern w:val="0"/>
                <w:sz w:val="24"/>
                <w:highlight w:val="none"/>
                <w:lang w:eastAsia="zh-CN" w:bidi="ar"/>
                <w14:textFill>
                  <w14:solidFill>
                    <w14:schemeClr w14:val="tx1"/>
                  </w14:solidFill>
                </w14:textFill>
              </w:rPr>
              <w:t>穿管</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敷设，与传统施工方式相比，大大减少了施工作业时间，减少了施工扬尘对周围大气环境的影响</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部分</w:t>
            </w:r>
            <w:r>
              <w:rPr>
                <w:rFonts w:hint="eastAsia" w:ascii="Times New Roman" w:hAnsi="Times New Roman" w:eastAsia="宋体"/>
                <w:color w:val="000000" w:themeColor="text1"/>
                <w:spacing w:val="0"/>
                <w:sz w:val="24"/>
                <w:highlight w:val="none"/>
                <w14:textFill>
                  <w14:solidFill>
                    <w14:schemeClr w14:val="tx1"/>
                  </w14:solidFill>
                </w14:textFill>
              </w:rPr>
              <w:t>塔基</w:t>
            </w:r>
            <w:r>
              <w:rPr>
                <w:rFonts w:ascii="Times New Roman" w:hAnsi="Times New Roman" w:eastAsia="宋体"/>
                <w:color w:val="000000" w:themeColor="text1"/>
                <w:spacing w:val="0"/>
                <w:sz w:val="24"/>
                <w:highlight w:val="none"/>
                <w14:textFill>
                  <w14:solidFill>
                    <w14:schemeClr w14:val="tx1"/>
                  </w14:solidFill>
                </w14:textFill>
              </w:rPr>
              <w:t>采用</w:t>
            </w:r>
            <w:r>
              <w:rPr>
                <w:rFonts w:ascii="Times New Roman" w:hAnsi="Times New Roman" w:eastAsia="宋体"/>
                <w:bCs/>
                <w:color w:val="000000" w:themeColor="text1"/>
                <w:spacing w:val="0"/>
                <w:sz w:val="24"/>
                <w:highlight w:val="none"/>
                <w14:textFill>
                  <w14:solidFill>
                    <w14:schemeClr w14:val="tx1"/>
                  </w14:solidFill>
                </w14:textFill>
              </w:rPr>
              <w:t>灌注桩基础</w:t>
            </w:r>
            <w:r>
              <w:rPr>
                <w:rFonts w:ascii="Times New Roman" w:hAnsi="Times New Roman" w:eastAsia="宋体"/>
                <w:color w:val="000000" w:themeColor="text1"/>
                <w:spacing w:val="0"/>
                <w:sz w:val="24"/>
                <w:highlight w:val="none"/>
                <w14:textFill>
                  <w14:solidFill>
                    <w14:schemeClr w14:val="tx1"/>
                  </w14:solidFill>
                </w14:textFill>
              </w:rPr>
              <w:t>，扬尘产生量较少，基坑开挖完工后，尽快浇注商品混凝土，缩短裸露时间。本项目电缆线路采用</w:t>
            </w:r>
            <w:r>
              <w:rPr>
                <w:rFonts w:hint="eastAsia"/>
                <w:color w:val="000000" w:themeColor="text1"/>
                <w:spacing w:val="0"/>
                <w:sz w:val="24"/>
                <w:highlight w:val="none"/>
                <w:lang w:eastAsia="zh-CN"/>
                <w14:textFill>
                  <w14:solidFill>
                    <w14:schemeClr w14:val="tx1"/>
                  </w14:solidFill>
                </w14:textFill>
              </w:rPr>
              <w:t>穿管</w:t>
            </w:r>
            <w:r>
              <w:rPr>
                <w:rFonts w:ascii="Times New Roman" w:hAnsi="Times New Roman" w:eastAsia="宋体"/>
                <w:color w:val="000000" w:themeColor="text1"/>
                <w:spacing w:val="0"/>
                <w:sz w:val="24"/>
                <w:highlight w:val="none"/>
                <w14:textFill>
                  <w14:solidFill>
                    <w14:schemeClr w14:val="tx1"/>
                  </w14:solidFill>
                </w14:textFill>
              </w:rPr>
              <w:t>敷设</w:t>
            </w:r>
            <w:r>
              <w:rPr>
                <w:rFonts w:hint="eastAsia" w:ascii="Times New Roman" w:hAnsi="Times New Roman" w:eastAsia="宋体"/>
                <w:color w:val="000000" w:themeColor="text1"/>
                <w:spacing w:val="0"/>
                <w:sz w:val="24"/>
                <w:highlight w:val="none"/>
                <w14:textFill>
                  <w14:solidFill>
                    <w14:schemeClr w14:val="tx1"/>
                  </w14:solidFill>
                </w14:textFill>
              </w:rPr>
              <w:t>方式</w:t>
            </w:r>
            <w:r>
              <w:rPr>
                <w:rFonts w:ascii="Times New Roman" w:hAnsi="Times New Roman" w:eastAsia="宋体"/>
                <w:color w:val="000000" w:themeColor="text1"/>
                <w:spacing w:val="0"/>
                <w:sz w:val="24"/>
                <w:highlight w:val="none"/>
                <w14:textFill>
                  <w14:solidFill>
                    <w14:schemeClr w14:val="tx1"/>
                  </w14:solidFill>
                </w14:textFill>
              </w:rPr>
              <w:t>，且长度较短，施工作业期较短，影响区域较小，对周围环境影响只是短期的、小范围的。地下电缆施工段，设置彩钢板围挡，施工场地内临时堆土采取遮盖等措施。根据施工现场情况，</w:t>
            </w:r>
            <w:r>
              <w:rPr>
                <w:rFonts w:hint="eastAsia" w:ascii="Times New Roman" w:hAnsi="Times New Roman" w:eastAsia="宋体"/>
                <w:color w:val="000000" w:themeColor="text1"/>
                <w:spacing w:val="0"/>
                <w:sz w:val="24"/>
                <w:highlight w:val="none"/>
                <w14:textFill>
                  <w14:solidFill>
                    <w14:schemeClr w14:val="tx1"/>
                  </w14:solidFill>
                </w14:textFill>
              </w:rPr>
              <w:t>距离敏感点较近的塔基要求采取围挡措施，</w:t>
            </w:r>
            <w:r>
              <w:rPr>
                <w:rFonts w:ascii="Times New Roman" w:hAnsi="Times New Roman" w:eastAsia="宋体"/>
                <w:color w:val="000000" w:themeColor="text1"/>
                <w:spacing w:val="0"/>
                <w:sz w:val="24"/>
                <w:highlight w:val="none"/>
                <w14:textFill>
                  <w14:solidFill>
                    <w14:schemeClr w14:val="tx1"/>
                  </w14:solidFill>
                </w14:textFill>
              </w:rPr>
              <w:t>进行洒水抑尘，减少扬尘的产生。当出现风速过大或不利天气状况时应停止施工作业。如用汽车运送易起尘的土方时，要加盖篷布、控制车速，防止物料洒落和产生扬尘；卸车时应尽量减少落差，减少扬尘。</w:t>
            </w:r>
          </w:p>
          <w:p w14:paraId="29BA45E7">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4、固体废物环境影响分析</w:t>
            </w:r>
          </w:p>
          <w:p w14:paraId="6A1867DC">
            <w:pPr>
              <w:spacing w:line="360" w:lineRule="auto"/>
              <w:ind w:firstLine="48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施工期固体废物主要来源于施工过程产生的建筑垃圾（含干化泥浆、包装材料等）、施工人员产生的少量生活垃圾等。施工过程产生的建筑垃圾、生活垃圾进行分类集中收集。</w:t>
            </w:r>
          </w:p>
          <w:p w14:paraId="455564EC">
            <w:pPr>
              <w:pStyle w:val="7"/>
              <w:numPr>
                <w:ilvl w:val="0"/>
                <w:numId w:val="3"/>
              </w:numPr>
              <w:spacing w:after="0" w:line="360" w:lineRule="auto"/>
              <w:ind w:left="0" w:leftChars="0"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本项目总体挖填方平衡，无弃土产生</w:t>
            </w:r>
            <w:r>
              <w:rPr>
                <w:rFonts w:hint="eastAsia" w:ascii="Times New Roman" w:hAnsi="Times New Roman" w:eastAsia="宋体"/>
                <w:color w:val="000000" w:themeColor="text1"/>
                <w:spacing w:val="0"/>
                <w:sz w:val="24"/>
                <w:highlight w:val="none"/>
                <w14:textFill>
                  <w14:solidFill>
                    <w14:schemeClr w14:val="tx1"/>
                  </w14:solidFill>
                </w14:textFill>
              </w:rPr>
              <w:t>。</w:t>
            </w:r>
          </w:p>
          <w:p w14:paraId="780D9131">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w:t>
            </w:r>
            <w:r>
              <w:rPr>
                <w:rFonts w:hint="eastAsia" w:ascii="Times New Roman" w:hAnsi="Times New Roman" w:eastAsia="宋体"/>
                <w:color w:val="000000" w:themeColor="text1"/>
                <w:spacing w:val="0"/>
                <w:sz w:val="24"/>
                <w:highlight w:val="none"/>
                <w14:textFill>
                  <w14:solidFill>
                    <w14:schemeClr w14:val="tx1"/>
                  </w14:solidFill>
                </w14:textFill>
              </w:rPr>
              <w:t>本项目</w:t>
            </w:r>
            <w:r>
              <w:rPr>
                <w:rFonts w:hint="eastAsia"/>
                <w:color w:val="000000" w:themeColor="text1"/>
                <w:spacing w:val="0"/>
                <w:sz w:val="24"/>
                <w:highlight w:val="none"/>
                <w:lang w:val="en-US" w:eastAsia="zh-CN"/>
                <w14:textFill>
                  <w14:solidFill>
                    <w14:schemeClr w14:val="tx1"/>
                  </w14:solidFill>
                </w14:textFill>
              </w:rPr>
              <w:t>塔基施工</w:t>
            </w:r>
            <w:r>
              <w:rPr>
                <w:rFonts w:hint="eastAsia" w:ascii="Times New Roman" w:hAnsi="Times New Roman" w:eastAsia="宋体"/>
                <w:color w:val="000000" w:themeColor="text1"/>
                <w:spacing w:val="0"/>
                <w:sz w:val="24"/>
                <w:highlight w:val="none"/>
                <w14:textFill>
                  <w14:solidFill>
                    <w14:schemeClr w14:val="tx1"/>
                  </w14:solidFill>
                </w14:textFill>
              </w:rPr>
              <w:t>产生的干化泥浆可用于临时占地土地平整使用。拆除的塔基基础、废包装等建筑垃圾，项目施工单位应当编制建筑垃圾处理方案，负责运至政府部门指定的地点处置，并报县级以上政府部门备案</w:t>
            </w:r>
            <w:r>
              <w:rPr>
                <w:rFonts w:ascii="Times New Roman" w:hAnsi="Times New Roman" w:eastAsia="宋体"/>
                <w:color w:val="000000" w:themeColor="text1"/>
                <w:spacing w:val="0"/>
                <w:sz w:val="24"/>
                <w:highlight w:val="none"/>
                <w14:textFill>
                  <w14:solidFill>
                    <w14:schemeClr w14:val="tx1"/>
                  </w14:solidFill>
                </w14:textFill>
              </w:rPr>
              <w:t>。</w:t>
            </w:r>
          </w:p>
          <w:p w14:paraId="3B87EE60">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 xml:space="preserve">（3）施工期间产生的生活垃圾应进行分类收集，定期运至附近垃圾收集点，由环卫部门统一清运处置，严禁随意丢弃和堆放。 </w:t>
            </w:r>
          </w:p>
          <w:p w14:paraId="68D0B02A">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 xml:space="preserve">综上所述，本项目施工期产生的固体废物均得到了妥善的处理处置，不会对 </w:t>
            </w:r>
          </w:p>
          <w:p w14:paraId="29032C8D">
            <w:pPr>
              <w:pStyle w:val="7"/>
              <w:spacing w:after="0" w:line="360" w:lineRule="auto"/>
              <w:ind w:left="0" w:leftChars="0" w:firstLine="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周围环境产生影响。</w:t>
            </w:r>
          </w:p>
          <w:p w14:paraId="79D0E946">
            <w:pPr>
              <w:keepNext w:val="0"/>
              <w:keepLines w:val="0"/>
              <w:pageBreakBefore w:val="0"/>
              <w:kinsoku/>
              <w:wordWrap/>
              <w:overflowPunct/>
              <w:topLinePunct w:val="0"/>
              <w:autoSpaceDE/>
              <w:autoSpaceDN/>
              <w:bidi w:val="0"/>
              <w:adjustRightInd/>
              <w:spacing w:line="360" w:lineRule="auto"/>
              <w:ind w:right="0" w:firstLine="482" w:firstLineChars="200"/>
              <w:textAlignment w:val="auto"/>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5、地表水环境影响分析</w:t>
            </w:r>
          </w:p>
          <w:p w14:paraId="5E920A47">
            <w:pPr>
              <w:pStyle w:val="7"/>
              <w:keepNext w:val="0"/>
              <w:keepLines w:val="0"/>
              <w:pageBreakBefore w:val="0"/>
              <w:kinsoku/>
              <w:wordWrap/>
              <w:overflowPunct/>
              <w:topLinePunct w:val="0"/>
              <w:autoSpaceDE/>
              <w:autoSpaceDN/>
              <w:bidi w:val="0"/>
              <w:adjustRightInd/>
              <w:spacing w:after="0" w:line="360" w:lineRule="auto"/>
              <w:ind w:left="0" w:leftChars="0" w:right="0"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变电站、输电线路施工采用商品混凝土，塔基基础施工</w:t>
            </w:r>
            <w:r>
              <w:rPr>
                <w:rFonts w:hint="eastAsia" w:ascii="Times New Roman" w:hAnsi="Times New Roman" w:eastAsia="宋体"/>
                <w:color w:val="000000" w:themeColor="text1"/>
                <w:spacing w:val="0"/>
                <w:sz w:val="24"/>
                <w:highlight w:val="none"/>
                <w14:textFill>
                  <w14:solidFill>
                    <w14:schemeClr w14:val="tx1"/>
                  </w14:solidFill>
                </w14:textFill>
              </w:rPr>
              <w:t>及</w:t>
            </w:r>
            <w:r>
              <w:rPr>
                <w:rFonts w:hint="eastAsia"/>
                <w:color w:val="000000" w:themeColor="text1"/>
                <w:spacing w:val="0"/>
                <w:sz w:val="24"/>
                <w:highlight w:val="none"/>
                <w:lang w:eastAsia="zh-CN"/>
                <w14:textFill>
                  <w14:solidFill>
                    <w14:schemeClr w14:val="tx1"/>
                  </w14:solidFill>
                </w14:textFill>
              </w:rPr>
              <w:t>穿管</w:t>
            </w:r>
            <w:r>
              <w:rPr>
                <w:rFonts w:ascii="Times New Roman" w:hAnsi="Times New Roman" w:eastAsia="宋体"/>
                <w:color w:val="000000" w:themeColor="text1"/>
                <w:spacing w:val="0"/>
                <w:sz w:val="24"/>
                <w:highlight w:val="none"/>
                <w14:textFill>
                  <w14:solidFill>
                    <w14:schemeClr w14:val="tx1"/>
                  </w14:solidFill>
                </w14:textFill>
              </w:rPr>
              <w:t>施工过程中产生的施工泥浆水设置泥浆池、沉淀池处理后循环使用，不外排。施工期施工营地设置化粪池，化粪池</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应</w:t>
            </w:r>
            <w:r>
              <w:rPr>
                <w:rFonts w:ascii="Times New Roman" w:hAnsi="Times New Roman" w:eastAsia="宋体"/>
                <w:color w:val="000000" w:themeColor="text1"/>
                <w:spacing w:val="0"/>
                <w:sz w:val="24"/>
                <w:highlight w:val="none"/>
                <w14:textFill>
                  <w14:solidFill>
                    <w14:schemeClr w14:val="tx1"/>
                  </w14:solidFill>
                </w14:textFill>
              </w:rPr>
              <w:t>采取防渗措施，定期委托环卫部门进行清掏。施工期废（污）水</w:t>
            </w:r>
            <w:r>
              <w:rPr>
                <w:rFonts w:hint="eastAsia"/>
                <w:color w:val="000000" w:themeColor="text1"/>
                <w:spacing w:val="0"/>
                <w:sz w:val="24"/>
                <w:highlight w:val="none"/>
                <w:lang w:val="en-US" w:eastAsia="zh-CN"/>
                <w14:textFill>
                  <w14:solidFill>
                    <w14:schemeClr w14:val="tx1"/>
                  </w14:solidFill>
                </w14:textFill>
              </w:rPr>
              <w:t>由本项目施工营化粪池处理</w:t>
            </w:r>
            <w:r>
              <w:rPr>
                <w:rFonts w:ascii="Times New Roman" w:hAnsi="Times New Roman" w:eastAsia="宋体"/>
                <w:color w:val="000000" w:themeColor="text1"/>
                <w:spacing w:val="0"/>
                <w:sz w:val="24"/>
                <w:highlight w:val="none"/>
                <w14:textFill>
                  <w14:solidFill>
                    <w14:schemeClr w14:val="tx1"/>
                  </w14:solidFill>
                </w14:textFill>
              </w:rPr>
              <w:t>。</w:t>
            </w:r>
          </w:p>
          <w:p w14:paraId="23A13CB5">
            <w:pPr>
              <w:pStyle w:val="25"/>
              <w:keepNext w:val="0"/>
              <w:keepLines w:val="0"/>
              <w:pageBreakBefore w:val="0"/>
              <w:kinsoku/>
              <w:wordWrap/>
              <w:overflowPunct/>
              <w:topLinePunct w:val="0"/>
              <w:autoSpaceDE/>
              <w:autoSpaceDN/>
              <w:bidi w:val="0"/>
              <w:adjustRightInd/>
              <w:spacing w:before="0" w:after="0" w:line="360" w:lineRule="auto"/>
              <w:ind w:right="0" w:firstLine="480" w:firstLineChars="200"/>
              <w:jc w:val="left"/>
              <w:textAlignment w:val="auto"/>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在进行塔基基础施工</w:t>
            </w:r>
            <w:r>
              <w:rPr>
                <w:rFonts w:hint="eastAsia" w:ascii="Times New Roman" w:hAnsi="Times New Roman" w:eastAsia="宋体"/>
                <w:color w:val="000000" w:themeColor="text1"/>
                <w:spacing w:val="0"/>
                <w:sz w:val="24"/>
                <w:highlight w:val="none"/>
                <w14:textFill>
                  <w14:solidFill>
                    <w14:schemeClr w14:val="tx1"/>
                  </w14:solidFill>
                </w14:textFill>
              </w:rPr>
              <w:t>及</w:t>
            </w:r>
            <w:r>
              <w:rPr>
                <w:rFonts w:hint="eastAsia" w:ascii="Times New Roman" w:hAnsi="Times New Roman"/>
                <w:color w:val="000000" w:themeColor="text1"/>
                <w:spacing w:val="0"/>
                <w:sz w:val="24"/>
                <w:highlight w:val="none"/>
                <w:lang w:eastAsia="zh-CN"/>
                <w14:textFill>
                  <w14:solidFill>
                    <w14:schemeClr w14:val="tx1"/>
                  </w14:solidFill>
                </w14:textFill>
              </w:rPr>
              <w:t>穿管</w:t>
            </w:r>
            <w:r>
              <w:rPr>
                <w:rFonts w:hint="eastAsia" w:ascii="Times New Roman" w:hAnsi="Times New Roman" w:eastAsia="宋体"/>
                <w:color w:val="000000" w:themeColor="text1"/>
                <w:spacing w:val="0"/>
                <w:sz w:val="24"/>
                <w:highlight w:val="none"/>
                <w14:textFill>
                  <w14:solidFill>
                    <w14:schemeClr w14:val="tx1"/>
                  </w14:solidFill>
                </w14:textFill>
              </w:rPr>
              <w:t>施工</w:t>
            </w:r>
            <w:r>
              <w:rPr>
                <w:rFonts w:ascii="Times New Roman" w:hAnsi="Times New Roman" w:eastAsia="宋体"/>
                <w:color w:val="000000" w:themeColor="text1"/>
                <w:spacing w:val="0"/>
                <w:sz w:val="24"/>
                <w:highlight w:val="none"/>
                <w14:textFill>
                  <w14:solidFill>
                    <w14:schemeClr w14:val="tx1"/>
                  </w14:solidFill>
                </w14:textFill>
              </w:rPr>
              <w:t>时</w:t>
            </w:r>
            <w:r>
              <w:rPr>
                <w:rFonts w:ascii="Times New Roman" w:hAnsi="Times New Roman" w:eastAsia="宋体"/>
                <w:color w:val="000000" w:themeColor="text1"/>
                <w:spacing w:val="0"/>
                <w:sz w:val="24"/>
                <w:szCs w:val="22"/>
                <w:highlight w:val="none"/>
                <w14:textFill>
                  <w14:solidFill>
                    <w14:schemeClr w14:val="tx1"/>
                  </w14:solidFill>
                </w14:textFill>
              </w:rPr>
              <w:t>，会有少量的泥浆水产生，施工期会设置泥浆池、沉淀池来处理泥浆水，上层澄清液回用，不外排。</w:t>
            </w:r>
          </w:p>
          <w:p w14:paraId="7BA2A957">
            <w:pPr>
              <w:pStyle w:val="7"/>
              <w:keepNext w:val="0"/>
              <w:keepLines w:val="0"/>
              <w:pageBreakBefore w:val="0"/>
              <w:kinsoku/>
              <w:wordWrap/>
              <w:overflowPunct/>
              <w:topLinePunct w:val="0"/>
              <w:autoSpaceDE/>
              <w:autoSpaceDN/>
              <w:bidi w:val="0"/>
              <w:adjustRightInd/>
              <w:spacing w:after="0" w:line="360" w:lineRule="auto"/>
              <w:ind w:left="0" w:leftChars="0" w:right="0" w:firstLine="480" w:firstLineChars="200"/>
              <w:textAlignment w:val="auto"/>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综上所述，本项目施工期产生的废（污）水均得到了妥善的处理处置，不外排，对周围环境产生的影响较小。</w:t>
            </w:r>
          </w:p>
        </w:tc>
      </w:tr>
      <w:tr w14:paraId="19642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56" w:type="dxa"/>
            <w:tcMar>
              <w:left w:w="28" w:type="dxa"/>
              <w:right w:w="28" w:type="dxa"/>
            </w:tcMar>
            <w:vAlign w:val="center"/>
          </w:tcPr>
          <w:p w14:paraId="1338F884">
            <w:pPr>
              <w:pStyle w:val="23"/>
              <w:adjustRightInd w:val="0"/>
              <w:snapToGrid w:val="0"/>
              <w:spacing w:before="0" w:beforeAutospacing="0" w:after="0" w:afterAutospacing="0"/>
              <w:jc w:val="center"/>
              <w:outlineLvl w:val="9"/>
              <w:rPr>
                <w:rFonts w:ascii="Times New Roman" w:hAnsi="Times New Roman" w:eastAsia="宋体"/>
                <w:bCs/>
                <w:color w:val="000000" w:themeColor="text1"/>
                <w:spacing w:val="0"/>
                <w:kern w:val="2"/>
                <w:sz w:val="21"/>
                <w:szCs w:val="21"/>
                <w:highlight w:val="none"/>
                <w14:textFill>
                  <w14:solidFill>
                    <w14:schemeClr w14:val="tx1"/>
                  </w14:solidFill>
                </w14:textFill>
              </w:rPr>
            </w:pPr>
            <w:r>
              <w:rPr>
                <w:rFonts w:ascii="Times New Roman" w:hAnsi="Times New Roman" w:eastAsia="宋体"/>
                <w:bCs/>
                <w:color w:val="000000" w:themeColor="text1"/>
                <w:spacing w:val="0"/>
                <w:kern w:val="2"/>
                <w:highlight w:val="none"/>
                <w14:textFill>
                  <w14:solidFill>
                    <w14:schemeClr w14:val="tx1"/>
                  </w14:solidFill>
                </w14:textFill>
              </w:rPr>
              <w:t>运营期生态环境影响分析</w:t>
            </w:r>
          </w:p>
        </w:tc>
        <w:tc>
          <w:tcPr>
            <w:tcW w:w="8673" w:type="dxa"/>
          </w:tcPr>
          <w:p w14:paraId="3CBB334C">
            <w:pPr>
              <w:spacing w:line="360" w:lineRule="auto"/>
              <w:ind w:firstLine="482" w:firstLineChars="200"/>
              <w:outlineLvl w:val="9"/>
              <w:rPr>
                <w:rFonts w:hint="default" w:ascii="Times New Roman" w:hAnsi="Times New Roman" w:eastAsia="宋体" w:cs="Times New Roman"/>
                <w:b/>
                <w:bCs/>
                <w:color w:val="000000" w:themeColor="text1"/>
                <w:spacing w:val="0"/>
                <w:sz w:val="24"/>
                <w:highlight w:val="none"/>
                <w14:textFill>
                  <w14:solidFill>
                    <w14:schemeClr w14:val="tx1"/>
                  </w14:solidFill>
                </w14:textFill>
              </w:rPr>
            </w:pPr>
            <w:r>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对</w:t>
            </w:r>
            <w:r>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t>生态环境</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的影响分析</w:t>
            </w:r>
          </w:p>
          <w:p w14:paraId="02C42F0A">
            <w:pPr>
              <w:adjustRightInd w:val="0"/>
              <w:snapToGrid w:val="0"/>
              <w:spacing w:line="360" w:lineRule="auto"/>
              <w:ind w:firstLine="480"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由于在施工结束后，项目临时占地均会进行植被恢复，故在施工期损失生物物种量会有所补偿。输电线路主要为塔基占地，运行期不会阻隔动物正常活动。</w:t>
            </w:r>
            <w:r>
              <w:rPr>
                <w:rFonts w:hint="default" w:ascii="Times New Roman" w:hAnsi="Times New Roman" w:eastAsia="宋体" w:cs="Times New Roman"/>
                <w:color w:val="000000" w:themeColor="text1"/>
                <w:spacing w:val="0"/>
                <w:w w:val="100"/>
                <w:position w:val="0"/>
                <w:sz w:val="24"/>
                <w:highlight w:val="none"/>
                <w14:textFill>
                  <w14:solidFill>
                    <w14:schemeClr w14:val="tx1"/>
                  </w14:solidFill>
                </w14:textFill>
              </w:rPr>
              <w:t>线路巡检人员，沿固定巡检道路行驶，定期对沿线生态保护和防护措施进行检查，跟踪生态保护与恢复效果</w:t>
            </w:r>
            <w:r>
              <w:rPr>
                <w:rFonts w:hint="default" w:ascii="Times New Roman" w:hAnsi="Times New Roman" w:eastAsia="宋体" w:cs="Times New Roman"/>
                <w:color w:val="000000" w:themeColor="text1"/>
                <w:spacing w:val="0"/>
                <w:w w:val="100"/>
                <w:positio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因此，运行期随着临时占地的逐步恢复，运行期对生态环境的影响很小。</w:t>
            </w:r>
          </w:p>
          <w:p w14:paraId="0BA29B00">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2</w:t>
            </w:r>
            <w:r>
              <w:rPr>
                <w:rFonts w:ascii="Times New Roman" w:hAnsi="Times New Roman" w:eastAsia="宋体"/>
                <w:b/>
                <w:bCs/>
                <w:color w:val="000000" w:themeColor="text1"/>
                <w:spacing w:val="0"/>
                <w:sz w:val="24"/>
                <w:highlight w:val="none"/>
                <w14:textFill>
                  <w14:solidFill>
                    <w14:schemeClr w14:val="tx1"/>
                  </w14:solidFill>
                </w14:textFill>
              </w:rPr>
              <w:t>、电磁环境影响分析</w:t>
            </w:r>
          </w:p>
          <w:p w14:paraId="7821079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根据《环境影响评价技术导则 输变电》（HJ24-2020），</w:t>
            </w:r>
            <w:r>
              <w:rPr>
                <w:rFonts w:hint="eastAsia"/>
                <w:color w:val="000000" w:themeColor="text1"/>
                <w:spacing w:val="0"/>
                <w:sz w:val="24"/>
                <w:highlight w:val="none"/>
                <w:lang w:val="en-US" w:eastAsia="zh-CN"/>
                <w14:textFill>
                  <w14:solidFill>
                    <w14:schemeClr w14:val="tx1"/>
                  </w14:solidFill>
                </w14:textFill>
              </w:rPr>
              <w:t>项目</w:t>
            </w:r>
            <w:r>
              <w:rPr>
                <w:rFonts w:hint="eastAsia" w:ascii="Times New Roman" w:hAnsi="Times New Roman" w:eastAsia="宋体"/>
                <w:color w:val="000000" w:themeColor="text1"/>
                <w:spacing w:val="0"/>
                <w:sz w:val="24"/>
                <w:highlight w:val="none"/>
                <w14:textFill>
                  <w14:solidFill>
                    <w14:schemeClr w14:val="tx1"/>
                  </w14:solidFill>
                </w14:textFill>
              </w:rPr>
              <w:t>变电站、电缆</w:t>
            </w:r>
            <w:r>
              <w:rPr>
                <w:rFonts w:hint="eastAsia"/>
                <w:color w:val="000000" w:themeColor="text1"/>
                <w:spacing w:val="0"/>
                <w:sz w:val="24"/>
                <w:highlight w:val="none"/>
                <w:lang w:val="en-US" w:eastAsia="zh-CN"/>
                <w14:textFill>
                  <w14:solidFill>
                    <w14:schemeClr w14:val="tx1"/>
                  </w14:solidFill>
                </w14:textFill>
              </w:rPr>
              <w:t>线路</w:t>
            </w:r>
            <w:r>
              <w:rPr>
                <w:rFonts w:hint="eastAsia" w:ascii="Times New Roman" w:hAnsi="Times New Roman" w:eastAsia="宋体"/>
                <w:color w:val="000000" w:themeColor="text1"/>
                <w:spacing w:val="0"/>
                <w:sz w:val="24"/>
                <w:highlight w:val="none"/>
                <w14:textFill>
                  <w14:solidFill>
                    <w14:schemeClr w14:val="tx1"/>
                  </w14:solidFill>
                </w14:textFill>
              </w:rPr>
              <w:t>采用类比</w:t>
            </w:r>
            <w:r>
              <w:rPr>
                <w:rFonts w:hint="eastAsia"/>
                <w:color w:val="000000" w:themeColor="text1"/>
                <w:spacing w:val="0"/>
                <w:sz w:val="24"/>
                <w:highlight w:val="none"/>
                <w:lang w:val="en-US" w:eastAsia="zh-CN"/>
                <w14:textFill>
                  <w14:solidFill>
                    <w14:schemeClr w14:val="tx1"/>
                  </w14:solidFill>
                </w14:textFill>
              </w:rPr>
              <w:t>预测</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架空</w:t>
            </w:r>
            <w:r>
              <w:rPr>
                <w:rFonts w:hint="eastAsia" w:ascii="Times New Roman" w:hAnsi="Times New Roman" w:eastAsia="宋体"/>
                <w:color w:val="000000" w:themeColor="text1"/>
                <w:spacing w:val="0"/>
                <w:sz w:val="24"/>
                <w:highlight w:val="none"/>
                <w14:textFill>
                  <w14:solidFill>
                    <w14:schemeClr w14:val="tx1"/>
                  </w14:solidFill>
                </w14:textFill>
              </w:rPr>
              <w:t>线路采用模式预测</w:t>
            </w:r>
            <w:r>
              <w:rPr>
                <w:rFonts w:hint="eastAsia"/>
                <w:color w:val="000000" w:themeColor="text1"/>
                <w:spacing w:val="0"/>
                <w:sz w:val="24"/>
                <w:highlight w:val="none"/>
                <w:lang w:val="en-US" w:eastAsia="zh-CN"/>
                <w14:textFill>
                  <w14:solidFill>
                    <w14:schemeClr w14:val="tx1"/>
                  </w14:solidFill>
                </w14:textFill>
              </w:rPr>
              <w:t>的方式。</w:t>
            </w:r>
          </w:p>
          <w:p w14:paraId="262C4B33">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（1）变电站工程</w:t>
            </w:r>
          </w:p>
          <w:p w14:paraId="0C4DB162">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根据类比监测结果可知，本项目变电站建成运行后产生的工频电场强度、工频磁感应强度均小于《电磁环境控制限值》（GB8702-2014）中规定的4000V/m和100μT标准限值。</w:t>
            </w:r>
          </w:p>
          <w:p w14:paraId="3C6B3DFE">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w:t>
            </w:r>
            <w:r>
              <w:rPr>
                <w:rFonts w:hint="eastAsia" w:ascii="Times New Roman" w:hAnsi="Times New Roman" w:eastAsia="宋体"/>
                <w:b/>
                <w:bCs/>
                <w:color w:val="000000" w:themeColor="text1"/>
                <w:spacing w:val="0"/>
                <w:sz w:val="24"/>
                <w:highlight w:val="none"/>
                <w14:textFill>
                  <w14:solidFill>
                    <w14:schemeClr w14:val="tx1"/>
                  </w14:solidFill>
                </w14:textFill>
              </w:rPr>
              <w:t>2</w:t>
            </w:r>
            <w:r>
              <w:rPr>
                <w:rFonts w:ascii="Times New Roman" w:hAnsi="Times New Roman" w:eastAsia="宋体"/>
                <w:b/>
                <w:bCs/>
                <w:color w:val="000000" w:themeColor="text1"/>
                <w:spacing w:val="0"/>
                <w:sz w:val="24"/>
                <w:highlight w:val="none"/>
                <w14:textFill>
                  <w14:solidFill>
                    <w14:schemeClr w14:val="tx1"/>
                  </w14:solidFill>
                </w14:textFill>
              </w:rPr>
              <w:t>）输电线路工程</w:t>
            </w:r>
          </w:p>
          <w:p w14:paraId="79361F66">
            <w:pPr>
              <w:pStyle w:val="7"/>
              <w:spacing w:after="0" w:line="360" w:lineRule="auto"/>
              <w:ind w:left="0" w:leftChars="0"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根据类比监测结果，可预测本项目</w:t>
            </w:r>
            <w:r>
              <w:rPr>
                <w:rFonts w:ascii="Times New Roman" w:hAnsi="Times New Roman" w:eastAsia="宋体"/>
                <w:bCs/>
                <w:color w:val="000000" w:themeColor="text1"/>
                <w:spacing w:val="0"/>
                <w:sz w:val="24"/>
                <w:highlight w:val="none"/>
                <w14:textFill>
                  <w14:solidFill>
                    <w14:schemeClr w14:val="tx1"/>
                  </w14:solidFill>
                </w14:textFill>
              </w:rPr>
              <w:t>地下电缆，</w:t>
            </w:r>
            <w:r>
              <w:rPr>
                <w:rFonts w:ascii="Times New Roman" w:hAnsi="Times New Roman" w:eastAsia="宋体"/>
                <w:color w:val="000000" w:themeColor="text1"/>
                <w:spacing w:val="0"/>
                <w:sz w:val="24"/>
                <w:highlight w:val="none"/>
                <w14:textFill>
                  <w14:solidFill>
                    <w14:schemeClr w14:val="tx1"/>
                  </w14:solidFill>
                </w14:textFill>
              </w:rPr>
              <w:t>正常运行状态下产生的工频电场强度和工频磁感应强度远低于《电磁环境控制限值》（GB8702-2014）中规定的4000V/m和100μT标准限值，其电磁影响对周围环境很小。</w:t>
            </w:r>
            <w:r>
              <w:rPr>
                <w:rFonts w:hint="eastAsia" w:ascii="Times New Roman" w:hAnsi="Times New Roman" w:eastAsia="宋体"/>
                <w:color w:val="000000" w:themeColor="text1"/>
                <w:spacing w:val="0"/>
                <w:sz w:val="24"/>
                <w:highlight w:val="none"/>
                <w14:textFill>
                  <w14:solidFill>
                    <w14:schemeClr w14:val="tx1"/>
                  </w14:solidFill>
                </w14:textFill>
              </w:rPr>
              <w:t>根据模式预测结果，本项目单回路架空线路、双回路架空线路正常运行状态下，</w:t>
            </w:r>
            <w:r>
              <w:rPr>
                <w:rFonts w:ascii="Times New Roman" w:hAnsi="Times New Roman" w:eastAsia="宋体"/>
                <w:color w:val="000000" w:themeColor="text1"/>
                <w:spacing w:val="0"/>
                <w:sz w:val="24"/>
                <w:highlight w:val="none"/>
                <w14:textFill>
                  <w14:solidFill>
                    <w14:schemeClr w14:val="tx1"/>
                  </w14:solidFill>
                </w14:textFill>
              </w:rPr>
              <w:t>在经过非居民区产生的</w:t>
            </w:r>
            <w:r>
              <w:rPr>
                <w:rFonts w:ascii="Times New Roman" w:hAnsi="Times New Roman" w:eastAsia="宋体"/>
                <w:bCs/>
                <w:color w:val="000000" w:themeColor="text1"/>
                <w:spacing w:val="0"/>
                <w:sz w:val="24"/>
                <w:highlight w:val="none"/>
                <w14:textFill>
                  <w14:solidFill>
                    <w14:schemeClr w14:val="tx1"/>
                  </w14:solidFill>
                </w14:textFill>
              </w:rPr>
              <w:t>工频电场强度、工频磁感应强度均</w:t>
            </w:r>
            <w:r>
              <w:rPr>
                <w:rFonts w:ascii="Times New Roman" w:hAnsi="Times New Roman" w:eastAsia="宋体"/>
                <w:color w:val="000000" w:themeColor="text1"/>
                <w:spacing w:val="0"/>
                <w:sz w:val="24"/>
                <w:highlight w:val="none"/>
                <w14:textFill>
                  <w14:solidFill>
                    <w14:schemeClr w14:val="tx1"/>
                  </w14:solidFill>
                </w14:textFill>
              </w:rPr>
              <w:t>小于《电磁环境控制限值》（GB8702-2014）规定的公众曝露控制限值工频电场强度10kV/m（线路经过道路等场所）</w:t>
            </w:r>
            <w:r>
              <w:rPr>
                <w:rFonts w:ascii="Times New Roman" w:hAnsi="Times New Roman" w:eastAsia="宋体"/>
                <w:bCs/>
                <w:color w:val="000000" w:themeColor="text1"/>
                <w:spacing w:val="0"/>
                <w:sz w:val="24"/>
                <w:highlight w:val="none"/>
                <w14:textFill>
                  <w14:solidFill>
                    <w14:schemeClr w14:val="tx1"/>
                  </w14:solidFill>
                </w14:textFill>
              </w:rPr>
              <w:t>公众曝露控制限值工频磁感应强度100μT的标准限值，</w:t>
            </w:r>
            <w:r>
              <w:rPr>
                <w:rFonts w:ascii="Times New Roman" w:hAnsi="Times New Roman" w:eastAsia="宋体"/>
                <w:color w:val="000000" w:themeColor="text1"/>
                <w:spacing w:val="0"/>
                <w:sz w:val="24"/>
                <w:highlight w:val="none"/>
                <w14:textFill>
                  <w14:solidFill>
                    <w14:schemeClr w14:val="tx1"/>
                  </w14:solidFill>
                </w14:textFill>
              </w:rPr>
              <w:t>在经过居民区产生的</w:t>
            </w:r>
            <w:r>
              <w:rPr>
                <w:rFonts w:ascii="Times New Roman" w:hAnsi="Times New Roman" w:eastAsia="宋体"/>
                <w:bCs/>
                <w:color w:val="000000" w:themeColor="text1"/>
                <w:spacing w:val="0"/>
                <w:sz w:val="24"/>
                <w:highlight w:val="none"/>
                <w14:textFill>
                  <w14:solidFill>
                    <w14:schemeClr w14:val="tx1"/>
                  </w14:solidFill>
                </w14:textFill>
              </w:rPr>
              <w:t>工频电场强度、工频磁感应强度均</w:t>
            </w:r>
            <w:r>
              <w:rPr>
                <w:rFonts w:ascii="Times New Roman" w:hAnsi="Times New Roman" w:eastAsia="宋体"/>
                <w:color w:val="000000" w:themeColor="text1"/>
                <w:spacing w:val="0"/>
                <w:sz w:val="24"/>
                <w:highlight w:val="none"/>
                <w14:textFill>
                  <w14:solidFill>
                    <w14:schemeClr w14:val="tx1"/>
                  </w14:solidFill>
                </w14:textFill>
              </w:rPr>
              <w:t>小于《电磁环境控制限值》（GB8702-2014）规定的公众曝露控制限值工频电场强度4000V/m，10kV/m（线路经过道路等场所）</w:t>
            </w:r>
            <w:r>
              <w:rPr>
                <w:rFonts w:ascii="Times New Roman" w:hAnsi="Times New Roman" w:eastAsia="宋体"/>
                <w:bCs/>
                <w:color w:val="000000" w:themeColor="text1"/>
                <w:spacing w:val="0"/>
                <w:sz w:val="24"/>
                <w:highlight w:val="none"/>
                <w14:textFill>
                  <w14:solidFill>
                    <w14:schemeClr w14:val="tx1"/>
                  </w14:solidFill>
                </w14:textFill>
              </w:rPr>
              <w:t>公众曝露控制限值工频磁感应强度100μT的标准限值。</w:t>
            </w:r>
          </w:p>
          <w:p w14:paraId="2C5F7C0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综上所述，本项目运行后对周围电磁环境影响很小。具体电磁环境影响预测评价详见本报告电磁环境影响专题评价。</w:t>
            </w:r>
          </w:p>
          <w:p w14:paraId="6624CDDC">
            <w:pPr>
              <w:tabs>
                <w:tab w:val="center" w:pos="4409"/>
              </w:tabs>
              <w:spacing w:line="360" w:lineRule="auto"/>
              <w:ind w:firstLine="477" w:firstLineChars="198"/>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3</w:t>
            </w:r>
            <w:r>
              <w:rPr>
                <w:rFonts w:ascii="Times New Roman" w:hAnsi="Times New Roman" w:eastAsia="宋体"/>
                <w:b/>
                <w:bCs/>
                <w:color w:val="000000" w:themeColor="text1"/>
                <w:spacing w:val="0"/>
                <w:sz w:val="24"/>
                <w:highlight w:val="none"/>
                <w14:textFill>
                  <w14:solidFill>
                    <w14:schemeClr w14:val="tx1"/>
                  </w14:solidFill>
                </w14:textFill>
              </w:rPr>
              <w:t>、声环境影响分析</w:t>
            </w:r>
            <w:r>
              <w:rPr>
                <w:rFonts w:ascii="Times New Roman" w:hAnsi="Times New Roman" w:eastAsia="宋体"/>
                <w:color w:val="000000" w:themeColor="text1"/>
                <w:spacing w:val="0"/>
                <w:sz w:val="24"/>
                <w:highlight w:val="none"/>
                <w14:textFill>
                  <w14:solidFill>
                    <w14:schemeClr w14:val="tx1"/>
                  </w14:solidFill>
                </w14:textFill>
              </w:rPr>
              <w:tab/>
            </w:r>
          </w:p>
          <w:p w14:paraId="2CFA642A">
            <w:pPr>
              <w:adjustRightInd w:val="0"/>
              <w:snapToGrid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根据《环境影响评价技术导则 输变电》（HJ24-2020），本项目新建</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三岔</w:t>
            </w:r>
            <w:r>
              <w:rPr>
                <w:rFonts w:hint="eastAsia" w:ascii="Times New Roman" w:hAnsi="Times New Roman" w:eastAsia="宋体"/>
                <w:color w:val="000000" w:themeColor="text1"/>
                <w:spacing w:val="0"/>
                <w:sz w:val="24"/>
                <w:highlight w:val="none"/>
                <w14:textFill>
                  <w14:solidFill>
                    <w14:schemeClr w14:val="tx1"/>
                  </w14:solidFill>
                </w14:textFill>
              </w:rPr>
              <w:t>110kV</w:t>
            </w:r>
            <w:r>
              <w:rPr>
                <w:rFonts w:ascii="Times New Roman" w:hAnsi="Times New Roman" w:eastAsia="宋体"/>
                <w:color w:val="000000" w:themeColor="text1"/>
                <w:spacing w:val="0"/>
                <w:sz w:val="24"/>
                <w:highlight w:val="none"/>
                <w14:textFill>
                  <w14:solidFill>
                    <w14:schemeClr w14:val="tx1"/>
                  </w14:solidFill>
                </w14:textFill>
              </w:rPr>
              <w:t>变电站的声环境影响采用模式预测的方式；</w:t>
            </w:r>
            <w:r>
              <w:rPr>
                <w:rFonts w:hint="eastAsia" w:ascii="Times New Roman" w:hAnsi="Times New Roman" w:eastAsia="宋体"/>
                <w:color w:val="000000" w:themeColor="text1"/>
                <w:spacing w:val="0"/>
                <w:sz w:val="24"/>
                <w:highlight w:val="none"/>
                <w14:textFill>
                  <w14:solidFill>
                    <w14:schemeClr w14:val="tx1"/>
                  </w14:solidFill>
                </w14:textFill>
              </w:rPr>
              <w:t>本项目双回路、单回路架空线均采用类比</w:t>
            </w:r>
            <w:r>
              <w:rPr>
                <w:rFonts w:hint="eastAsia"/>
                <w:color w:val="000000" w:themeColor="text1"/>
                <w:spacing w:val="0"/>
                <w:sz w:val="24"/>
                <w:highlight w:val="none"/>
                <w:lang w:val="en-US" w:eastAsia="zh-CN"/>
                <w14:textFill>
                  <w14:solidFill>
                    <w14:schemeClr w14:val="tx1"/>
                  </w14:solidFill>
                </w14:textFill>
              </w:rPr>
              <w:t>预测</w:t>
            </w:r>
            <w:r>
              <w:rPr>
                <w:rFonts w:hint="eastAsia" w:ascii="Times New Roman" w:hAnsi="Times New Roman" w:eastAsia="宋体"/>
                <w:color w:val="000000" w:themeColor="text1"/>
                <w:spacing w:val="0"/>
                <w:sz w:val="24"/>
                <w:highlight w:val="none"/>
                <w14:textFill>
                  <w14:solidFill>
                    <w14:schemeClr w14:val="tx1"/>
                  </w14:solidFill>
                </w14:textFill>
              </w:rPr>
              <w:t>方式，</w:t>
            </w:r>
            <w:r>
              <w:rPr>
                <w:rFonts w:ascii="Times New Roman" w:hAnsi="Times New Roman" w:eastAsia="宋体"/>
                <w:color w:val="000000" w:themeColor="text1"/>
                <w:spacing w:val="0"/>
                <w:sz w:val="24"/>
                <w:highlight w:val="none"/>
                <w14:textFill>
                  <w14:solidFill>
                    <w14:schemeClr w14:val="tx1"/>
                  </w14:solidFill>
                </w14:textFill>
              </w:rPr>
              <w:t>由类比</w:t>
            </w:r>
            <w:r>
              <w:rPr>
                <w:rFonts w:hint="eastAsia" w:ascii="Times New Roman" w:hAnsi="Times New Roman" w:eastAsia="宋体"/>
                <w:color w:val="000000" w:themeColor="text1"/>
                <w:spacing w:val="0"/>
                <w:sz w:val="24"/>
                <w:highlight w:val="none"/>
                <w14:textFill>
                  <w14:solidFill>
                    <w14:schemeClr w14:val="tx1"/>
                  </w14:solidFill>
                </w14:textFill>
              </w:rPr>
              <w:t>结果可知，</w:t>
            </w:r>
            <w:r>
              <w:rPr>
                <w:rFonts w:ascii="Times New Roman" w:hAnsi="Times New Roman" w:eastAsia="宋体"/>
                <w:color w:val="000000" w:themeColor="text1"/>
                <w:spacing w:val="0"/>
                <w:sz w:val="24"/>
                <w:highlight w:val="none"/>
                <w14:textFill>
                  <w14:solidFill>
                    <w14:schemeClr w14:val="tx1"/>
                  </w14:solidFill>
                </w14:textFill>
              </w:rPr>
              <w:t>本项目输电线路投运后，产生的噪声贡献值也满足《声环境质量标准》（GB3096-2008）中相应声环境功能区标准限值要求。</w:t>
            </w:r>
            <w:r>
              <w:rPr>
                <w:rFonts w:hint="eastAsia" w:ascii="Times New Roman" w:hAnsi="Times New Roman" w:eastAsia="宋体"/>
                <w:color w:val="000000" w:themeColor="text1"/>
                <w:spacing w:val="0"/>
                <w:sz w:val="24"/>
                <w:highlight w:val="none"/>
                <w14:textFill>
                  <w14:solidFill>
                    <w14:schemeClr w14:val="tx1"/>
                  </w14:solidFill>
                </w14:textFill>
              </w:rPr>
              <w:t>本项目</w:t>
            </w:r>
            <w:r>
              <w:rPr>
                <w:rFonts w:ascii="Times New Roman" w:hAnsi="Times New Roman" w:eastAsia="宋体"/>
                <w:color w:val="000000" w:themeColor="text1"/>
                <w:spacing w:val="0"/>
                <w:sz w:val="24"/>
                <w:highlight w:val="none"/>
                <w14:textFill>
                  <w14:solidFill>
                    <w14:schemeClr w14:val="tx1"/>
                  </w14:solidFill>
                </w14:textFill>
              </w:rPr>
              <w:t>新建110kV电缆线路不进行声环境影响预测分析。</w:t>
            </w:r>
          </w:p>
          <w:p w14:paraId="1CE160AC">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三岔</w:t>
            </w:r>
            <w:r>
              <w:rPr>
                <w:rFonts w:ascii="Times New Roman" w:hAnsi="Times New Roman" w:eastAsia="宋体"/>
                <w:b/>
                <w:bCs/>
                <w:color w:val="000000" w:themeColor="text1"/>
                <w:spacing w:val="0"/>
                <w:sz w:val="24"/>
                <w:highlight w:val="none"/>
                <w14:textFill>
                  <w14:solidFill>
                    <w14:schemeClr w14:val="tx1"/>
                  </w14:solidFill>
                </w14:textFill>
              </w:rPr>
              <w:t>110kV变电站工程</w:t>
            </w:r>
          </w:p>
          <w:p w14:paraId="62403E25">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采用《环境影响评价技术导则 声环境》（HJ2.4-2021）中</w:t>
            </w:r>
            <w:r>
              <w:rPr>
                <w:rFonts w:hint="eastAsia" w:ascii="Times New Roman" w:hAnsi="Times New Roman" w:eastAsia="宋体"/>
                <w:color w:val="000000" w:themeColor="text1"/>
                <w:spacing w:val="0"/>
                <w:sz w:val="24"/>
                <w:highlight w:val="none"/>
                <w14:textFill>
                  <w14:solidFill>
                    <w14:schemeClr w14:val="tx1"/>
                  </w14:solidFill>
                </w14:textFill>
              </w:rPr>
              <w:t>点声源几何发散衰减模式预测，预测公式如下</w:t>
            </w:r>
            <w:r>
              <w:rPr>
                <w:rFonts w:ascii="Times New Roman" w:hAnsi="Times New Roman" w:eastAsia="宋体"/>
                <w:color w:val="000000" w:themeColor="text1"/>
                <w:spacing w:val="0"/>
                <w:sz w:val="24"/>
                <w:highlight w:val="none"/>
                <w14:textFill>
                  <w14:solidFill>
                    <w14:schemeClr w14:val="tx1"/>
                  </w14:solidFill>
                </w14:textFill>
              </w:rPr>
              <w:t>：</w:t>
            </w:r>
          </w:p>
          <w:p w14:paraId="559CFEFC">
            <w:pPr>
              <w:spacing w:line="360" w:lineRule="auto"/>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drawing>
                <wp:inline distT="0" distB="0" distL="114300" distR="114300">
                  <wp:extent cx="2105025" cy="344805"/>
                  <wp:effectExtent l="0" t="0" r="9525" b="17145"/>
                  <wp:docPr id="96" name="图片 2" descr="1597216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 descr="1597216138(1)"/>
                          <pic:cNvPicPr>
                            <a:picLocks noChangeAspect="1"/>
                          </pic:cNvPicPr>
                        </pic:nvPicPr>
                        <pic:blipFill>
                          <a:blip r:embed="rId17"/>
                          <a:stretch>
                            <a:fillRect/>
                          </a:stretch>
                        </pic:blipFill>
                        <pic:spPr>
                          <a:xfrm>
                            <a:off x="0" y="0"/>
                            <a:ext cx="2105025" cy="344805"/>
                          </a:xfrm>
                          <a:prstGeom prst="rect">
                            <a:avLst/>
                          </a:prstGeom>
                          <a:noFill/>
                          <a:ln>
                            <a:noFill/>
                          </a:ln>
                        </pic:spPr>
                      </pic:pic>
                    </a:graphicData>
                  </a:graphic>
                </wp:inline>
              </w:drawing>
            </w:r>
          </w:p>
          <w:p w14:paraId="6A9591FE">
            <w:pPr>
              <w:spacing w:line="360" w:lineRule="auto"/>
              <w:ind w:firstLine="1195" w:firstLineChars="498"/>
              <w:outlineLvl w:val="9"/>
              <w:rPr>
                <w:rFonts w:hint="eastAsia"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式中：Lp(r)---噪声源在预测点的声压级，dB(A)；</w:t>
            </w:r>
          </w:p>
          <w:p w14:paraId="73A0D914">
            <w:pPr>
              <w:spacing w:line="360" w:lineRule="auto"/>
              <w:ind w:firstLine="1195" w:firstLineChars="498"/>
              <w:outlineLvl w:val="9"/>
              <w:rPr>
                <w:rFonts w:hint="eastAsia"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Lp(r0)---参考位置r0处的声压级，dB(A)；</w:t>
            </w:r>
          </w:p>
          <w:p w14:paraId="16CEA28B">
            <w:pPr>
              <w:spacing w:line="360" w:lineRule="auto"/>
              <w:ind w:firstLine="1195" w:firstLineChars="498"/>
              <w:outlineLvl w:val="9"/>
              <w:rPr>
                <w:rFonts w:hint="eastAsia"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r---声源中心至预测点的距离，m；</w:t>
            </w:r>
          </w:p>
          <w:p w14:paraId="415C7328">
            <w:pPr>
              <w:spacing w:line="360" w:lineRule="auto"/>
              <w:ind w:firstLine="1195" w:firstLineChars="498"/>
              <w:outlineLvl w:val="9"/>
              <w:rPr>
                <w:rFonts w:hint="eastAsia"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r0---参考位置距声源中心的距离，m；</w:t>
            </w:r>
          </w:p>
          <w:p w14:paraId="73DBDB59">
            <w:pPr>
              <w:spacing w:line="360" w:lineRule="auto"/>
              <w:ind w:firstLine="1195" w:firstLineChars="498"/>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△L---各种因素引起的声衰减量（如声屏障，遮挡物，空气吸收，地面吸收等引起的声衰减），项目变电站围墙有隔声作用，本次评价取10dB(A)</w:t>
            </w:r>
            <w:r>
              <w:rPr>
                <w:rFonts w:ascii="Times New Roman" w:hAnsi="Times New Roman" w:eastAsia="宋体"/>
                <w:color w:val="000000" w:themeColor="text1"/>
                <w:spacing w:val="0"/>
                <w:sz w:val="24"/>
                <w:highlight w:val="none"/>
                <w14:textFill>
                  <w14:solidFill>
                    <w14:schemeClr w14:val="tx1"/>
                  </w14:solidFill>
                </w14:textFill>
              </w:rPr>
              <w:t>。</w:t>
            </w:r>
          </w:p>
          <w:p w14:paraId="547AE755">
            <w:pPr>
              <w:spacing w:line="360" w:lineRule="auto"/>
              <w:ind w:firstLine="475" w:firstLineChars="198"/>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（2）预测内容</w:t>
            </w:r>
          </w:p>
          <w:p w14:paraId="0A09876B">
            <w:pPr>
              <w:spacing w:line="360" w:lineRule="auto"/>
              <w:ind w:firstLine="475" w:firstLineChars="198"/>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①噪声源强</w:t>
            </w:r>
          </w:p>
          <w:p w14:paraId="2A9CB7B0">
            <w:pPr>
              <w:spacing w:line="360" w:lineRule="auto"/>
              <w:ind w:firstLine="475" w:firstLineChars="198"/>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本期变电站运行期间的噪声主要来自主变压器、接地变（站用变压器）。预测模型将主变压器、接地变（站用变压器）等效为点声源计算。根据《变电站噪声控制技术导则》（DL/T1518-2016），</w:t>
            </w:r>
            <w:r>
              <w:rPr>
                <w:rFonts w:ascii="Times New Roman" w:hAnsi="Times New Roman" w:eastAsia="宋体"/>
                <w:color w:val="000000" w:themeColor="text1"/>
                <w:spacing w:val="0"/>
                <w:sz w:val="24"/>
                <w:highlight w:val="none"/>
                <w14:textFill>
                  <w14:solidFill>
                    <w14:schemeClr w14:val="tx1"/>
                  </w14:solidFill>
                </w14:textFill>
              </w:rPr>
              <w:t>变电站本期主要设备噪声源强具体见表4-</w:t>
            </w:r>
            <w:r>
              <w:rPr>
                <w:rFonts w:hint="eastAsia" w:ascii="Times New Roman" w:hAnsi="Times New Roman" w:eastAsia="宋体"/>
                <w:color w:val="000000" w:themeColor="text1"/>
                <w:spacing w:val="0"/>
                <w:sz w:val="24"/>
                <w:highlight w:val="none"/>
                <w14:textFill>
                  <w14:solidFill>
                    <w14:schemeClr w14:val="tx1"/>
                  </w14:solidFill>
                </w14:textFill>
              </w:rPr>
              <w:t>4</w:t>
            </w:r>
            <w:r>
              <w:rPr>
                <w:rFonts w:ascii="Times New Roman" w:hAnsi="Times New Roman" w:eastAsia="宋体"/>
                <w:color w:val="000000" w:themeColor="text1"/>
                <w:spacing w:val="0"/>
                <w:sz w:val="24"/>
                <w:highlight w:val="none"/>
                <w14:textFill>
                  <w14:solidFill>
                    <w14:schemeClr w14:val="tx1"/>
                  </w14:solidFill>
                </w14:textFill>
              </w:rPr>
              <w:t>。</w:t>
            </w:r>
          </w:p>
          <w:p w14:paraId="593FAE08">
            <w:pPr>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ascii="Times New Roman" w:hAnsi="Times New Roman" w:eastAsia="宋体"/>
                <w:b/>
                <w:bCs/>
                <w:color w:val="000000" w:themeColor="text1"/>
                <w:spacing w:val="0"/>
                <w:sz w:val="24"/>
                <w:highlight w:val="none"/>
                <w14:textFill>
                  <w14:solidFill>
                    <w14:schemeClr w14:val="tx1"/>
                  </w14:solidFill>
                </w14:textFill>
              </w:rPr>
              <w:t>4</w:t>
            </w:r>
            <w:r>
              <w:rPr>
                <w:rFonts w:ascii="Times New Roman" w:hAnsi="Times New Roman" w:eastAsia="宋体"/>
                <w:b/>
                <w:bCs/>
                <w:color w:val="000000" w:themeColor="text1"/>
                <w:spacing w:val="0"/>
                <w:sz w:val="24"/>
                <w:highlight w:val="none"/>
                <w14:textFill>
                  <w14:solidFill>
                    <w14:schemeClr w14:val="tx1"/>
                  </w14:solidFill>
                </w14:textFill>
              </w:rPr>
              <w:t xml:space="preserve">  变电站本期主要设备噪声源强一览表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549"/>
              <w:gridCol w:w="720"/>
              <w:gridCol w:w="681"/>
              <w:gridCol w:w="726"/>
              <w:gridCol w:w="1506"/>
              <w:gridCol w:w="828"/>
              <w:gridCol w:w="770"/>
              <w:gridCol w:w="830"/>
            </w:tblGrid>
            <w:tr w14:paraId="14E7C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88" w:type="dxa"/>
                  <w:vMerge w:val="restart"/>
                  <w:tcBorders>
                    <w:tl2br w:val="nil"/>
                    <w:tr2bl w:val="nil"/>
                  </w:tcBorders>
                  <w:noWrap w:val="0"/>
                  <w:vAlign w:val="center"/>
                </w:tcPr>
                <w:p w14:paraId="2A1655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序号</w:t>
                  </w:r>
                </w:p>
              </w:tc>
              <w:tc>
                <w:tcPr>
                  <w:tcW w:w="1549" w:type="dxa"/>
                  <w:vMerge w:val="restart"/>
                  <w:tcBorders>
                    <w:tl2br w:val="nil"/>
                    <w:tr2bl w:val="nil"/>
                  </w:tcBorders>
                  <w:noWrap w:val="0"/>
                  <w:vAlign w:val="center"/>
                </w:tcPr>
                <w:p w14:paraId="153A46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声源名称</w:t>
                  </w:r>
                </w:p>
              </w:tc>
              <w:tc>
                <w:tcPr>
                  <w:tcW w:w="2127" w:type="dxa"/>
                  <w:gridSpan w:val="3"/>
                  <w:tcBorders>
                    <w:tl2br w:val="nil"/>
                    <w:tr2bl w:val="nil"/>
                  </w:tcBorders>
                  <w:noWrap w:val="0"/>
                  <w:vAlign w:val="center"/>
                </w:tcPr>
                <w:p w14:paraId="6EAA39A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中心坐标</w:t>
                  </w:r>
                  <w:r>
                    <w:rPr>
                      <w:rFonts w:hint="eastAsia" w:cs="Times New Roman"/>
                      <w:b/>
                      <w:bCs/>
                      <w:color w:val="000000" w:themeColor="text1"/>
                      <w:sz w:val="21"/>
                      <w:szCs w:val="21"/>
                      <w:highlight w:val="none"/>
                      <w:vertAlign w:val="baseline"/>
                      <w:lang w:val="en-US" w:eastAsia="zh-CN"/>
                      <w14:textFill>
                        <w14:solidFill>
                          <w14:schemeClr w14:val="tx1"/>
                        </w14:solidFill>
                      </w14:textFill>
                    </w:rPr>
                    <w:t>/m</w:t>
                  </w:r>
                </w:p>
              </w:tc>
              <w:tc>
                <w:tcPr>
                  <w:tcW w:w="1506" w:type="dxa"/>
                  <w:vMerge w:val="restart"/>
                  <w:tcBorders>
                    <w:tl2br w:val="nil"/>
                    <w:tr2bl w:val="nil"/>
                  </w:tcBorders>
                  <w:noWrap w:val="0"/>
                  <w:vAlign w:val="center"/>
                </w:tcPr>
                <w:p w14:paraId="1BC2AE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声压级/距声源距离（dB(A)/m）</w:t>
                  </w:r>
                </w:p>
              </w:tc>
              <w:tc>
                <w:tcPr>
                  <w:tcW w:w="828" w:type="dxa"/>
                  <w:vMerge w:val="restart"/>
                  <w:tcBorders>
                    <w:tl2br w:val="nil"/>
                    <w:tr2bl w:val="nil"/>
                  </w:tcBorders>
                  <w:noWrap w:val="0"/>
                  <w:vAlign w:val="center"/>
                </w:tcPr>
                <w:p w14:paraId="2373973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噪声控制措施</w:t>
                  </w:r>
                </w:p>
              </w:tc>
              <w:tc>
                <w:tcPr>
                  <w:tcW w:w="770" w:type="dxa"/>
                  <w:vMerge w:val="restart"/>
                  <w:tcBorders>
                    <w:tl2br w:val="nil"/>
                    <w:tr2bl w:val="nil"/>
                  </w:tcBorders>
                  <w:noWrap w:val="0"/>
                  <w:vAlign w:val="center"/>
                </w:tcPr>
                <w:p w14:paraId="1A18733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运行方式</w:t>
                  </w:r>
                </w:p>
              </w:tc>
              <w:tc>
                <w:tcPr>
                  <w:tcW w:w="830" w:type="dxa"/>
                  <w:vMerge w:val="restart"/>
                  <w:tcBorders>
                    <w:tl2br w:val="nil"/>
                    <w:tr2bl w:val="nil"/>
                  </w:tcBorders>
                  <w:noWrap w:val="0"/>
                  <w:vAlign w:val="center"/>
                </w:tcPr>
                <w:p w14:paraId="16D107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噪声叠加</w:t>
                  </w:r>
                </w:p>
              </w:tc>
            </w:tr>
            <w:tr w14:paraId="64D1B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88" w:type="dxa"/>
                  <w:vMerge w:val="continue"/>
                  <w:tcBorders>
                    <w:tl2br w:val="nil"/>
                    <w:tr2bl w:val="nil"/>
                  </w:tcBorders>
                  <w:noWrap w:val="0"/>
                  <w:vAlign w:val="center"/>
                </w:tcPr>
                <w:p w14:paraId="6B1308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p>
              </w:tc>
              <w:tc>
                <w:tcPr>
                  <w:tcW w:w="1549" w:type="dxa"/>
                  <w:vMerge w:val="continue"/>
                  <w:tcBorders>
                    <w:tl2br w:val="nil"/>
                    <w:tr2bl w:val="nil"/>
                  </w:tcBorders>
                  <w:noWrap w:val="0"/>
                  <w:vAlign w:val="center"/>
                </w:tcPr>
                <w:p w14:paraId="3AD187E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p>
              </w:tc>
              <w:tc>
                <w:tcPr>
                  <w:tcW w:w="720" w:type="dxa"/>
                  <w:tcBorders>
                    <w:tl2br w:val="nil"/>
                    <w:tr2bl w:val="nil"/>
                  </w:tcBorders>
                  <w:noWrap w:val="0"/>
                  <w:vAlign w:val="center"/>
                </w:tcPr>
                <w:p w14:paraId="46DA871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X</w:t>
                  </w:r>
                </w:p>
              </w:tc>
              <w:tc>
                <w:tcPr>
                  <w:tcW w:w="681" w:type="dxa"/>
                  <w:tcBorders>
                    <w:tl2br w:val="nil"/>
                    <w:tr2bl w:val="nil"/>
                  </w:tcBorders>
                  <w:noWrap w:val="0"/>
                  <w:vAlign w:val="center"/>
                </w:tcPr>
                <w:p w14:paraId="08C3B8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Y</w:t>
                  </w:r>
                </w:p>
              </w:tc>
              <w:tc>
                <w:tcPr>
                  <w:tcW w:w="726" w:type="dxa"/>
                  <w:tcBorders>
                    <w:tl2br w:val="nil"/>
                    <w:tr2bl w:val="nil"/>
                  </w:tcBorders>
                  <w:noWrap w:val="0"/>
                  <w:vAlign w:val="center"/>
                </w:tcPr>
                <w:p w14:paraId="0211C6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Z</w:t>
                  </w:r>
                </w:p>
              </w:tc>
              <w:tc>
                <w:tcPr>
                  <w:tcW w:w="1506" w:type="dxa"/>
                  <w:vMerge w:val="continue"/>
                  <w:tcBorders>
                    <w:tl2br w:val="nil"/>
                    <w:tr2bl w:val="nil"/>
                  </w:tcBorders>
                  <w:noWrap w:val="0"/>
                  <w:vAlign w:val="center"/>
                </w:tcPr>
                <w:p w14:paraId="1DC491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p>
              </w:tc>
              <w:tc>
                <w:tcPr>
                  <w:tcW w:w="828" w:type="dxa"/>
                  <w:vMerge w:val="continue"/>
                  <w:tcBorders>
                    <w:tl2br w:val="nil"/>
                    <w:tr2bl w:val="nil"/>
                  </w:tcBorders>
                  <w:noWrap w:val="0"/>
                  <w:vAlign w:val="center"/>
                </w:tcPr>
                <w:p w14:paraId="718F2D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p>
              </w:tc>
              <w:tc>
                <w:tcPr>
                  <w:tcW w:w="770" w:type="dxa"/>
                  <w:vMerge w:val="continue"/>
                  <w:tcBorders>
                    <w:tl2br w:val="nil"/>
                    <w:tr2bl w:val="nil"/>
                  </w:tcBorders>
                  <w:noWrap w:val="0"/>
                  <w:vAlign w:val="center"/>
                </w:tcPr>
                <w:p w14:paraId="7F9F91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p>
              </w:tc>
              <w:tc>
                <w:tcPr>
                  <w:tcW w:w="830" w:type="dxa"/>
                  <w:vMerge w:val="continue"/>
                  <w:tcBorders>
                    <w:tl2br w:val="nil"/>
                    <w:tr2bl w:val="nil"/>
                  </w:tcBorders>
                  <w:noWrap w:val="0"/>
                  <w:vAlign w:val="center"/>
                </w:tcPr>
                <w:p w14:paraId="0DAC2F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p>
              </w:tc>
            </w:tr>
            <w:tr w14:paraId="2B9FE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88" w:type="dxa"/>
                  <w:tcBorders>
                    <w:tl2br w:val="nil"/>
                    <w:tr2bl w:val="nil"/>
                  </w:tcBorders>
                  <w:noWrap w:val="0"/>
                  <w:vAlign w:val="center"/>
                </w:tcPr>
                <w:p w14:paraId="63BD3F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1549" w:type="dxa"/>
                  <w:tcBorders>
                    <w:tl2br w:val="nil"/>
                    <w:tr2bl w:val="nil"/>
                  </w:tcBorders>
                  <w:noWrap w:val="0"/>
                  <w:vAlign w:val="center"/>
                </w:tcPr>
                <w:p w14:paraId="18F13C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1#主变 </w:t>
                  </w:r>
                </w:p>
              </w:tc>
              <w:tc>
                <w:tcPr>
                  <w:tcW w:w="720" w:type="dxa"/>
                  <w:tcBorders>
                    <w:tl2br w:val="nil"/>
                    <w:tr2bl w:val="nil"/>
                  </w:tcBorders>
                  <w:noWrap w:val="0"/>
                  <w:vAlign w:val="center"/>
                </w:tcPr>
                <w:p w14:paraId="505FBBF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26.5</w:t>
                  </w:r>
                </w:p>
              </w:tc>
              <w:tc>
                <w:tcPr>
                  <w:tcW w:w="681" w:type="dxa"/>
                  <w:tcBorders>
                    <w:tl2br w:val="nil"/>
                    <w:tr2bl w:val="nil"/>
                  </w:tcBorders>
                  <w:noWrap w:val="0"/>
                  <w:vAlign w:val="center"/>
                </w:tcPr>
                <w:p w14:paraId="2ED298F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35.5</w:t>
                  </w:r>
                </w:p>
              </w:tc>
              <w:tc>
                <w:tcPr>
                  <w:tcW w:w="726" w:type="dxa"/>
                  <w:tcBorders>
                    <w:tl2br w:val="nil"/>
                    <w:tr2bl w:val="nil"/>
                  </w:tcBorders>
                  <w:noWrap w:val="0"/>
                  <w:vAlign w:val="center"/>
                </w:tcPr>
                <w:p w14:paraId="6CC682C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r>
                    <w:rPr>
                      <w:rFonts w:hint="eastAsia" w:eastAsia="宋体" w:cs="Times New Roman"/>
                      <w:b w:val="0"/>
                      <w:bCs w:val="0"/>
                      <w:color w:val="000000" w:themeColor="text1"/>
                      <w:sz w:val="21"/>
                      <w:szCs w:val="21"/>
                      <w:highlight w:val="none"/>
                      <w:vertAlign w:val="baseline"/>
                      <w:lang w:val="en-US" w:eastAsia="zh-CN"/>
                      <w14:textFill>
                        <w14:solidFill>
                          <w14:schemeClr w14:val="tx1"/>
                        </w14:solidFill>
                      </w14:textFill>
                    </w:rPr>
                    <w:t>1.75</w:t>
                  </w:r>
                </w:p>
              </w:tc>
              <w:tc>
                <w:tcPr>
                  <w:tcW w:w="1506" w:type="dxa"/>
                  <w:tcBorders>
                    <w:tl2br w:val="nil"/>
                    <w:tr2bl w:val="nil"/>
                  </w:tcBorders>
                  <w:noWrap w:val="0"/>
                  <w:vAlign w:val="center"/>
                </w:tcPr>
                <w:p w14:paraId="49F36CD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63.7</w:t>
                  </w:r>
                  <w:r>
                    <w:rPr>
                      <w:rFonts w:hint="default" w:ascii="Times New Roman" w:hAnsi="Times New Roman" w:eastAsia="Arial" w:cs="Times New Roman"/>
                      <w:color w:val="000000" w:themeColor="text1"/>
                      <w:sz w:val="21"/>
                      <w:szCs w:val="21"/>
                      <w:highlight w:val="none"/>
                      <w14:textFill>
                        <w14:solidFill>
                          <w14:schemeClr w14:val="tx1"/>
                        </w14:solidFill>
                      </w14:textFill>
                    </w:rPr>
                    <w:t>/1</w:t>
                  </w:r>
                </w:p>
              </w:tc>
              <w:tc>
                <w:tcPr>
                  <w:tcW w:w="828" w:type="dxa"/>
                  <w:vMerge w:val="restart"/>
                  <w:tcBorders>
                    <w:tl2br w:val="nil"/>
                    <w:tr2bl w:val="nil"/>
                  </w:tcBorders>
                  <w:noWrap w:val="0"/>
                  <w:vAlign w:val="center"/>
                </w:tcPr>
                <w:p w14:paraId="692BAA0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低噪声设备</w:t>
                  </w:r>
                </w:p>
              </w:tc>
              <w:tc>
                <w:tcPr>
                  <w:tcW w:w="770" w:type="dxa"/>
                  <w:vMerge w:val="restart"/>
                  <w:tcBorders>
                    <w:tl2br w:val="nil"/>
                    <w:tr2bl w:val="nil"/>
                  </w:tcBorders>
                  <w:noWrap w:val="0"/>
                  <w:vAlign w:val="center"/>
                </w:tcPr>
                <w:p w14:paraId="05AD741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连续运行</w:t>
                  </w:r>
                </w:p>
              </w:tc>
              <w:tc>
                <w:tcPr>
                  <w:tcW w:w="830" w:type="dxa"/>
                  <w:vMerge w:val="restart"/>
                  <w:tcBorders>
                    <w:tl2br w:val="nil"/>
                    <w:tr2bl w:val="nil"/>
                  </w:tcBorders>
                  <w:noWrap w:val="0"/>
                  <w:vAlign w:val="center"/>
                </w:tcPr>
                <w:p w14:paraId="04B897E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68.3</w:t>
                  </w:r>
                </w:p>
                <w:p w14:paraId="4C6E7F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dB(A</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c>
            </w:tr>
            <w:tr w14:paraId="66986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88" w:type="dxa"/>
                  <w:tcBorders>
                    <w:tl2br w:val="nil"/>
                    <w:tr2bl w:val="nil"/>
                  </w:tcBorders>
                  <w:noWrap w:val="0"/>
                  <w:vAlign w:val="center"/>
                </w:tcPr>
                <w:p w14:paraId="388FCFE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549" w:type="dxa"/>
                  <w:tcBorders>
                    <w:tl2br w:val="nil"/>
                    <w:tr2bl w:val="nil"/>
                  </w:tcBorders>
                  <w:noWrap w:val="0"/>
                  <w:vAlign w:val="center"/>
                </w:tcPr>
                <w:p w14:paraId="77E015B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eastAsia" w:eastAsia="宋体" w:cs="Times New Roman"/>
                      <w:color w:val="000000" w:themeColor="text1"/>
                      <w:kern w:val="0"/>
                      <w:sz w:val="21"/>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#主变 </w:t>
                  </w:r>
                </w:p>
              </w:tc>
              <w:tc>
                <w:tcPr>
                  <w:tcW w:w="720" w:type="dxa"/>
                  <w:tcBorders>
                    <w:tl2br w:val="nil"/>
                    <w:tr2bl w:val="nil"/>
                  </w:tcBorders>
                  <w:noWrap w:val="0"/>
                  <w:vAlign w:val="center"/>
                </w:tcPr>
                <w:p w14:paraId="128F035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26.5</w:t>
                  </w:r>
                </w:p>
              </w:tc>
              <w:tc>
                <w:tcPr>
                  <w:tcW w:w="681" w:type="dxa"/>
                  <w:tcBorders>
                    <w:tl2br w:val="nil"/>
                    <w:tr2bl w:val="nil"/>
                  </w:tcBorders>
                  <w:noWrap w:val="0"/>
                  <w:vAlign w:val="center"/>
                </w:tcPr>
                <w:p w14:paraId="6AE1007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49.5</w:t>
                  </w:r>
                </w:p>
              </w:tc>
              <w:tc>
                <w:tcPr>
                  <w:tcW w:w="726" w:type="dxa"/>
                  <w:tcBorders>
                    <w:tl2br w:val="nil"/>
                    <w:tr2bl w:val="nil"/>
                  </w:tcBorders>
                  <w:noWrap w:val="0"/>
                  <w:vAlign w:val="center"/>
                </w:tcPr>
                <w:p w14:paraId="353BDEA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14:textFill>
                        <w14:solidFill>
                          <w14:schemeClr w14:val="tx1"/>
                        </w14:solidFill>
                      </w14:textFill>
                    </w:rPr>
                  </w:pPr>
                  <w:r>
                    <w:rPr>
                      <w:rFonts w:hint="eastAsia" w:eastAsia="宋体" w:cs="Times New Roman"/>
                      <w:b w:val="0"/>
                      <w:bCs w:val="0"/>
                      <w:color w:val="000000" w:themeColor="text1"/>
                      <w:sz w:val="21"/>
                      <w:szCs w:val="21"/>
                      <w:highlight w:val="none"/>
                      <w:vertAlign w:val="baseline"/>
                      <w:lang w:val="en-US" w:eastAsia="zh-CN"/>
                      <w14:textFill>
                        <w14:solidFill>
                          <w14:schemeClr w14:val="tx1"/>
                        </w14:solidFill>
                      </w14:textFill>
                    </w:rPr>
                    <w:t>1.75</w:t>
                  </w:r>
                </w:p>
              </w:tc>
              <w:tc>
                <w:tcPr>
                  <w:tcW w:w="1506" w:type="dxa"/>
                  <w:tcBorders>
                    <w:tl2br w:val="nil"/>
                    <w:tr2bl w:val="nil"/>
                  </w:tcBorders>
                  <w:noWrap w:val="0"/>
                  <w:vAlign w:val="center"/>
                </w:tcPr>
                <w:p w14:paraId="727F212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63.7</w:t>
                  </w:r>
                  <w:r>
                    <w:rPr>
                      <w:rFonts w:hint="default" w:ascii="Times New Roman" w:hAnsi="Times New Roman" w:eastAsia="Arial" w:cs="Times New Roman"/>
                      <w:color w:val="000000" w:themeColor="text1"/>
                      <w:sz w:val="21"/>
                      <w:szCs w:val="21"/>
                      <w:highlight w:val="none"/>
                      <w14:textFill>
                        <w14:solidFill>
                          <w14:schemeClr w14:val="tx1"/>
                        </w14:solidFill>
                      </w14:textFill>
                    </w:rPr>
                    <w:t>/1</w:t>
                  </w:r>
                </w:p>
              </w:tc>
              <w:tc>
                <w:tcPr>
                  <w:tcW w:w="828" w:type="dxa"/>
                  <w:vMerge w:val="continue"/>
                  <w:tcBorders>
                    <w:tl2br w:val="nil"/>
                    <w:tr2bl w:val="nil"/>
                  </w:tcBorders>
                  <w:noWrap w:val="0"/>
                  <w:vAlign w:val="center"/>
                </w:tcPr>
                <w:p w14:paraId="4A7D531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770" w:type="dxa"/>
                  <w:vMerge w:val="continue"/>
                  <w:tcBorders>
                    <w:tl2br w:val="nil"/>
                    <w:tr2bl w:val="nil"/>
                  </w:tcBorders>
                  <w:noWrap w:val="0"/>
                  <w:vAlign w:val="center"/>
                </w:tcPr>
                <w:p w14:paraId="7EC8B36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830" w:type="dxa"/>
                  <w:vMerge w:val="continue"/>
                  <w:tcBorders>
                    <w:tl2br w:val="nil"/>
                    <w:tr2bl w:val="nil"/>
                  </w:tcBorders>
                  <w:noWrap w:val="0"/>
                  <w:vAlign w:val="center"/>
                </w:tcPr>
                <w:p w14:paraId="71C08F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r>
            <w:tr w14:paraId="63906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88" w:type="dxa"/>
                  <w:tcBorders>
                    <w:tl2br w:val="nil"/>
                    <w:tr2bl w:val="nil"/>
                  </w:tcBorders>
                  <w:noWrap w:val="0"/>
                  <w:vAlign w:val="center"/>
                </w:tcPr>
                <w:p w14:paraId="4998A68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549" w:type="dxa"/>
                  <w:tcBorders>
                    <w:tl2br w:val="nil"/>
                    <w:tr2bl w:val="nil"/>
                  </w:tcBorders>
                  <w:shd w:val="clear" w:color="auto" w:fill="auto"/>
                  <w:noWrap w:val="0"/>
                  <w:vAlign w:val="center"/>
                </w:tcPr>
                <w:p w14:paraId="1A4778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站用变压器1</w:t>
                  </w:r>
                </w:p>
              </w:tc>
              <w:tc>
                <w:tcPr>
                  <w:tcW w:w="720" w:type="dxa"/>
                  <w:tcBorders>
                    <w:tl2br w:val="nil"/>
                    <w:tr2bl w:val="nil"/>
                  </w:tcBorders>
                  <w:shd w:val="clear" w:color="auto" w:fill="auto"/>
                  <w:noWrap w:val="0"/>
                  <w:vAlign w:val="center"/>
                </w:tcPr>
                <w:p w14:paraId="4337A72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26.5</w:t>
                  </w:r>
                </w:p>
              </w:tc>
              <w:tc>
                <w:tcPr>
                  <w:tcW w:w="681" w:type="dxa"/>
                  <w:tcBorders>
                    <w:tl2br w:val="nil"/>
                    <w:tr2bl w:val="nil"/>
                  </w:tcBorders>
                  <w:shd w:val="clear" w:color="auto" w:fill="auto"/>
                  <w:noWrap w:val="0"/>
                  <w:vAlign w:val="center"/>
                </w:tcPr>
                <w:p w14:paraId="20903ED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23.5</w:t>
                  </w:r>
                </w:p>
              </w:tc>
              <w:tc>
                <w:tcPr>
                  <w:tcW w:w="726" w:type="dxa"/>
                  <w:tcBorders>
                    <w:tl2br w:val="nil"/>
                    <w:tr2bl w:val="nil"/>
                  </w:tcBorders>
                  <w:shd w:val="clear" w:color="auto" w:fill="auto"/>
                  <w:noWrap w:val="0"/>
                  <w:vAlign w:val="center"/>
                </w:tcPr>
                <w:p w14:paraId="2BEC25C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b w:val="0"/>
                      <w:bCs w:val="0"/>
                      <w:color w:val="000000" w:themeColor="text1"/>
                      <w:sz w:val="21"/>
                      <w:szCs w:val="21"/>
                      <w:highlight w:val="none"/>
                      <w:vertAlign w:val="baseline"/>
                      <w:lang w:val="en-US" w:eastAsia="zh-CN"/>
                      <w14:textFill>
                        <w14:solidFill>
                          <w14:schemeClr w14:val="tx1"/>
                        </w14:solidFill>
                      </w14:textFill>
                    </w:rPr>
                    <w:t>1.2</w:t>
                  </w:r>
                </w:p>
              </w:tc>
              <w:tc>
                <w:tcPr>
                  <w:tcW w:w="1506" w:type="dxa"/>
                  <w:tcBorders>
                    <w:tl2br w:val="nil"/>
                    <w:tr2bl w:val="nil"/>
                  </w:tcBorders>
                  <w:noWrap w:val="0"/>
                  <w:vAlign w:val="center"/>
                </w:tcPr>
                <w:p w14:paraId="6543667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Arial" w:cs="Times New Roman"/>
                      <w:color w:val="000000" w:themeColor="text1"/>
                      <w:sz w:val="21"/>
                      <w:szCs w:val="21"/>
                      <w:highlight w:val="none"/>
                      <w14:textFill>
                        <w14:solidFill>
                          <w14:schemeClr w14:val="tx1"/>
                        </w14:solidFill>
                      </w14:textFill>
                    </w:rPr>
                    <w:t>/1</w:t>
                  </w:r>
                </w:p>
              </w:tc>
              <w:tc>
                <w:tcPr>
                  <w:tcW w:w="828" w:type="dxa"/>
                  <w:vMerge w:val="continue"/>
                  <w:tcBorders>
                    <w:tl2br w:val="nil"/>
                    <w:tr2bl w:val="nil"/>
                  </w:tcBorders>
                  <w:noWrap w:val="0"/>
                  <w:vAlign w:val="center"/>
                </w:tcPr>
                <w:p w14:paraId="56D6214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770" w:type="dxa"/>
                  <w:vMerge w:val="continue"/>
                  <w:tcBorders>
                    <w:tl2br w:val="nil"/>
                    <w:tr2bl w:val="nil"/>
                  </w:tcBorders>
                  <w:noWrap w:val="0"/>
                  <w:vAlign w:val="center"/>
                </w:tcPr>
                <w:p w14:paraId="38E64EA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830" w:type="dxa"/>
                  <w:vMerge w:val="continue"/>
                  <w:tcBorders>
                    <w:tl2br w:val="nil"/>
                    <w:tr2bl w:val="nil"/>
                  </w:tcBorders>
                  <w:noWrap w:val="0"/>
                  <w:vAlign w:val="center"/>
                </w:tcPr>
                <w:p w14:paraId="0DE22A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r>
            <w:tr w14:paraId="035D0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88" w:type="dxa"/>
                  <w:tcBorders>
                    <w:tl2br w:val="nil"/>
                    <w:tr2bl w:val="nil"/>
                  </w:tcBorders>
                  <w:noWrap w:val="0"/>
                  <w:vAlign w:val="center"/>
                </w:tcPr>
                <w:p w14:paraId="29FFC7A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1549" w:type="dxa"/>
                  <w:tcBorders>
                    <w:tl2br w:val="nil"/>
                    <w:tr2bl w:val="nil"/>
                  </w:tcBorders>
                  <w:shd w:val="clear" w:color="auto" w:fill="auto"/>
                  <w:noWrap w:val="0"/>
                  <w:vAlign w:val="center"/>
                </w:tcPr>
                <w:p w14:paraId="07769E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站用变压器2</w:t>
                  </w:r>
                </w:p>
              </w:tc>
              <w:tc>
                <w:tcPr>
                  <w:tcW w:w="720" w:type="dxa"/>
                  <w:tcBorders>
                    <w:tl2br w:val="nil"/>
                    <w:tr2bl w:val="nil"/>
                  </w:tcBorders>
                  <w:shd w:val="clear" w:color="auto" w:fill="auto"/>
                  <w:noWrap w:val="0"/>
                  <w:vAlign w:val="center"/>
                </w:tcPr>
                <w:p w14:paraId="7C7833F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34</w:t>
                  </w:r>
                </w:p>
              </w:tc>
              <w:tc>
                <w:tcPr>
                  <w:tcW w:w="681" w:type="dxa"/>
                  <w:tcBorders>
                    <w:tl2br w:val="nil"/>
                    <w:tr2bl w:val="nil"/>
                  </w:tcBorders>
                  <w:shd w:val="clear" w:color="auto" w:fill="auto"/>
                  <w:noWrap w:val="0"/>
                  <w:vAlign w:val="center"/>
                </w:tcPr>
                <w:p w14:paraId="074B41F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23.5</w:t>
                  </w:r>
                </w:p>
              </w:tc>
              <w:tc>
                <w:tcPr>
                  <w:tcW w:w="726" w:type="dxa"/>
                  <w:tcBorders>
                    <w:tl2br w:val="nil"/>
                    <w:tr2bl w:val="nil"/>
                  </w:tcBorders>
                  <w:shd w:val="clear" w:color="auto" w:fill="auto"/>
                  <w:noWrap w:val="0"/>
                  <w:vAlign w:val="center"/>
                </w:tcPr>
                <w:p w14:paraId="6811935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b w:val="0"/>
                      <w:bCs w:val="0"/>
                      <w:color w:val="000000" w:themeColor="text1"/>
                      <w:sz w:val="21"/>
                      <w:szCs w:val="21"/>
                      <w:highlight w:val="none"/>
                      <w:vertAlign w:val="baseline"/>
                      <w:lang w:val="en-US" w:eastAsia="zh-CN"/>
                      <w14:textFill>
                        <w14:solidFill>
                          <w14:schemeClr w14:val="tx1"/>
                        </w14:solidFill>
                      </w14:textFill>
                    </w:rPr>
                    <w:t>1.2</w:t>
                  </w:r>
                </w:p>
              </w:tc>
              <w:tc>
                <w:tcPr>
                  <w:tcW w:w="1506" w:type="dxa"/>
                  <w:tcBorders>
                    <w:tl2br w:val="nil"/>
                    <w:tr2bl w:val="nil"/>
                  </w:tcBorders>
                  <w:noWrap w:val="0"/>
                  <w:vAlign w:val="center"/>
                </w:tcPr>
                <w:p w14:paraId="6441F91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Arial" w:cs="Times New Roman"/>
                      <w:color w:val="000000" w:themeColor="text1"/>
                      <w:sz w:val="21"/>
                      <w:szCs w:val="21"/>
                      <w:highlight w:val="none"/>
                      <w14:textFill>
                        <w14:solidFill>
                          <w14:schemeClr w14:val="tx1"/>
                        </w14:solidFill>
                      </w14:textFill>
                    </w:rPr>
                    <w:t>/1</w:t>
                  </w:r>
                </w:p>
              </w:tc>
              <w:tc>
                <w:tcPr>
                  <w:tcW w:w="828" w:type="dxa"/>
                  <w:vMerge w:val="continue"/>
                  <w:tcBorders>
                    <w:tl2br w:val="nil"/>
                    <w:tr2bl w:val="nil"/>
                  </w:tcBorders>
                  <w:noWrap w:val="0"/>
                  <w:vAlign w:val="center"/>
                </w:tcPr>
                <w:p w14:paraId="553AD0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70" w:type="dxa"/>
                  <w:vMerge w:val="continue"/>
                  <w:tcBorders>
                    <w:tl2br w:val="nil"/>
                    <w:tr2bl w:val="nil"/>
                  </w:tcBorders>
                  <w:noWrap w:val="0"/>
                  <w:vAlign w:val="center"/>
                </w:tcPr>
                <w:p w14:paraId="58B934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830" w:type="dxa"/>
                  <w:vMerge w:val="continue"/>
                  <w:tcBorders>
                    <w:tl2br w:val="nil"/>
                    <w:tr2bl w:val="nil"/>
                  </w:tcBorders>
                  <w:noWrap w:val="0"/>
                  <w:vAlign w:val="center"/>
                </w:tcPr>
                <w:p w14:paraId="3E6BA6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r>
          </w:tbl>
          <w:p w14:paraId="5FB47393">
            <w:pPr>
              <w:pStyle w:val="44"/>
              <w:spacing w:line="240" w:lineRule="auto"/>
              <w:ind w:firstLine="422"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1"/>
                <w:szCs w:val="21"/>
                <w:highlight w:val="none"/>
                <w14:textFill>
                  <w14:solidFill>
                    <w14:schemeClr w14:val="tx1"/>
                  </w14:solidFill>
                </w14:textFill>
              </w:rPr>
              <w:t>注：空间相对位置：①定义变电站围墙</w:t>
            </w:r>
            <w:r>
              <w:rPr>
                <w:rFonts w:hint="eastAsia"/>
                <w:b/>
                <w:bCs/>
                <w:color w:val="000000" w:themeColor="text1"/>
                <w:spacing w:val="0"/>
                <w:sz w:val="21"/>
                <w:szCs w:val="21"/>
                <w:highlight w:val="none"/>
                <w:lang w:val="en-US" w:eastAsia="zh-CN"/>
                <w14:textFill>
                  <w14:solidFill>
                    <w14:schemeClr w14:val="tx1"/>
                  </w14:solidFill>
                </w14:textFill>
              </w:rPr>
              <w:t>南角</w:t>
            </w:r>
            <w:r>
              <w:rPr>
                <w:rFonts w:hint="eastAsia" w:ascii="Times New Roman" w:hAnsi="Times New Roman" w:eastAsia="宋体"/>
                <w:b/>
                <w:bCs/>
                <w:color w:val="000000" w:themeColor="text1"/>
                <w:spacing w:val="0"/>
                <w:sz w:val="21"/>
                <w:szCs w:val="21"/>
                <w:highlight w:val="none"/>
                <w14:textFill>
                  <w14:solidFill>
                    <w14:schemeClr w14:val="tx1"/>
                  </w14:solidFill>
                </w14:textFill>
              </w:rPr>
              <w:t>为坐标原点，以</w:t>
            </w:r>
            <w:r>
              <w:rPr>
                <w:rFonts w:hint="eastAsia"/>
                <w:b/>
                <w:bCs/>
                <w:color w:val="000000" w:themeColor="text1"/>
                <w:spacing w:val="0"/>
                <w:sz w:val="21"/>
                <w:szCs w:val="21"/>
                <w:highlight w:val="none"/>
                <w:lang w:val="en-US" w:eastAsia="zh-CN"/>
                <w14:textFill>
                  <w14:solidFill>
                    <w14:schemeClr w14:val="tx1"/>
                  </w14:solidFill>
                </w14:textFill>
              </w:rPr>
              <w:t>东北</w:t>
            </w:r>
            <w:r>
              <w:rPr>
                <w:rFonts w:hint="eastAsia" w:ascii="Times New Roman" w:hAnsi="Times New Roman" w:eastAsia="宋体"/>
                <w:b/>
                <w:bCs/>
                <w:color w:val="000000" w:themeColor="text1"/>
                <w:spacing w:val="0"/>
                <w:sz w:val="21"/>
                <w:szCs w:val="21"/>
                <w:highlight w:val="none"/>
                <w14:textFill>
                  <w14:solidFill>
                    <w14:schemeClr w14:val="tx1"/>
                  </w14:solidFill>
                </w14:textFill>
              </w:rPr>
              <w:t>围墙方向为X轴正方向，以</w:t>
            </w:r>
            <w:r>
              <w:rPr>
                <w:rFonts w:hint="eastAsia"/>
                <w:b/>
                <w:bCs/>
                <w:color w:val="000000" w:themeColor="text1"/>
                <w:spacing w:val="0"/>
                <w:sz w:val="21"/>
                <w:szCs w:val="21"/>
                <w:highlight w:val="none"/>
                <w:lang w:val="en-US" w:eastAsia="zh-CN"/>
                <w14:textFill>
                  <w14:solidFill>
                    <w14:schemeClr w14:val="tx1"/>
                  </w14:solidFill>
                </w14:textFill>
              </w:rPr>
              <w:t>西北</w:t>
            </w:r>
            <w:r>
              <w:rPr>
                <w:rFonts w:hint="eastAsia" w:ascii="Times New Roman" w:hAnsi="Times New Roman" w:eastAsia="宋体"/>
                <w:b/>
                <w:bCs/>
                <w:color w:val="000000" w:themeColor="text1"/>
                <w:spacing w:val="0"/>
                <w:sz w:val="21"/>
                <w:szCs w:val="21"/>
                <w:highlight w:val="none"/>
                <w14:textFill>
                  <w14:solidFill>
                    <w14:schemeClr w14:val="tx1"/>
                  </w14:solidFill>
                </w14:textFill>
              </w:rPr>
              <w:t>围墙方向为Y轴正方向，以垂直水平方向为Z轴。②噪声源空间相对位置：以声源中心位置为声源空间相对位置坐标，Z为声源中心相对地面高度。</w:t>
            </w:r>
            <w:r>
              <w:rPr>
                <w:rFonts w:hint="eastAsia" w:ascii="Times New Roman" w:hAnsi="Times New Roman" w:eastAsia="宋体"/>
                <w:color w:val="000000" w:themeColor="text1"/>
                <w:spacing w:val="0"/>
                <w:sz w:val="24"/>
                <w:highlight w:val="none"/>
                <w14:textFill>
                  <w14:solidFill>
                    <w14:schemeClr w14:val="tx1"/>
                  </w14:solidFill>
                </w14:textFill>
              </w:rPr>
              <w:tab/>
            </w:r>
          </w:p>
          <w:p w14:paraId="4D56EEAD">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195EC55F">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②主要声源至围墙的距离</w:t>
            </w:r>
          </w:p>
          <w:p w14:paraId="63C68987">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变电站本声源至围墙的距离见表4-</w:t>
            </w:r>
            <w:r>
              <w:rPr>
                <w:rFonts w:hint="eastAsia" w:ascii="Times New Roman" w:hAnsi="Times New Roman" w:eastAsia="宋体"/>
                <w:color w:val="000000" w:themeColor="text1"/>
                <w:spacing w:val="0"/>
                <w:sz w:val="24"/>
                <w:highlight w:val="none"/>
                <w14:textFill>
                  <w14:solidFill>
                    <w14:schemeClr w14:val="tx1"/>
                  </w14:solidFill>
                </w14:textFill>
              </w:rPr>
              <w:t>5</w:t>
            </w:r>
            <w:r>
              <w:rPr>
                <w:rFonts w:ascii="Times New Roman" w:hAnsi="Times New Roman" w:eastAsia="宋体"/>
                <w:color w:val="000000" w:themeColor="text1"/>
                <w:spacing w:val="0"/>
                <w:sz w:val="24"/>
                <w:highlight w:val="none"/>
                <w14:textFill>
                  <w14:solidFill>
                    <w14:schemeClr w14:val="tx1"/>
                  </w14:solidFill>
                </w14:textFill>
              </w:rPr>
              <w:t>。</w:t>
            </w:r>
          </w:p>
          <w:p w14:paraId="5296ECD7">
            <w:pPr>
              <w:pStyle w:val="44"/>
              <w:spacing w:line="240" w:lineRule="auto"/>
              <w:ind w:firstLine="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4"/>
                <w:highlight w:val="none"/>
                <w14:textFill>
                  <w14:solidFill>
                    <w14:schemeClr w14:val="tx1"/>
                  </w14:solidFill>
                </w14:textFill>
              </w:rPr>
              <w:t xml:space="preserve"> </w:t>
            </w: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ascii="Times New Roman" w:hAnsi="Times New Roman" w:eastAsia="宋体"/>
                <w:b/>
                <w:bCs/>
                <w:color w:val="000000" w:themeColor="text1"/>
                <w:spacing w:val="0"/>
                <w:sz w:val="24"/>
                <w:highlight w:val="none"/>
                <w14:textFill>
                  <w14:solidFill>
                    <w14:schemeClr w14:val="tx1"/>
                  </w14:solidFill>
                </w14:textFill>
              </w:rPr>
              <w:t>5</w:t>
            </w:r>
            <w:r>
              <w:rPr>
                <w:rFonts w:ascii="Times New Roman" w:hAnsi="Times New Roman" w:eastAsia="宋体"/>
                <w:b/>
                <w:bCs/>
                <w:color w:val="000000" w:themeColor="text1"/>
                <w:spacing w:val="0"/>
                <w:sz w:val="24"/>
                <w:highlight w:val="none"/>
                <w14:textFill>
                  <w14:solidFill>
                    <w14:schemeClr w14:val="tx1"/>
                  </w14:solidFill>
                </w14:textFill>
              </w:rPr>
              <w:t xml:space="preserve">  声源至围墙的距离          </w:t>
            </w:r>
            <w:r>
              <w:rPr>
                <w:rFonts w:ascii="Times New Roman" w:hAnsi="Times New Roman" w:eastAsia="宋体"/>
                <w:color w:val="000000" w:themeColor="text1"/>
                <w:spacing w:val="0"/>
                <w:sz w:val="24"/>
                <w:highlight w:val="none"/>
                <w14:textFill>
                  <w14:solidFill>
                    <w14:schemeClr w14:val="tx1"/>
                  </w14:solidFill>
                </w14:textFill>
              </w:rPr>
              <w:t>单位：m</w:t>
            </w:r>
          </w:p>
          <w:tbl>
            <w:tblPr>
              <w:tblStyle w:val="26"/>
              <w:tblW w:w="81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7"/>
              <w:gridCol w:w="1451"/>
              <w:gridCol w:w="1774"/>
              <w:gridCol w:w="1913"/>
              <w:gridCol w:w="1702"/>
            </w:tblGrid>
            <w:tr w14:paraId="730DE2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7" w:hRule="atLeast"/>
                <w:tblHeader/>
                <w:jc w:val="center"/>
              </w:trPr>
              <w:tc>
                <w:tcPr>
                  <w:tcW w:w="1337" w:type="dxa"/>
                  <w:tcBorders>
                    <w:right w:val="single" w:color="auto" w:sz="4" w:space="0"/>
                  </w:tcBorders>
                  <w:vAlign w:val="center"/>
                </w:tcPr>
                <w:p w14:paraId="0308C40F">
                  <w:pPr>
                    <w:pStyle w:val="44"/>
                    <w:adjustRightInd w:val="0"/>
                    <w:snapToGrid w:val="0"/>
                    <w:spacing w:line="240" w:lineRule="auto"/>
                    <w:ind w:firstLine="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声源</w:t>
                  </w:r>
                </w:p>
              </w:tc>
              <w:tc>
                <w:tcPr>
                  <w:tcW w:w="1451" w:type="dxa"/>
                  <w:tcBorders>
                    <w:left w:val="single" w:color="auto" w:sz="4" w:space="0"/>
                    <w:right w:val="single" w:color="auto" w:sz="4" w:space="0"/>
                  </w:tcBorders>
                  <w:vAlign w:val="center"/>
                </w:tcPr>
                <w:p w14:paraId="02561FA9">
                  <w:pPr>
                    <w:adjustRightInd w:val="0"/>
                    <w:snapToGrid w:val="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hint="eastAsia" w:ascii="Times New Roman" w:hAnsi="Times New Roman" w:eastAsia="宋体"/>
                      <w:b/>
                      <w:bCs/>
                      <w:color w:val="000000" w:themeColor="text1"/>
                      <w:spacing w:val="0"/>
                      <w:szCs w:val="21"/>
                      <w:highlight w:val="none"/>
                      <w14:textFill>
                        <w14:solidFill>
                          <w14:schemeClr w14:val="tx1"/>
                        </w14:solidFill>
                      </w14:textFill>
                    </w:rPr>
                    <w:t>东侧</w:t>
                  </w:r>
                </w:p>
              </w:tc>
              <w:tc>
                <w:tcPr>
                  <w:tcW w:w="1774" w:type="dxa"/>
                  <w:tcBorders>
                    <w:left w:val="single" w:color="auto" w:sz="4" w:space="0"/>
                    <w:right w:val="single" w:color="auto" w:sz="4" w:space="0"/>
                  </w:tcBorders>
                  <w:vAlign w:val="center"/>
                </w:tcPr>
                <w:p w14:paraId="3D095051">
                  <w:pPr>
                    <w:adjustRightInd w:val="0"/>
                    <w:snapToGrid w:val="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hint="eastAsia" w:ascii="Times New Roman" w:hAnsi="Times New Roman" w:eastAsia="宋体"/>
                      <w:b/>
                      <w:bCs/>
                      <w:color w:val="000000" w:themeColor="text1"/>
                      <w:spacing w:val="0"/>
                      <w:szCs w:val="21"/>
                      <w:highlight w:val="none"/>
                      <w14:textFill>
                        <w14:solidFill>
                          <w14:schemeClr w14:val="tx1"/>
                        </w14:solidFill>
                      </w14:textFill>
                    </w:rPr>
                    <w:t>南侧</w:t>
                  </w:r>
                </w:p>
              </w:tc>
              <w:tc>
                <w:tcPr>
                  <w:tcW w:w="1913" w:type="dxa"/>
                  <w:tcBorders>
                    <w:left w:val="single" w:color="auto" w:sz="4" w:space="0"/>
                    <w:right w:val="single" w:color="auto" w:sz="4" w:space="0"/>
                  </w:tcBorders>
                  <w:vAlign w:val="center"/>
                </w:tcPr>
                <w:p w14:paraId="295B0D90">
                  <w:pPr>
                    <w:adjustRightInd w:val="0"/>
                    <w:snapToGrid w:val="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hint="eastAsia" w:ascii="Times New Roman" w:hAnsi="Times New Roman" w:eastAsia="宋体"/>
                      <w:b/>
                      <w:bCs/>
                      <w:color w:val="000000" w:themeColor="text1"/>
                      <w:spacing w:val="0"/>
                      <w:szCs w:val="21"/>
                      <w:highlight w:val="none"/>
                      <w14:textFill>
                        <w14:solidFill>
                          <w14:schemeClr w14:val="tx1"/>
                        </w14:solidFill>
                      </w14:textFill>
                    </w:rPr>
                    <w:t>西侧</w:t>
                  </w:r>
                </w:p>
              </w:tc>
              <w:tc>
                <w:tcPr>
                  <w:tcW w:w="1702" w:type="dxa"/>
                  <w:tcBorders>
                    <w:left w:val="single" w:color="auto" w:sz="4" w:space="0"/>
                  </w:tcBorders>
                  <w:vAlign w:val="center"/>
                </w:tcPr>
                <w:p w14:paraId="25240CDB">
                  <w:pPr>
                    <w:adjustRightInd w:val="0"/>
                    <w:snapToGrid w:val="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hint="eastAsia" w:ascii="Times New Roman" w:hAnsi="Times New Roman" w:eastAsia="宋体"/>
                      <w:b/>
                      <w:bCs/>
                      <w:color w:val="000000" w:themeColor="text1"/>
                      <w:spacing w:val="0"/>
                      <w:szCs w:val="21"/>
                      <w:highlight w:val="none"/>
                      <w14:textFill>
                        <w14:solidFill>
                          <w14:schemeClr w14:val="tx1"/>
                        </w14:solidFill>
                      </w14:textFill>
                    </w:rPr>
                    <w:t>北侧</w:t>
                  </w:r>
                </w:p>
              </w:tc>
            </w:tr>
            <w:tr w14:paraId="068C53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4" w:hRule="atLeast"/>
                <w:jc w:val="center"/>
              </w:trPr>
              <w:tc>
                <w:tcPr>
                  <w:tcW w:w="1337" w:type="dxa"/>
                  <w:tcBorders>
                    <w:right w:val="single" w:color="auto" w:sz="4" w:space="0"/>
                  </w:tcBorders>
                  <w:vAlign w:val="center"/>
                </w:tcPr>
                <w:p w14:paraId="76ACE5DF">
                  <w:pPr>
                    <w:pStyle w:val="44"/>
                    <w:adjustRightInd w:val="0"/>
                    <w:snapToGrid w:val="0"/>
                    <w:spacing w:line="240" w:lineRule="auto"/>
                    <w:ind w:firstLine="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主变压器</w:t>
                  </w:r>
                </w:p>
              </w:tc>
              <w:tc>
                <w:tcPr>
                  <w:tcW w:w="1451" w:type="dxa"/>
                  <w:tcBorders>
                    <w:left w:val="single" w:color="auto" w:sz="4" w:space="0"/>
                    <w:right w:val="single" w:color="auto" w:sz="4" w:space="0"/>
                  </w:tcBorders>
                  <w:vAlign w:val="center"/>
                </w:tcPr>
                <w:p w14:paraId="61FB8057">
                  <w:pPr>
                    <w:pStyle w:val="44"/>
                    <w:adjustRightInd w:val="0"/>
                    <w:snapToGrid w:val="0"/>
                    <w:spacing w:line="240" w:lineRule="auto"/>
                    <w:ind w:firstLine="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19</w:t>
                  </w:r>
                </w:p>
              </w:tc>
              <w:tc>
                <w:tcPr>
                  <w:tcW w:w="1774" w:type="dxa"/>
                  <w:tcBorders>
                    <w:right w:val="single" w:color="auto" w:sz="4" w:space="0"/>
                  </w:tcBorders>
                  <w:vAlign w:val="center"/>
                </w:tcPr>
                <w:p w14:paraId="08776BD7">
                  <w:pPr>
                    <w:pStyle w:val="44"/>
                    <w:adjustRightInd w:val="0"/>
                    <w:snapToGrid w:val="0"/>
                    <w:spacing w:line="240" w:lineRule="auto"/>
                    <w:ind w:firstLine="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19.5</w:t>
                  </w:r>
                </w:p>
              </w:tc>
              <w:tc>
                <w:tcPr>
                  <w:tcW w:w="1913" w:type="dxa"/>
                  <w:tcBorders>
                    <w:left w:val="single" w:color="auto" w:sz="4" w:space="0"/>
                    <w:right w:val="single" w:color="auto" w:sz="4" w:space="0"/>
                  </w:tcBorders>
                  <w:vAlign w:val="center"/>
                </w:tcPr>
                <w:p w14:paraId="6870CF99">
                  <w:pPr>
                    <w:pStyle w:val="44"/>
                    <w:adjustRightInd w:val="0"/>
                    <w:snapToGrid w:val="0"/>
                    <w:spacing w:line="240" w:lineRule="auto"/>
                    <w:ind w:firstLine="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2</w:t>
                  </w:r>
                  <w:r>
                    <w:rPr>
                      <w:rFonts w:hint="eastAsia"/>
                      <w:color w:val="000000" w:themeColor="text1"/>
                      <w:spacing w:val="0"/>
                      <w:szCs w:val="21"/>
                      <w:highlight w:val="none"/>
                      <w:lang w:val="en-US" w:eastAsia="zh-CN"/>
                      <w14:textFill>
                        <w14:solidFill>
                          <w14:schemeClr w14:val="tx1"/>
                        </w14:solidFill>
                      </w14:textFill>
                    </w:rPr>
                    <w:t>7</w:t>
                  </w:r>
                </w:p>
              </w:tc>
              <w:tc>
                <w:tcPr>
                  <w:tcW w:w="1702" w:type="dxa"/>
                  <w:tcBorders>
                    <w:left w:val="single" w:color="auto" w:sz="4" w:space="0"/>
                  </w:tcBorders>
                  <w:vAlign w:val="center"/>
                </w:tcPr>
                <w:p w14:paraId="4AD91F23">
                  <w:pPr>
                    <w:pStyle w:val="44"/>
                    <w:adjustRightInd w:val="0"/>
                    <w:snapToGrid w:val="0"/>
                    <w:spacing w:line="240" w:lineRule="auto"/>
                    <w:ind w:firstLine="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4</w:t>
                  </w:r>
                  <w:r>
                    <w:rPr>
                      <w:rFonts w:hint="eastAsia"/>
                      <w:color w:val="000000" w:themeColor="text1"/>
                      <w:spacing w:val="0"/>
                      <w:szCs w:val="21"/>
                      <w:highlight w:val="none"/>
                      <w:lang w:val="en-US" w:eastAsia="zh-CN"/>
                      <w14:textFill>
                        <w14:solidFill>
                          <w14:schemeClr w14:val="tx1"/>
                        </w14:solidFill>
                      </w14:textFill>
                    </w:rPr>
                    <w:t>4</w:t>
                  </w:r>
                </w:p>
              </w:tc>
            </w:tr>
          </w:tbl>
          <w:p w14:paraId="506D9618">
            <w:pPr>
              <w:pStyle w:val="44"/>
              <w:spacing w:line="360" w:lineRule="auto"/>
              <w:outlineLvl w:val="9"/>
              <w:rPr>
                <w:rFonts w:ascii="Times New Roman" w:hAnsi="Times New Roman" w:eastAsia="宋体"/>
                <w:color w:val="000000" w:themeColor="text1"/>
                <w:spacing w:val="0"/>
                <w:sz w:val="24"/>
                <w:highlight w:val="none"/>
                <w14:textFill>
                  <w14:solidFill>
                    <w14:schemeClr w14:val="tx1"/>
                  </w14:solidFill>
                </w14:textFill>
              </w:rPr>
            </w:pPr>
          </w:p>
          <w:p w14:paraId="17240311">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 xml:space="preserve">③预测内容 </w:t>
            </w:r>
          </w:p>
          <w:p w14:paraId="5B966FAD">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厂界：噪声贡献值。</w:t>
            </w:r>
          </w:p>
          <w:p w14:paraId="35472B25">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（3）预测结果及评价</w:t>
            </w:r>
          </w:p>
          <w:p w14:paraId="064F087B">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变电站噪声预测及评价主要为本期新建的主变压器</w:t>
            </w:r>
            <w:r>
              <w:rPr>
                <w:rFonts w:hint="eastAsia"/>
                <w:color w:val="000000" w:themeColor="text1"/>
                <w:spacing w:val="0"/>
                <w:sz w:val="24"/>
                <w:highlight w:val="none"/>
                <w:lang w:eastAsia="zh-CN"/>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站用变压器</w:t>
            </w:r>
            <w:r>
              <w:rPr>
                <w:rFonts w:ascii="Times New Roman" w:hAnsi="Times New Roman" w:eastAsia="宋体"/>
                <w:color w:val="000000" w:themeColor="text1"/>
                <w:spacing w:val="0"/>
                <w:sz w:val="24"/>
                <w:highlight w:val="none"/>
                <w14:textFill>
                  <w14:solidFill>
                    <w14:schemeClr w14:val="tx1"/>
                  </w14:solidFill>
                </w14:textFill>
              </w:rPr>
              <w:t>。变电站本期投运后产生的厂界噪声预测结果见表4-</w:t>
            </w:r>
            <w:r>
              <w:rPr>
                <w:rFonts w:hint="eastAsia" w:ascii="Times New Roman" w:hAnsi="Times New Roman" w:eastAsia="宋体"/>
                <w:color w:val="000000" w:themeColor="text1"/>
                <w:spacing w:val="0"/>
                <w:sz w:val="24"/>
                <w:highlight w:val="none"/>
                <w14:textFill>
                  <w14:solidFill>
                    <w14:schemeClr w14:val="tx1"/>
                  </w14:solidFill>
                </w14:textFill>
              </w:rPr>
              <w:t>6</w:t>
            </w:r>
            <w:r>
              <w:rPr>
                <w:rFonts w:ascii="Times New Roman" w:hAnsi="Times New Roman" w:eastAsia="宋体"/>
                <w:color w:val="000000" w:themeColor="text1"/>
                <w:spacing w:val="0"/>
                <w:sz w:val="24"/>
                <w:highlight w:val="none"/>
                <w14:textFill>
                  <w14:solidFill>
                    <w14:schemeClr w14:val="tx1"/>
                  </w14:solidFill>
                </w14:textFill>
              </w:rPr>
              <w:t>。</w:t>
            </w:r>
          </w:p>
          <w:p w14:paraId="21050897">
            <w:pPr>
              <w:pStyle w:val="44"/>
              <w:spacing w:line="240" w:lineRule="auto"/>
              <w:ind w:firstLine="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 xml:space="preserve">         表4-</w:t>
            </w:r>
            <w:r>
              <w:rPr>
                <w:rFonts w:hint="eastAsia" w:ascii="Times New Roman" w:hAnsi="Times New Roman" w:eastAsia="宋体"/>
                <w:b/>
                <w:bCs/>
                <w:color w:val="000000" w:themeColor="text1"/>
                <w:spacing w:val="0"/>
                <w:sz w:val="24"/>
                <w:highlight w:val="none"/>
                <w14:textFill>
                  <w14:solidFill>
                    <w14:schemeClr w14:val="tx1"/>
                  </w14:solidFill>
                </w14:textFill>
              </w:rPr>
              <w:t>6</w:t>
            </w:r>
            <w:r>
              <w:rPr>
                <w:rFonts w:ascii="Times New Roman" w:hAnsi="Times New Roman" w:eastAsia="宋体"/>
                <w:b/>
                <w:bCs/>
                <w:color w:val="000000" w:themeColor="text1"/>
                <w:spacing w:val="0"/>
                <w:sz w:val="24"/>
                <w:highlight w:val="none"/>
                <w14:textFill>
                  <w14:solidFill>
                    <w14:schemeClr w14:val="tx1"/>
                  </w14:solidFill>
                </w14:textFill>
              </w:rPr>
              <w:t xml:space="preserve">  变电站本期工程投运后环境噪声预测结果   </w:t>
            </w:r>
            <w:r>
              <w:rPr>
                <w:rFonts w:ascii="Times New Roman" w:hAnsi="Times New Roman" w:eastAsia="宋体"/>
                <w:color w:val="000000" w:themeColor="text1"/>
                <w:spacing w:val="0"/>
                <w:sz w:val="24"/>
                <w:highlight w:val="none"/>
                <w14:textFill>
                  <w14:solidFill>
                    <w14:schemeClr w14:val="tx1"/>
                  </w14:solidFill>
                </w14:textFill>
              </w:rPr>
              <w:t xml:space="preserve">  单位：dB(A)</w:t>
            </w:r>
          </w:p>
          <w:tbl>
            <w:tblPr>
              <w:tblStyle w:val="26"/>
              <w:tblW w:w="832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12"/>
              <w:gridCol w:w="1785"/>
              <w:gridCol w:w="1770"/>
              <w:gridCol w:w="1740"/>
              <w:gridCol w:w="1721"/>
            </w:tblGrid>
            <w:tr w14:paraId="583152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1312" w:type="dxa"/>
                  <w:vAlign w:val="center"/>
                </w:tcPr>
                <w:p w14:paraId="59273B48">
                  <w:pPr>
                    <w:spacing w:line="240" w:lineRule="atLeast"/>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预测位置</w:t>
                  </w:r>
                </w:p>
              </w:tc>
              <w:tc>
                <w:tcPr>
                  <w:tcW w:w="1785" w:type="dxa"/>
                  <w:tcBorders>
                    <w:bottom w:val="single" w:color="auto" w:sz="4" w:space="0"/>
                    <w:right w:val="single" w:color="auto" w:sz="4" w:space="0"/>
                  </w:tcBorders>
                  <w:vAlign w:val="center"/>
                </w:tcPr>
                <w:p w14:paraId="511A1C5C">
                  <w:pPr>
                    <w:spacing w:line="240" w:lineRule="atLeast"/>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变电站东侧厂界</w:t>
                  </w:r>
                </w:p>
              </w:tc>
              <w:tc>
                <w:tcPr>
                  <w:tcW w:w="1770" w:type="dxa"/>
                  <w:tcBorders>
                    <w:left w:val="single" w:color="auto" w:sz="4" w:space="0"/>
                    <w:bottom w:val="single" w:color="auto" w:sz="4" w:space="0"/>
                    <w:right w:val="single" w:color="auto" w:sz="4" w:space="0"/>
                  </w:tcBorders>
                  <w:vAlign w:val="center"/>
                </w:tcPr>
                <w:p w14:paraId="71BEE224">
                  <w:pPr>
                    <w:spacing w:line="240" w:lineRule="atLeast"/>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变电站南侧厂界</w:t>
                  </w:r>
                </w:p>
              </w:tc>
              <w:tc>
                <w:tcPr>
                  <w:tcW w:w="1740" w:type="dxa"/>
                  <w:tcBorders>
                    <w:left w:val="single" w:color="auto" w:sz="4" w:space="0"/>
                    <w:bottom w:val="single" w:color="auto" w:sz="4" w:space="0"/>
                    <w:right w:val="single" w:color="auto" w:sz="4" w:space="0"/>
                  </w:tcBorders>
                  <w:vAlign w:val="center"/>
                </w:tcPr>
                <w:p w14:paraId="42F66E6C">
                  <w:pPr>
                    <w:spacing w:line="240" w:lineRule="atLeast"/>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变电站西侧厂界</w:t>
                  </w:r>
                </w:p>
              </w:tc>
              <w:tc>
                <w:tcPr>
                  <w:tcW w:w="1721" w:type="dxa"/>
                  <w:tcBorders>
                    <w:left w:val="single" w:color="auto" w:sz="4" w:space="0"/>
                    <w:bottom w:val="single" w:color="auto" w:sz="4" w:space="0"/>
                  </w:tcBorders>
                  <w:vAlign w:val="center"/>
                </w:tcPr>
                <w:p w14:paraId="02F6FC15">
                  <w:pPr>
                    <w:spacing w:line="240" w:lineRule="atLeast"/>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变电站北侧厂界</w:t>
                  </w:r>
                </w:p>
              </w:tc>
            </w:tr>
            <w:tr w14:paraId="0F6BF2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312" w:type="dxa"/>
                  <w:vAlign w:val="center"/>
                </w:tcPr>
                <w:p w14:paraId="77404E2A">
                  <w:pPr>
                    <w:spacing w:line="240" w:lineRule="atLeast"/>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贡献值</w:t>
                  </w:r>
                </w:p>
              </w:tc>
              <w:tc>
                <w:tcPr>
                  <w:tcW w:w="1785" w:type="dxa"/>
                  <w:tcBorders>
                    <w:right w:val="single" w:color="auto" w:sz="4" w:space="0"/>
                  </w:tcBorders>
                  <w:vAlign w:val="center"/>
                </w:tcPr>
                <w:p w14:paraId="79039DDC">
                  <w:pPr>
                    <w:adjustRightInd w:val="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43</w:t>
                  </w:r>
                </w:p>
              </w:tc>
              <w:tc>
                <w:tcPr>
                  <w:tcW w:w="1770" w:type="dxa"/>
                  <w:tcBorders>
                    <w:left w:val="single" w:color="auto" w:sz="4" w:space="0"/>
                    <w:right w:val="single" w:color="auto" w:sz="4" w:space="0"/>
                  </w:tcBorders>
                  <w:vAlign w:val="center"/>
                </w:tcPr>
                <w:p w14:paraId="1ACC03D3">
                  <w:pPr>
                    <w:adjustRightInd w:val="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42</w:t>
                  </w:r>
                </w:p>
              </w:tc>
              <w:tc>
                <w:tcPr>
                  <w:tcW w:w="1740" w:type="dxa"/>
                  <w:tcBorders>
                    <w:left w:val="single" w:color="auto" w:sz="4" w:space="0"/>
                    <w:right w:val="single" w:color="auto" w:sz="4" w:space="0"/>
                  </w:tcBorders>
                  <w:vAlign w:val="center"/>
                </w:tcPr>
                <w:p w14:paraId="1FBB75B8">
                  <w:pPr>
                    <w:adjustRightInd w:val="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40</w:t>
                  </w:r>
                </w:p>
              </w:tc>
              <w:tc>
                <w:tcPr>
                  <w:tcW w:w="1721" w:type="dxa"/>
                  <w:tcBorders>
                    <w:left w:val="single" w:color="auto" w:sz="4" w:space="0"/>
                  </w:tcBorders>
                  <w:vAlign w:val="center"/>
                </w:tcPr>
                <w:p w14:paraId="759FD2EE">
                  <w:pPr>
                    <w:spacing w:line="240" w:lineRule="atLeast"/>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35</w:t>
                  </w:r>
                </w:p>
              </w:tc>
            </w:tr>
            <w:tr w14:paraId="25E0D6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312" w:type="dxa"/>
                  <w:vAlign w:val="center"/>
                </w:tcPr>
                <w:p w14:paraId="3B3FB363">
                  <w:pPr>
                    <w:spacing w:line="240" w:lineRule="atLeast"/>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标准值</w:t>
                  </w:r>
                </w:p>
              </w:tc>
              <w:tc>
                <w:tcPr>
                  <w:tcW w:w="7016" w:type="dxa"/>
                  <w:gridSpan w:val="4"/>
                  <w:vAlign w:val="center"/>
                </w:tcPr>
                <w:p w14:paraId="15D19F81">
                  <w:pPr>
                    <w:spacing w:line="240" w:lineRule="atLeast"/>
                    <w:jc w:val="center"/>
                    <w:outlineLvl w:val="9"/>
                    <w:rPr>
                      <w:rFonts w:hint="eastAsia" w:ascii="Times New Roman" w:hAnsi="Times New Roman" w:eastAsia="宋体"/>
                      <w:b/>
                      <w:bCs/>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昼间：6</w:t>
                  </w:r>
                  <w:r>
                    <w:rPr>
                      <w:rFonts w:hint="eastAsia"/>
                      <w:color w:val="000000" w:themeColor="text1"/>
                      <w:spacing w:val="0"/>
                      <w:highlight w:val="none"/>
                      <w:lang w:val="en-US" w:eastAsia="zh-CN"/>
                      <w14:textFill>
                        <w14:solidFill>
                          <w14:schemeClr w14:val="tx1"/>
                        </w14:solidFill>
                      </w14:textFill>
                    </w:rPr>
                    <w:t>0</w:t>
                  </w:r>
                  <w:r>
                    <w:rPr>
                      <w:rFonts w:ascii="Times New Roman" w:hAnsi="Times New Roman" w:eastAsia="宋体"/>
                      <w:color w:val="000000" w:themeColor="text1"/>
                      <w:spacing w:val="0"/>
                      <w:highlight w:val="none"/>
                      <w14:textFill>
                        <w14:solidFill>
                          <w14:schemeClr w14:val="tx1"/>
                        </w14:solidFill>
                      </w14:textFill>
                    </w:rPr>
                    <w:t>，夜间：5</w:t>
                  </w:r>
                  <w:r>
                    <w:rPr>
                      <w:rFonts w:hint="eastAsia"/>
                      <w:color w:val="000000" w:themeColor="text1"/>
                      <w:spacing w:val="0"/>
                      <w:highlight w:val="none"/>
                      <w:lang w:val="en-US" w:eastAsia="zh-CN"/>
                      <w14:textFill>
                        <w14:solidFill>
                          <w14:schemeClr w14:val="tx1"/>
                        </w14:solidFill>
                      </w14:textFill>
                    </w:rPr>
                    <w:t>0</w:t>
                  </w:r>
                </w:p>
              </w:tc>
            </w:tr>
          </w:tbl>
          <w:p w14:paraId="3D9A869F">
            <w:pPr>
              <w:widowControl/>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由以上预测结果可知，本期变电站工程投运后产生的厂界噪声贡献值在（</w:t>
            </w:r>
            <w:r>
              <w:rPr>
                <w:rFonts w:hint="eastAsia"/>
                <w:color w:val="000000" w:themeColor="text1"/>
                <w:spacing w:val="0"/>
                <w:sz w:val="24"/>
                <w:highlight w:val="none"/>
                <w:lang w:val="en-US" w:eastAsia="zh-CN"/>
                <w14:textFill>
                  <w14:solidFill>
                    <w14:schemeClr w14:val="tx1"/>
                  </w14:solidFill>
                </w14:textFill>
              </w:rPr>
              <w:t>35-43</w:t>
            </w:r>
            <w:r>
              <w:rPr>
                <w:rFonts w:ascii="Times New Roman" w:hAnsi="Times New Roman" w:eastAsia="宋体"/>
                <w:color w:val="000000" w:themeColor="text1"/>
                <w:spacing w:val="0"/>
                <w:sz w:val="24"/>
                <w:highlight w:val="none"/>
                <w14:textFill>
                  <w14:solidFill>
                    <w14:schemeClr w14:val="tx1"/>
                  </w14:solidFill>
                </w14:textFill>
              </w:rPr>
              <w:t>）dB(A)之间，低于《工业企业厂界环境噪声排放标准》（GB12348-2008）中的</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类</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昼间6</w:t>
            </w:r>
            <w:r>
              <w:rPr>
                <w:rFonts w:hint="eastAsia"/>
                <w:color w:val="000000" w:themeColor="text1"/>
                <w:spacing w:val="0"/>
                <w:sz w:val="24"/>
                <w:highlight w:val="none"/>
                <w:lang w:val="en-US" w:eastAsia="zh-CN"/>
                <w14:textFill>
                  <w14:solidFill>
                    <w14:schemeClr w14:val="tx1"/>
                  </w14:solidFill>
                </w14:textFill>
              </w:rPr>
              <w:t>0</w:t>
            </w:r>
            <w:r>
              <w:rPr>
                <w:rFonts w:ascii="Times New Roman" w:hAnsi="Times New Roman" w:eastAsia="宋体"/>
                <w:color w:val="000000" w:themeColor="text1"/>
                <w:spacing w:val="0"/>
                <w:sz w:val="24"/>
                <w:highlight w:val="none"/>
                <w14:textFill>
                  <w14:solidFill>
                    <w14:schemeClr w14:val="tx1"/>
                  </w14:solidFill>
                </w14:textFill>
              </w:rPr>
              <w:t>dB(A)、夜间5</w:t>
            </w:r>
            <w:r>
              <w:rPr>
                <w:rFonts w:hint="eastAsia"/>
                <w:color w:val="000000" w:themeColor="text1"/>
                <w:spacing w:val="0"/>
                <w:sz w:val="24"/>
                <w:highlight w:val="none"/>
                <w:lang w:val="en-US" w:eastAsia="zh-CN"/>
                <w14:textFill>
                  <w14:solidFill>
                    <w14:schemeClr w14:val="tx1"/>
                  </w14:solidFill>
                </w14:textFill>
              </w:rPr>
              <w:t>0</w:t>
            </w:r>
            <w:r>
              <w:rPr>
                <w:rFonts w:ascii="Times New Roman" w:hAnsi="Times New Roman" w:eastAsia="宋体"/>
                <w:color w:val="000000" w:themeColor="text1"/>
                <w:spacing w:val="0"/>
                <w:sz w:val="24"/>
                <w:highlight w:val="none"/>
                <w14:textFill>
                  <w14:solidFill>
                    <w14:schemeClr w14:val="tx1"/>
                  </w14:solidFill>
                </w14:textFill>
              </w:rPr>
              <w:t>dB(A)</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。变电站投运后，</w:t>
            </w:r>
            <w:r>
              <w:rPr>
                <w:rFonts w:hint="eastAsia" w:ascii="Times New Roman" w:hAnsi="Times New Roman" w:eastAsia="宋体"/>
                <w:color w:val="000000" w:themeColor="text1"/>
                <w:spacing w:val="0"/>
                <w:sz w:val="24"/>
                <w:highlight w:val="none"/>
                <w14:textFill>
                  <w14:solidFill>
                    <w14:schemeClr w14:val="tx1"/>
                  </w14:solidFill>
                </w14:textFill>
              </w:rPr>
              <w:t>对周围</w:t>
            </w:r>
            <w:r>
              <w:rPr>
                <w:rFonts w:ascii="Times New Roman" w:hAnsi="Times New Roman" w:eastAsia="宋体"/>
                <w:color w:val="000000" w:themeColor="text1"/>
                <w:spacing w:val="0"/>
                <w:sz w:val="24"/>
                <w:highlight w:val="none"/>
                <w14:textFill>
                  <w14:solidFill>
                    <w14:schemeClr w14:val="tx1"/>
                  </w14:solidFill>
                </w14:textFill>
              </w:rPr>
              <w:t>声环境基</w:t>
            </w:r>
            <w:r>
              <w:rPr>
                <w:rFonts w:hint="eastAsia"/>
                <w:color w:val="000000" w:themeColor="text1"/>
                <w:spacing w:val="0"/>
                <w:sz w:val="24"/>
                <w:highlight w:val="none"/>
                <w:lang w:val="en-US" w:eastAsia="zh-CN"/>
                <w14:textFill>
                  <w14:solidFill>
                    <w14:schemeClr w14:val="tx1"/>
                  </w14:solidFill>
                </w14:textFill>
              </w:rPr>
              <w:t>影响较小</w:t>
            </w:r>
            <w:r>
              <w:rPr>
                <w:rFonts w:ascii="Times New Roman" w:hAnsi="Times New Roman" w:eastAsia="宋体"/>
                <w:color w:val="000000" w:themeColor="text1"/>
                <w:spacing w:val="0"/>
                <w:sz w:val="24"/>
                <w:highlight w:val="none"/>
                <w14:textFill>
                  <w14:solidFill>
                    <w14:schemeClr w14:val="tx1"/>
                  </w14:solidFill>
                </w14:textFill>
              </w:rPr>
              <w:t>。</w:t>
            </w:r>
          </w:p>
          <w:p w14:paraId="2ECFE849">
            <w:pPr>
              <w:spacing w:line="360" w:lineRule="auto"/>
              <w:ind w:firstLine="472" w:firstLineChars="196"/>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w:t>
            </w:r>
            <w:r>
              <w:rPr>
                <w:rFonts w:hint="eastAsia" w:ascii="Times New Roman" w:hAnsi="Times New Roman" w:eastAsia="宋体"/>
                <w:b/>
                <w:bCs/>
                <w:color w:val="000000" w:themeColor="text1"/>
                <w:spacing w:val="0"/>
                <w:sz w:val="24"/>
                <w:highlight w:val="none"/>
                <w14:textFill>
                  <w14:solidFill>
                    <w14:schemeClr w14:val="tx1"/>
                  </w14:solidFill>
                </w14:textFill>
              </w:rPr>
              <w:t>2</w:t>
            </w:r>
            <w:r>
              <w:rPr>
                <w:rFonts w:ascii="Times New Roman" w:hAnsi="Times New Roman" w:eastAsia="宋体"/>
                <w:b/>
                <w:bCs/>
                <w:color w:val="000000" w:themeColor="text1"/>
                <w:spacing w:val="0"/>
                <w:sz w:val="24"/>
                <w:highlight w:val="none"/>
                <w14:textFill>
                  <w14:solidFill>
                    <w14:schemeClr w14:val="tx1"/>
                  </w14:solidFill>
                </w14:textFill>
              </w:rPr>
              <w:t>）本项目双回路架空线路</w:t>
            </w:r>
          </w:p>
          <w:p w14:paraId="790EF37C">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①选择类比对象</w:t>
            </w:r>
          </w:p>
          <w:p w14:paraId="4D9FDA60">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w:t>
            </w:r>
            <w:r>
              <w:rPr>
                <w:rFonts w:hint="eastAsia" w:ascii="Times New Roman" w:hAnsi="Times New Roman" w:eastAsia="宋体"/>
                <w:color w:val="000000" w:themeColor="text1"/>
                <w:spacing w:val="0"/>
                <w:sz w:val="24"/>
                <w:highlight w:val="none"/>
                <w14:textFill>
                  <w14:solidFill>
                    <w14:schemeClr w14:val="tx1"/>
                  </w14:solidFill>
                </w14:textFill>
              </w:rPr>
              <w:t>申庄~黄铎堡改接清水河变电站110kV线路</w:t>
            </w:r>
            <w:r>
              <w:rPr>
                <w:rFonts w:hint="eastAsia"/>
                <w:color w:val="000000" w:themeColor="text1"/>
                <w:spacing w:val="0"/>
                <w:sz w:val="24"/>
                <w:highlight w:val="none"/>
                <w:lang w:val="en-US" w:eastAsia="zh-CN"/>
                <w14:textFill>
                  <w14:solidFill>
                    <w14:schemeClr w14:val="tx1"/>
                  </w14:solidFill>
                </w14:textFill>
              </w:rPr>
              <w:t>部分线路采用双回路架设，架设长度2×1.75千米，所以</w:t>
            </w:r>
            <w:r>
              <w:rPr>
                <w:rFonts w:ascii="Times New Roman" w:hAnsi="Times New Roman" w:eastAsia="宋体"/>
                <w:color w:val="000000" w:themeColor="text1"/>
                <w:spacing w:val="0"/>
                <w:sz w:val="24"/>
                <w:highlight w:val="none"/>
                <w14:textFill>
                  <w14:solidFill>
                    <w14:schemeClr w14:val="tx1"/>
                  </w14:solidFill>
                </w14:textFill>
              </w:rPr>
              <w:t>选取同规模已运行线路进行类比预测的方法来分析本项目双回路架空线路产生的噪声对周围环境的影响。类比监测线路选择已运行的；110千伏汉白甲乙线双回路架空线路监测断面双回路（6#-7#杆塔间）进行类比，监测结果引用《宁夏宁东江汉330 千伏变电站110千伏送出工程</w:t>
            </w:r>
            <w:r>
              <w:rPr>
                <w:rFonts w:hint="eastAsia" w:ascii="Times New Roman" w:hAnsi="Times New Roman" w:eastAsia="宋体"/>
                <w:color w:val="000000" w:themeColor="text1"/>
                <w:spacing w:val="0"/>
                <w:sz w:val="24"/>
                <w:highlight w:val="none"/>
                <w14:textFill>
                  <w14:solidFill>
                    <w14:schemeClr w14:val="tx1"/>
                  </w14:solidFill>
                </w14:textFill>
              </w:rPr>
              <w:t>检测报告</w:t>
            </w:r>
            <w:r>
              <w:rPr>
                <w:rFonts w:ascii="Times New Roman" w:hAnsi="Times New Roman" w:eastAsia="宋体"/>
                <w:color w:val="000000" w:themeColor="text1"/>
                <w:spacing w:val="0"/>
                <w:sz w:val="24"/>
                <w:highlight w:val="none"/>
                <w14:textFill>
                  <w14:solidFill>
                    <w14:schemeClr w14:val="tx1"/>
                  </w14:solidFill>
                </w14:textFill>
              </w:rPr>
              <w:t>》中对110千伏汉白甲乙线双回路（6#-7#杆塔间））线路的监测数据，具体详见附件</w:t>
            </w:r>
            <w:r>
              <w:rPr>
                <w:rFonts w:hint="eastAsia"/>
                <w:color w:val="000000" w:themeColor="text1"/>
                <w:spacing w:val="0"/>
                <w:sz w:val="24"/>
                <w:highlight w:val="none"/>
                <w:lang w:val="en-US" w:eastAsia="zh-CN"/>
                <w14:textFill>
                  <w14:solidFill>
                    <w14:schemeClr w14:val="tx1"/>
                  </w14:solidFill>
                </w14:textFill>
              </w:rPr>
              <w:t>4</w:t>
            </w:r>
            <w:r>
              <w:rPr>
                <w:rFonts w:ascii="Times New Roman" w:hAnsi="Times New Roman" w:eastAsia="宋体"/>
                <w:color w:val="000000" w:themeColor="text1"/>
                <w:spacing w:val="0"/>
                <w:sz w:val="24"/>
                <w:highlight w:val="none"/>
                <w14:textFill>
                  <w14:solidFill>
                    <w14:schemeClr w14:val="tx1"/>
                  </w14:solidFill>
                </w14:textFill>
              </w:rPr>
              <w:t>。</w:t>
            </w:r>
          </w:p>
          <w:p w14:paraId="0889784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线路产生的噪声主要与线路电压等级、导线架设方式、导线排列方式等因素有关，根据表4-</w:t>
            </w:r>
            <w:r>
              <w:rPr>
                <w:rFonts w:hint="eastAsia"/>
                <w:color w:val="000000" w:themeColor="text1"/>
                <w:spacing w:val="0"/>
                <w:sz w:val="24"/>
                <w:highlight w:val="none"/>
                <w:lang w:val="en-US" w:eastAsia="zh-CN"/>
                <w14:textFill>
                  <w14:solidFill>
                    <w14:schemeClr w14:val="tx1"/>
                  </w14:solidFill>
                </w14:textFill>
              </w:rPr>
              <w:t>7</w:t>
            </w:r>
            <w:r>
              <w:rPr>
                <w:rFonts w:ascii="Times New Roman" w:hAnsi="Times New Roman" w:eastAsia="宋体"/>
                <w:color w:val="000000" w:themeColor="text1"/>
                <w:spacing w:val="0"/>
                <w:sz w:val="24"/>
                <w:highlight w:val="none"/>
                <w14:textFill>
                  <w14:solidFill>
                    <w14:schemeClr w14:val="tx1"/>
                  </w14:solidFill>
                </w14:textFill>
              </w:rPr>
              <w:t>。</w:t>
            </w:r>
          </w:p>
          <w:p w14:paraId="1CD9239A">
            <w:pPr>
              <w:adjustRightInd w:val="0"/>
              <w:snapToGrid w:val="0"/>
              <w:spacing w:line="360" w:lineRule="auto"/>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b/>
                <w:bCs/>
                <w:color w:val="000000" w:themeColor="text1"/>
                <w:spacing w:val="0"/>
                <w:sz w:val="24"/>
                <w:highlight w:val="none"/>
                <w:lang w:val="en-US" w:eastAsia="zh-CN"/>
                <w14:textFill>
                  <w14:solidFill>
                    <w14:schemeClr w14:val="tx1"/>
                  </w14:solidFill>
                </w14:textFill>
              </w:rPr>
              <w:t>7</w:t>
            </w:r>
            <w:r>
              <w:rPr>
                <w:rFonts w:ascii="Times New Roman" w:hAnsi="Times New Roman" w:eastAsia="宋体"/>
                <w:b/>
                <w:bCs/>
                <w:color w:val="000000" w:themeColor="text1"/>
                <w:spacing w:val="0"/>
                <w:sz w:val="24"/>
                <w:highlight w:val="none"/>
                <w14:textFill>
                  <w14:solidFill>
                    <w14:schemeClr w14:val="tx1"/>
                  </w14:solidFill>
                </w14:textFill>
              </w:rPr>
              <w:t xml:space="preserve">  110kV双回路线路类比情况一览表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3327"/>
              <w:gridCol w:w="2912"/>
            </w:tblGrid>
            <w:tr w14:paraId="1C694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51378790">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项目</w:t>
                  </w:r>
                </w:p>
              </w:tc>
              <w:tc>
                <w:tcPr>
                  <w:tcW w:w="3327" w:type="dxa"/>
                  <w:vAlign w:val="center"/>
                </w:tcPr>
                <w:p w14:paraId="5A587721">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申庄~黄铎堡改接清水河变电站110kV线路</w:t>
                  </w:r>
                  <w:r>
                    <w:rPr>
                      <w:rFonts w:ascii="Times New Roman" w:hAnsi="Times New Roman" w:eastAsia="宋体" w:cs="Times New Roman"/>
                      <w:color w:val="000000" w:themeColor="text1"/>
                      <w:spacing w:val="0"/>
                      <w:sz w:val="21"/>
                      <w:szCs w:val="21"/>
                      <w:highlight w:val="none"/>
                      <w14:textFill>
                        <w14:solidFill>
                          <w14:schemeClr w14:val="tx1"/>
                        </w14:solidFill>
                      </w14:textFill>
                    </w:rPr>
                    <w:t>双回路段</w:t>
                  </w:r>
                </w:p>
              </w:tc>
              <w:tc>
                <w:tcPr>
                  <w:tcW w:w="2912" w:type="dxa"/>
                  <w:vAlign w:val="center"/>
                </w:tcPr>
                <w:p w14:paraId="0EDF0256">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110千伏汉白甲乙线双回路（6#-7#杆塔间）（类比线路）</w:t>
                  </w:r>
                </w:p>
              </w:tc>
            </w:tr>
            <w:tr w14:paraId="6AF94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0EA69BE4">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所在位置</w:t>
                  </w:r>
                </w:p>
              </w:tc>
              <w:tc>
                <w:tcPr>
                  <w:tcW w:w="3327" w:type="dxa"/>
                  <w:vAlign w:val="center"/>
                </w:tcPr>
                <w:p w14:paraId="28B73194">
                  <w:pPr>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2912" w:type="dxa"/>
                  <w:vAlign w:val="center"/>
                </w:tcPr>
                <w:p w14:paraId="16F5B3A4">
                  <w:pPr>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01F3E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3" w:type="dxa"/>
                  <w:vAlign w:val="center"/>
                </w:tcPr>
                <w:p w14:paraId="786DE9AE">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电压等级</w:t>
                  </w:r>
                </w:p>
              </w:tc>
              <w:tc>
                <w:tcPr>
                  <w:tcW w:w="3327" w:type="dxa"/>
                  <w:vAlign w:val="center"/>
                </w:tcPr>
                <w:p w14:paraId="2BAAA17D">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110kV</w:t>
                  </w:r>
                </w:p>
              </w:tc>
              <w:tc>
                <w:tcPr>
                  <w:tcW w:w="2912" w:type="dxa"/>
                  <w:vAlign w:val="center"/>
                </w:tcPr>
                <w:p w14:paraId="4C01F3D4">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110kV</w:t>
                  </w:r>
                </w:p>
              </w:tc>
            </w:tr>
            <w:tr w14:paraId="1971D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05023185">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导线架设方式</w:t>
                  </w:r>
                </w:p>
              </w:tc>
              <w:tc>
                <w:tcPr>
                  <w:tcW w:w="3327" w:type="dxa"/>
                  <w:vAlign w:val="center"/>
                </w:tcPr>
                <w:p w14:paraId="40326488">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同塔双回路</w:t>
                  </w:r>
                </w:p>
              </w:tc>
              <w:tc>
                <w:tcPr>
                  <w:tcW w:w="2912" w:type="dxa"/>
                  <w:vAlign w:val="center"/>
                </w:tcPr>
                <w:p w14:paraId="68477C21">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同塔双回路</w:t>
                  </w:r>
                </w:p>
              </w:tc>
            </w:tr>
            <w:tr w14:paraId="673A1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3FD92D08">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导线型号</w:t>
                  </w:r>
                </w:p>
              </w:tc>
              <w:tc>
                <w:tcPr>
                  <w:tcW w:w="3327" w:type="dxa"/>
                  <w:vAlign w:val="center"/>
                </w:tcPr>
                <w:p w14:paraId="09A16A65">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1×JL3/G1A-300/25</w:t>
                  </w:r>
                </w:p>
              </w:tc>
              <w:tc>
                <w:tcPr>
                  <w:tcW w:w="2912" w:type="dxa"/>
                  <w:vAlign w:val="center"/>
                </w:tcPr>
                <w:p w14:paraId="107B5A0B">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1</w:t>
                  </w:r>
                  <w:r>
                    <w:rPr>
                      <w:rFonts w:ascii="Times New Roman" w:hAnsi="Times New Roman" w:eastAsia="宋体" w:cs="Times New Roman"/>
                      <w:color w:val="000000" w:themeColor="text1"/>
                      <w:spacing w:val="0"/>
                      <w:sz w:val="21"/>
                      <w:szCs w:val="21"/>
                      <w:highlight w:val="none"/>
                      <w14:textFill>
                        <w14:solidFill>
                          <w14:schemeClr w14:val="tx1"/>
                        </w14:solidFill>
                      </w14:textFill>
                    </w:rPr>
                    <w:t>×JL/G1A-300/25</w:t>
                  </w:r>
                </w:p>
              </w:tc>
            </w:tr>
            <w:tr w14:paraId="79771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7312F344">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分裂数</w:t>
                  </w:r>
                </w:p>
              </w:tc>
              <w:tc>
                <w:tcPr>
                  <w:tcW w:w="3327" w:type="dxa"/>
                  <w:vAlign w:val="center"/>
                </w:tcPr>
                <w:p w14:paraId="320C52E6">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1分裂</w:t>
                  </w:r>
                </w:p>
              </w:tc>
              <w:tc>
                <w:tcPr>
                  <w:tcW w:w="2912" w:type="dxa"/>
                  <w:vAlign w:val="center"/>
                </w:tcPr>
                <w:p w14:paraId="4E5ACFA6">
                  <w:pPr>
                    <w:pStyle w:val="45"/>
                    <w:spacing w:line="240" w:lineRule="atLeast"/>
                    <w:ind w:firstLine="0" w:firstLineChars="0"/>
                    <w:jc w:val="center"/>
                    <w:textAlignment w:val="center"/>
                    <w:outlineLvl w:val="9"/>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1分裂</w:t>
                  </w:r>
                </w:p>
              </w:tc>
            </w:tr>
            <w:tr w14:paraId="1E82B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3AB9DCE7">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导线排列方式</w:t>
                  </w:r>
                </w:p>
              </w:tc>
              <w:tc>
                <w:tcPr>
                  <w:tcW w:w="3327" w:type="dxa"/>
                  <w:vAlign w:val="center"/>
                </w:tcPr>
                <w:p w14:paraId="075C6183">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垂直排列</w:t>
                  </w:r>
                </w:p>
              </w:tc>
              <w:tc>
                <w:tcPr>
                  <w:tcW w:w="2912" w:type="dxa"/>
                  <w:vAlign w:val="center"/>
                </w:tcPr>
                <w:p w14:paraId="7E159F06">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垂直排列</w:t>
                  </w:r>
                </w:p>
              </w:tc>
            </w:tr>
            <w:tr w14:paraId="778E3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16DF5862">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导线对地高度</w:t>
                  </w:r>
                </w:p>
              </w:tc>
              <w:tc>
                <w:tcPr>
                  <w:tcW w:w="3327" w:type="dxa"/>
                  <w:vAlign w:val="center"/>
                </w:tcPr>
                <w:p w14:paraId="114E70E2">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实际导线对地高度不低于10m</w:t>
                  </w:r>
                </w:p>
              </w:tc>
              <w:tc>
                <w:tcPr>
                  <w:tcW w:w="2912" w:type="dxa"/>
                  <w:vAlign w:val="center"/>
                </w:tcPr>
                <w:p w14:paraId="094D5A4F">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11m</w:t>
                  </w:r>
                </w:p>
              </w:tc>
            </w:tr>
            <w:tr w14:paraId="35A1E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2517CDFF">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环境条件</w:t>
                  </w:r>
                </w:p>
              </w:tc>
              <w:tc>
                <w:tcPr>
                  <w:tcW w:w="6239" w:type="dxa"/>
                  <w:gridSpan w:val="2"/>
                  <w:vAlign w:val="center"/>
                </w:tcPr>
                <w:p w14:paraId="1D46867B">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均位于宁夏境内，</w:t>
                  </w:r>
                  <w:r>
                    <w:rPr>
                      <w:rFonts w:hint="eastAsia" w:eastAsia="宋体" w:cs="Times New Roman"/>
                      <w:color w:val="000000" w:themeColor="text1"/>
                      <w:spacing w:val="0"/>
                      <w:sz w:val="21"/>
                      <w:szCs w:val="21"/>
                      <w:highlight w:val="none"/>
                      <w:lang w:val="en-US" w:eastAsia="zh-CN"/>
                      <w14:textFill>
                        <w14:solidFill>
                          <w14:schemeClr w14:val="tx1"/>
                        </w14:solidFill>
                      </w14:textFill>
                    </w:rPr>
                    <w:t>地势开阔，</w:t>
                  </w:r>
                  <w:r>
                    <w:rPr>
                      <w:rFonts w:ascii="Times New Roman" w:hAnsi="Times New Roman" w:eastAsia="宋体" w:cs="Times New Roman"/>
                      <w:color w:val="000000" w:themeColor="text1"/>
                      <w:spacing w:val="0"/>
                      <w:sz w:val="21"/>
                      <w:szCs w:val="21"/>
                      <w:highlight w:val="none"/>
                      <w14:textFill>
                        <w14:solidFill>
                          <w14:schemeClr w14:val="tx1"/>
                        </w14:solidFill>
                      </w14:textFill>
                    </w:rPr>
                    <w:t>环境条件相似</w:t>
                  </w:r>
                </w:p>
              </w:tc>
            </w:tr>
          </w:tbl>
          <w:p w14:paraId="1EBB040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表4-6看出，类比线路110千伏汉白甲乙线同塔双回路线路（6#-7#）与本项目双回路段架空线路电压等级均为110kV，导线架设方式均为同塔双回路架设，导线排列方式均为垂直排列、导线型号</w:t>
            </w:r>
            <w:r>
              <w:rPr>
                <w:rFonts w:hint="eastAsia" w:ascii="Times New Roman" w:hAnsi="Times New Roman" w:eastAsia="宋体"/>
                <w:color w:val="000000" w:themeColor="text1"/>
                <w:spacing w:val="0"/>
                <w:sz w:val="24"/>
                <w:highlight w:val="none"/>
                <w14:textFill>
                  <w14:solidFill>
                    <w14:schemeClr w14:val="tx1"/>
                  </w14:solidFill>
                </w14:textFill>
              </w:rPr>
              <w:t>类似</w:t>
            </w:r>
            <w:r>
              <w:rPr>
                <w:rFonts w:ascii="Times New Roman" w:hAnsi="Times New Roman" w:eastAsia="宋体"/>
                <w:color w:val="000000" w:themeColor="text1"/>
                <w:spacing w:val="0"/>
                <w:sz w:val="24"/>
                <w:highlight w:val="none"/>
                <w14:textFill>
                  <w14:solidFill>
                    <w14:schemeClr w14:val="tx1"/>
                  </w14:solidFill>
                </w14:textFill>
              </w:rPr>
              <w:t>，且环境均较为空旷，环境条件类似。</w:t>
            </w:r>
            <w:r>
              <w:rPr>
                <w:rFonts w:hint="eastAsia" w:ascii="Times New Roman" w:hAnsi="Times New Roman" w:eastAsia="宋体"/>
                <w:color w:val="000000" w:themeColor="text1"/>
                <w:spacing w:val="0"/>
                <w:sz w:val="24"/>
                <w:highlight w:val="none"/>
                <w14:textFill>
                  <w14:solidFill>
                    <w14:schemeClr w14:val="tx1"/>
                  </w14:solidFill>
                </w14:textFill>
              </w:rPr>
              <w:t>虽然本段线路评价采用的高度与类比线路有所不同，但其高度差异只影响其产生噪声的最大值，不影响其总体变化趋势；通过对类比线路的监测，能反映类比线路产生的噪声随距离的总体变化趋势。</w:t>
            </w:r>
            <w:r>
              <w:rPr>
                <w:rFonts w:ascii="Times New Roman" w:hAnsi="Times New Roman" w:eastAsia="宋体"/>
                <w:color w:val="000000" w:themeColor="text1"/>
                <w:spacing w:val="0"/>
                <w:sz w:val="24"/>
                <w:highlight w:val="none"/>
                <w14:textFill>
                  <w14:solidFill>
                    <w14:schemeClr w14:val="tx1"/>
                  </w14:solidFill>
                </w14:textFill>
              </w:rPr>
              <w:t>因此，选用110千伏汉白甲乙线同塔双回路线路（6#-7#）运行时的噪声监测值能够较好的反应本项目110kV线路双回路架空线路段运行后产生的噪声影响。</w:t>
            </w:r>
          </w:p>
          <w:p w14:paraId="0796B2E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②类比监测单位</w:t>
            </w:r>
          </w:p>
          <w:p w14:paraId="3B58FA8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宁夏盛世蓝天环保技术有限公司。</w:t>
            </w:r>
          </w:p>
          <w:p w14:paraId="5F905EB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③类比监测项目</w:t>
            </w:r>
          </w:p>
          <w:p w14:paraId="408D8EFB">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噪声。</w:t>
            </w:r>
          </w:p>
          <w:p w14:paraId="11B3157E">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④类比监测方法</w:t>
            </w:r>
          </w:p>
          <w:p w14:paraId="1E4C423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按</w:t>
            </w:r>
            <w:r>
              <w:rPr>
                <w:color w:val="000000" w:themeColor="text1"/>
                <w:sz w:val="24"/>
                <w:highlight w:val="none"/>
                <w14:textFill>
                  <w14:solidFill>
                    <w14:schemeClr w14:val="tx1"/>
                  </w14:solidFill>
                </w14:textFill>
              </w:rPr>
              <w:t>《工业企业厂界环境噪声排放标准》（GB12348-2008）</w:t>
            </w:r>
            <w:r>
              <w:rPr>
                <w:rFonts w:ascii="Times New Roman" w:hAnsi="Times New Roman" w:eastAsia="宋体"/>
                <w:color w:val="000000" w:themeColor="text1"/>
                <w:spacing w:val="0"/>
                <w:sz w:val="24"/>
                <w:highlight w:val="none"/>
                <w14:textFill>
                  <w14:solidFill>
                    <w14:schemeClr w14:val="tx1"/>
                  </w14:solidFill>
                </w14:textFill>
              </w:rPr>
              <w:t>进行监测。采用类比分析方法评价架空线路运行后产生的噪声对周围环境的影响。</w:t>
            </w:r>
          </w:p>
          <w:p w14:paraId="6E95F23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⑤类比监测仪器</w:t>
            </w:r>
          </w:p>
          <w:p w14:paraId="097A93A2">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噪声监测仪器：AWA5688多功能声级计/AWA6221A 声校准器；</w:t>
            </w:r>
          </w:p>
          <w:p w14:paraId="3E7E6B5E">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量程范围：30dB~105dB/94.0dB；</w:t>
            </w:r>
          </w:p>
          <w:p w14:paraId="12E9D3DC">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生产厂家：杭州爱华仪器有限公司；</w:t>
            </w:r>
          </w:p>
          <w:p w14:paraId="2F71692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出厂编号：10329747/1007026；</w:t>
            </w:r>
          </w:p>
          <w:p w14:paraId="2CDCBD6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设备编号：LT-03/LT-03-1；</w:t>
            </w:r>
          </w:p>
          <w:p w14:paraId="2B5B4BB9">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⑥类比监测条件</w:t>
            </w:r>
          </w:p>
          <w:p w14:paraId="6874C53B">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类比监测时间：2023年10月11日。</w:t>
            </w:r>
          </w:p>
          <w:p w14:paraId="62BF5E25">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2023.10.11：昼间天气晴，</w:t>
            </w:r>
            <w:r>
              <w:rPr>
                <w:rFonts w:ascii="Times New Roman" w:hAnsi="Times New Roman" w:eastAsia="宋体"/>
                <w:color w:val="000000" w:themeColor="text1"/>
                <w:spacing w:val="0"/>
                <w:sz w:val="24"/>
                <w:highlight w:val="none"/>
                <w14:textFill>
                  <w14:solidFill>
                    <w14:schemeClr w14:val="tx1"/>
                  </w14:solidFill>
                </w14:textFill>
              </w:rPr>
              <w:t>温度21.5℃，湿度33.0%，0.6m/s，大气压857.3hPa</w:t>
            </w:r>
            <w:r>
              <w:rPr>
                <w:rFonts w:ascii="Times New Roman" w:hAnsi="Times New Roman" w:eastAsia="宋体"/>
                <w:color w:val="000000" w:themeColor="text1"/>
                <w:spacing w:val="0"/>
                <w:kern w:val="0"/>
                <w:sz w:val="24"/>
                <w:highlight w:val="none"/>
                <w14:textFill>
                  <w14:solidFill>
                    <w14:schemeClr w14:val="tx1"/>
                  </w14:solidFill>
                </w14:textFill>
              </w:rPr>
              <w:t>。夜间</w:t>
            </w:r>
            <w:r>
              <w:rPr>
                <w:rFonts w:ascii="Times New Roman" w:hAnsi="Times New Roman" w:eastAsia="宋体"/>
                <w:color w:val="000000" w:themeColor="text1"/>
                <w:spacing w:val="0"/>
                <w:sz w:val="24"/>
                <w:highlight w:val="none"/>
                <w14:textFill>
                  <w14:solidFill>
                    <w14:schemeClr w14:val="tx1"/>
                  </w14:solidFill>
                </w14:textFill>
              </w:rPr>
              <w:t>天气晴，温度12.4℃，湿度31.2%，静风，大气压855.0hPa</w:t>
            </w:r>
            <w:r>
              <w:rPr>
                <w:rFonts w:ascii="Times New Roman" w:hAnsi="Times New Roman" w:eastAsia="宋体"/>
                <w:color w:val="000000" w:themeColor="text1"/>
                <w:spacing w:val="0"/>
                <w:kern w:val="0"/>
                <w:sz w:val="24"/>
                <w:highlight w:val="none"/>
                <w14:textFill>
                  <w14:solidFill>
                    <w14:schemeClr w14:val="tx1"/>
                  </w14:solidFill>
                </w14:textFill>
              </w:rPr>
              <w:t>。</w:t>
            </w:r>
          </w:p>
          <w:p w14:paraId="628B98FE">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⑦类比监测点位</w:t>
            </w:r>
          </w:p>
          <w:p w14:paraId="2079232A">
            <w:pPr>
              <w:spacing w:line="360" w:lineRule="auto"/>
              <w:ind w:firstLine="465"/>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对类比线路以导线档距中央弧垂最低位置的横断面方向上，同塔双回输电线路以弧垂最低位置处档距对应两杆塔中央连线对地投影为起点，监测点均匀分布在边相导线两侧的横断面方向上。挂线方式以杆塔对称排列的输电线路，在杆塔一侧的横断面方向上布置监测点。测点间距5m，依次监测至评价范围边界处。</w:t>
            </w:r>
          </w:p>
          <w:p w14:paraId="6246C265">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110千伏汉白甲乙线同塔双回路线路（6#-7#）监测断面见图4-1。</w:t>
            </w:r>
          </w:p>
          <w:p w14:paraId="4F9C891D">
            <w:pPr>
              <w:spacing w:line="360" w:lineRule="auto"/>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p w14:paraId="4344F101">
            <w:pPr>
              <w:spacing w:line="360" w:lineRule="auto"/>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图4-</w:t>
            </w:r>
            <w:r>
              <w:rPr>
                <w:rFonts w:hint="eastAsia" w:ascii="Times New Roman" w:hAnsi="Times New Roman" w:eastAsia="宋体"/>
                <w:b/>
                <w:bCs/>
                <w:color w:val="000000" w:themeColor="text1"/>
                <w:spacing w:val="0"/>
                <w:sz w:val="24"/>
                <w:highlight w:val="none"/>
                <w14:textFill>
                  <w14:solidFill>
                    <w14:schemeClr w14:val="tx1"/>
                  </w14:solidFill>
                </w14:textFill>
              </w:rPr>
              <w:t>2</w:t>
            </w:r>
            <w:r>
              <w:rPr>
                <w:rFonts w:ascii="Times New Roman" w:hAnsi="Times New Roman" w:eastAsia="宋体"/>
                <w:b/>
                <w:bCs/>
                <w:color w:val="000000" w:themeColor="text1"/>
                <w:spacing w:val="0"/>
                <w:sz w:val="24"/>
                <w:highlight w:val="none"/>
                <w14:textFill>
                  <w14:solidFill>
                    <w14:schemeClr w14:val="tx1"/>
                  </w14:solidFill>
                </w14:textFill>
              </w:rPr>
              <w:t xml:space="preserve">  类比线路衰减监测断面</w:t>
            </w:r>
          </w:p>
          <w:p w14:paraId="46DE9A8A">
            <w:pPr>
              <w:spacing w:line="360" w:lineRule="auto"/>
              <w:ind w:firstLine="470" w:firstLineChars="196"/>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⑧类比监测工况</w:t>
            </w:r>
          </w:p>
          <w:p w14:paraId="64DB7E8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110千伏汉白甲乙线同塔双回路线路（6#-7#）监测期间运行工况见表4-</w:t>
            </w:r>
            <w:r>
              <w:rPr>
                <w:rFonts w:hint="eastAsia"/>
                <w:color w:val="000000" w:themeColor="text1"/>
                <w:spacing w:val="0"/>
                <w:sz w:val="24"/>
                <w:highlight w:val="none"/>
                <w:lang w:val="en-US" w:eastAsia="zh-CN"/>
                <w14:textFill>
                  <w14:solidFill>
                    <w14:schemeClr w14:val="tx1"/>
                  </w14:solidFill>
                </w14:textFill>
              </w:rPr>
              <w:t>8</w:t>
            </w:r>
            <w:r>
              <w:rPr>
                <w:rFonts w:ascii="Times New Roman" w:hAnsi="Times New Roman" w:eastAsia="宋体"/>
                <w:color w:val="000000" w:themeColor="text1"/>
                <w:spacing w:val="0"/>
                <w:sz w:val="24"/>
                <w:highlight w:val="none"/>
                <w14:textFill>
                  <w14:solidFill>
                    <w14:schemeClr w14:val="tx1"/>
                  </w14:solidFill>
                </w14:textFill>
              </w:rPr>
              <w:t>。</w:t>
            </w:r>
          </w:p>
          <w:p w14:paraId="53926F3D">
            <w:pPr>
              <w:spacing w:line="360" w:lineRule="auto"/>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b/>
                <w:bCs/>
                <w:color w:val="000000" w:themeColor="text1"/>
                <w:spacing w:val="0"/>
                <w:sz w:val="24"/>
                <w:highlight w:val="none"/>
                <w:lang w:val="en-US" w:eastAsia="zh-CN"/>
                <w14:textFill>
                  <w14:solidFill>
                    <w14:schemeClr w14:val="tx1"/>
                  </w14:solidFill>
                </w14:textFill>
              </w:rPr>
              <w:t>8</w:t>
            </w:r>
            <w:r>
              <w:rPr>
                <w:rFonts w:ascii="Times New Roman" w:hAnsi="Times New Roman" w:eastAsia="宋体"/>
                <w:b/>
                <w:bCs/>
                <w:color w:val="000000" w:themeColor="text1"/>
                <w:spacing w:val="0"/>
                <w:sz w:val="24"/>
                <w:highlight w:val="none"/>
                <w14:textFill>
                  <w14:solidFill>
                    <w14:schemeClr w14:val="tx1"/>
                  </w14:solidFill>
                </w14:textFill>
              </w:rPr>
              <w:t xml:space="preserve">  类比线路监测期间运行工况一览表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1295"/>
              <w:gridCol w:w="1440"/>
              <w:gridCol w:w="1470"/>
              <w:gridCol w:w="1358"/>
            </w:tblGrid>
            <w:tr w14:paraId="75D98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7" w:type="dxa"/>
                  <w:vAlign w:val="center"/>
                </w:tcPr>
                <w:p w14:paraId="33C261B6">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名称</w:t>
                  </w:r>
                </w:p>
              </w:tc>
              <w:tc>
                <w:tcPr>
                  <w:tcW w:w="1295" w:type="dxa"/>
                  <w:vAlign w:val="center"/>
                </w:tcPr>
                <w:p w14:paraId="432B41D5">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电压</w:t>
                  </w:r>
                </w:p>
                <w:p w14:paraId="6D89637D">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（kV）</w:t>
                  </w:r>
                </w:p>
              </w:tc>
              <w:tc>
                <w:tcPr>
                  <w:tcW w:w="1440" w:type="dxa"/>
                  <w:vAlign w:val="center"/>
                </w:tcPr>
                <w:p w14:paraId="4ABAADD1">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电流</w:t>
                  </w:r>
                </w:p>
                <w:p w14:paraId="76AB0B0E">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（A）</w:t>
                  </w:r>
                </w:p>
              </w:tc>
              <w:tc>
                <w:tcPr>
                  <w:tcW w:w="1470" w:type="dxa"/>
                  <w:vAlign w:val="center"/>
                </w:tcPr>
                <w:p w14:paraId="1AD41A04">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有功功率（MV）</w:t>
                  </w:r>
                </w:p>
              </w:tc>
              <w:tc>
                <w:tcPr>
                  <w:tcW w:w="1358" w:type="dxa"/>
                  <w:vAlign w:val="center"/>
                </w:tcPr>
                <w:p w14:paraId="55F6BDBB">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无功功率（MVar）</w:t>
                  </w:r>
                </w:p>
              </w:tc>
            </w:tr>
            <w:tr w14:paraId="76BF5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287" w:type="dxa"/>
                  <w:vAlign w:val="center"/>
                </w:tcPr>
                <w:p w14:paraId="34B18D7E">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110千伏汉白甲线</w:t>
                  </w:r>
                </w:p>
              </w:tc>
              <w:tc>
                <w:tcPr>
                  <w:tcW w:w="1295" w:type="dxa"/>
                  <w:vAlign w:val="center"/>
                </w:tcPr>
                <w:p w14:paraId="1A8DE315">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112.29</w:t>
                  </w:r>
                </w:p>
              </w:tc>
              <w:tc>
                <w:tcPr>
                  <w:tcW w:w="1440" w:type="dxa"/>
                  <w:vAlign w:val="center"/>
                </w:tcPr>
                <w:p w14:paraId="504D5AF8">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173.09</w:t>
                  </w:r>
                </w:p>
              </w:tc>
              <w:tc>
                <w:tcPr>
                  <w:tcW w:w="1470" w:type="dxa"/>
                  <w:vAlign w:val="center"/>
                </w:tcPr>
                <w:p w14:paraId="42A7BABA">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30.94</w:t>
                  </w:r>
                </w:p>
              </w:tc>
              <w:tc>
                <w:tcPr>
                  <w:tcW w:w="1358" w:type="dxa"/>
                  <w:vAlign w:val="center"/>
                </w:tcPr>
                <w:p w14:paraId="37B35B38">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-14.62</w:t>
                  </w:r>
                </w:p>
              </w:tc>
            </w:tr>
            <w:tr w14:paraId="23564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2287" w:type="dxa"/>
                  <w:vAlign w:val="center"/>
                </w:tcPr>
                <w:p w14:paraId="24A78E3F">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110千伏汉白乙线</w:t>
                  </w:r>
                </w:p>
              </w:tc>
              <w:tc>
                <w:tcPr>
                  <w:tcW w:w="1295" w:type="dxa"/>
                  <w:vAlign w:val="center"/>
                </w:tcPr>
                <w:p w14:paraId="4B08D76F">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112.40</w:t>
                  </w:r>
                </w:p>
              </w:tc>
              <w:tc>
                <w:tcPr>
                  <w:tcW w:w="1440" w:type="dxa"/>
                  <w:vAlign w:val="center"/>
                </w:tcPr>
                <w:p w14:paraId="2D3DA148">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103.33</w:t>
                  </w:r>
                </w:p>
              </w:tc>
              <w:tc>
                <w:tcPr>
                  <w:tcW w:w="1470" w:type="dxa"/>
                  <w:vAlign w:val="center"/>
                </w:tcPr>
                <w:p w14:paraId="30610679">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19.09</w:t>
                  </w:r>
                </w:p>
              </w:tc>
              <w:tc>
                <w:tcPr>
                  <w:tcW w:w="1358" w:type="dxa"/>
                  <w:vAlign w:val="center"/>
                </w:tcPr>
                <w:p w14:paraId="15421618">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6.36</w:t>
                  </w:r>
                </w:p>
              </w:tc>
            </w:tr>
          </w:tbl>
          <w:p w14:paraId="408030CD">
            <w:pPr>
              <w:spacing w:line="360" w:lineRule="auto"/>
              <w:ind w:firstLine="470" w:firstLineChars="196"/>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⑨类比监测结果</w:t>
            </w:r>
          </w:p>
          <w:p w14:paraId="10DD0743">
            <w:pPr>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110千伏汉白甲乙线同塔双回路线路（6#-7#）运行产生的噪声源强见表4-</w:t>
            </w:r>
            <w:r>
              <w:rPr>
                <w:rFonts w:hint="eastAsia"/>
                <w:color w:val="000000" w:themeColor="text1"/>
                <w:spacing w:val="0"/>
                <w:sz w:val="24"/>
                <w:highlight w:val="none"/>
                <w:lang w:val="en-US" w:eastAsia="zh-CN"/>
                <w14:textFill>
                  <w14:solidFill>
                    <w14:schemeClr w14:val="tx1"/>
                  </w14:solidFill>
                </w14:textFill>
              </w:rPr>
              <w:t>9</w:t>
            </w:r>
            <w:r>
              <w:rPr>
                <w:rFonts w:ascii="Times New Roman" w:hAnsi="Times New Roman" w:eastAsia="宋体"/>
                <w:color w:val="000000" w:themeColor="text1"/>
                <w:spacing w:val="0"/>
                <w:sz w:val="24"/>
                <w:highlight w:val="none"/>
                <w14:textFill>
                  <w14:solidFill>
                    <w14:schemeClr w14:val="tx1"/>
                  </w14:solidFill>
                </w14:textFill>
              </w:rPr>
              <w:t>。</w:t>
            </w:r>
          </w:p>
          <w:p w14:paraId="0A6C4034">
            <w:pPr>
              <w:keepLines/>
              <w:adjustRightInd w:val="0"/>
              <w:snapToGrid w:val="0"/>
              <w:jc w:val="center"/>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b/>
                <w:bCs/>
                <w:color w:val="000000" w:themeColor="text1"/>
                <w:spacing w:val="0"/>
                <w:sz w:val="24"/>
                <w:highlight w:val="none"/>
                <w:lang w:val="en-US" w:eastAsia="zh-CN"/>
                <w14:textFill>
                  <w14:solidFill>
                    <w14:schemeClr w14:val="tx1"/>
                  </w14:solidFill>
                </w14:textFill>
              </w:rPr>
              <w:t>9</w:t>
            </w:r>
            <w:r>
              <w:rPr>
                <w:rFonts w:ascii="Times New Roman" w:hAnsi="Times New Roman" w:eastAsia="宋体"/>
                <w:b/>
                <w:bCs/>
                <w:color w:val="000000" w:themeColor="text1"/>
                <w:spacing w:val="0"/>
                <w:sz w:val="24"/>
                <w:highlight w:val="none"/>
                <w14:textFill>
                  <w14:solidFill>
                    <w14:schemeClr w14:val="tx1"/>
                  </w14:solidFill>
                </w14:textFill>
              </w:rPr>
              <w:t xml:space="preserve"> </w:t>
            </w:r>
            <w:r>
              <w:rPr>
                <w:rFonts w:ascii="Times New Roman" w:hAnsi="Times New Roman" w:eastAsia="宋体"/>
                <w:b/>
                <w:bCs/>
                <w:color w:val="000000" w:themeColor="text1"/>
                <w:spacing w:val="0"/>
                <w:kern w:val="0"/>
                <w:sz w:val="24"/>
                <w:highlight w:val="none"/>
                <w14:textFill>
                  <w14:solidFill>
                    <w14:schemeClr w14:val="tx1"/>
                  </w14:solidFill>
                </w14:textFill>
              </w:rPr>
              <w:t xml:space="preserve"> 110千伏汉白甲乙线双回路断面（6#-7#杆塔间、线高11m、档距322m）</w:t>
            </w:r>
          </w:p>
          <w:p w14:paraId="75E7BA78">
            <w:pPr>
              <w:keepLines/>
              <w:adjustRightInd w:val="0"/>
              <w:snapToGrid w:val="0"/>
              <w:jc w:val="center"/>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声环境</w:t>
            </w:r>
            <w:r>
              <w:rPr>
                <w:rFonts w:ascii="Times New Roman" w:hAnsi="Times New Roman" w:eastAsia="宋体"/>
                <w:b/>
                <w:bCs/>
                <w:color w:val="000000" w:themeColor="text1"/>
                <w:spacing w:val="0"/>
                <w:sz w:val="24"/>
                <w:highlight w:val="none"/>
                <w14:textFill>
                  <w14:solidFill>
                    <w14:schemeClr w14:val="tx1"/>
                  </w14:solidFill>
                </w14:textFill>
              </w:rPr>
              <w:t>监</w:t>
            </w:r>
            <w:r>
              <w:rPr>
                <w:rFonts w:ascii="Times New Roman" w:hAnsi="Times New Roman" w:eastAsia="宋体"/>
                <w:b/>
                <w:bCs/>
                <w:color w:val="000000" w:themeColor="text1"/>
                <w:spacing w:val="0"/>
                <w:kern w:val="0"/>
                <w:sz w:val="24"/>
                <w:highlight w:val="none"/>
                <w14:textFill>
                  <w14:solidFill>
                    <w14:schemeClr w14:val="tx1"/>
                  </w14:solidFill>
                </w14:textFill>
              </w:rPr>
              <w:t>测结果</w:t>
            </w:r>
          </w:p>
          <w:tbl>
            <w:tblPr>
              <w:tblStyle w:val="26"/>
              <w:tblW w:w="48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1"/>
              <w:gridCol w:w="4088"/>
              <w:gridCol w:w="1130"/>
              <w:gridCol w:w="1183"/>
              <w:gridCol w:w="1106"/>
            </w:tblGrid>
            <w:tr w14:paraId="20B70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41" w:type="dxa"/>
                  <w:tcBorders>
                    <w:tl2br w:val="nil"/>
                    <w:tr2bl w:val="nil"/>
                  </w:tcBorders>
                  <w:vAlign w:val="center"/>
                </w:tcPr>
                <w:p w14:paraId="55E9748B">
                  <w:pPr>
                    <w:keepLines/>
                    <w:ind w:left="-254" w:leftChars="-121" w:right="-2" w:firstLine="211" w:firstLineChars="10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测点</w:t>
                  </w:r>
                </w:p>
                <w:p w14:paraId="7828E883">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编号</w:t>
                  </w:r>
                </w:p>
              </w:tc>
              <w:tc>
                <w:tcPr>
                  <w:tcW w:w="4034" w:type="dxa"/>
                  <w:tcBorders>
                    <w:tl2br w:val="nil"/>
                    <w:tr2bl w:val="nil"/>
                  </w:tcBorders>
                  <w:vAlign w:val="center"/>
                </w:tcPr>
                <w:p w14:paraId="546CD8A2">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监测点位</w:t>
                  </w:r>
                </w:p>
              </w:tc>
              <w:tc>
                <w:tcPr>
                  <w:tcW w:w="1115" w:type="dxa"/>
                  <w:tcBorders>
                    <w:tl2br w:val="nil"/>
                    <w:tr2bl w:val="nil"/>
                  </w:tcBorders>
                  <w:vAlign w:val="center"/>
                </w:tcPr>
                <w:p w14:paraId="6EBFA02E">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测点高度（m）</w:t>
                  </w:r>
                </w:p>
              </w:tc>
              <w:tc>
                <w:tcPr>
                  <w:tcW w:w="1167" w:type="dxa"/>
                  <w:tcBorders>
                    <w:tl2br w:val="nil"/>
                    <w:tr2bl w:val="nil"/>
                  </w:tcBorders>
                  <w:vAlign w:val="center"/>
                </w:tcPr>
                <w:p w14:paraId="4871030A">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昼间</w:t>
                  </w:r>
                </w:p>
                <w:p w14:paraId="328E7A10">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dB(A)</w:t>
                  </w:r>
                </w:p>
              </w:tc>
              <w:tc>
                <w:tcPr>
                  <w:tcW w:w="1091" w:type="dxa"/>
                  <w:tcBorders>
                    <w:tl2br w:val="nil"/>
                    <w:tr2bl w:val="nil"/>
                  </w:tcBorders>
                  <w:vAlign w:val="center"/>
                </w:tcPr>
                <w:p w14:paraId="1EED9314">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夜间</w:t>
                  </w:r>
                </w:p>
                <w:p w14:paraId="1B3022E3">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dB(A)</w:t>
                  </w:r>
                </w:p>
              </w:tc>
            </w:tr>
            <w:tr w14:paraId="7F4C5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41" w:type="dxa"/>
                  <w:tcBorders>
                    <w:tl2br w:val="nil"/>
                    <w:tr2bl w:val="nil"/>
                  </w:tcBorders>
                  <w:vAlign w:val="center"/>
                </w:tcPr>
                <w:p w14:paraId="29EA7FB7">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w:t>
                  </w:r>
                </w:p>
              </w:tc>
              <w:tc>
                <w:tcPr>
                  <w:tcW w:w="4034" w:type="dxa"/>
                  <w:tcBorders>
                    <w:tl2br w:val="nil"/>
                    <w:tr2bl w:val="nil"/>
                  </w:tcBorders>
                  <w:vAlign w:val="center"/>
                </w:tcPr>
                <w:p w14:paraId="2432650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弧垂最大位置处档距对应两杆塔中央连线对地投影点0m</w:t>
                  </w:r>
                </w:p>
              </w:tc>
              <w:tc>
                <w:tcPr>
                  <w:tcW w:w="1115" w:type="dxa"/>
                  <w:tcBorders>
                    <w:tl2br w:val="nil"/>
                    <w:tr2bl w:val="nil"/>
                  </w:tcBorders>
                  <w:vAlign w:val="center"/>
                </w:tcPr>
                <w:p w14:paraId="3C5B67D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1167" w:type="dxa"/>
                  <w:tcBorders>
                    <w:tl2br w:val="nil"/>
                    <w:tr2bl w:val="nil"/>
                  </w:tcBorders>
                  <w:vAlign w:val="center"/>
                </w:tcPr>
                <w:p w14:paraId="19AB347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42</w:t>
                  </w:r>
                </w:p>
              </w:tc>
              <w:tc>
                <w:tcPr>
                  <w:tcW w:w="1091" w:type="dxa"/>
                  <w:tcBorders>
                    <w:tl2br w:val="nil"/>
                    <w:tr2bl w:val="nil"/>
                  </w:tcBorders>
                  <w:vAlign w:val="center"/>
                </w:tcPr>
                <w:p w14:paraId="58097EA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41</w:t>
                  </w:r>
                </w:p>
              </w:tc>
            </w:tr>
            <w:tr w14:paraId="022E3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41" w:type="dxa"/>
                  <w:tcBorders>
                    <w:tl2br w:val="nil"/>
                    <w:tr2bl w:val="nil"/>
                  </w:tcBorders>
                  <w:vAlign w:val="center"/>
                </w:tcPr>
                <w:p w14:paraId="2E56C841">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2</w:t>
                  </w:r>
                </w:p>
              </w:tc>
              <w:tc>
                <w:tcPr>
                  <w:tcW w:w="4034" w:type="dxa"/>
                  <w:tcBorders>
                    <w:tl2br w:val="nil"/>
                    <w:tr2bl w:val="nil"/>
                  </w:tcBorders>
                  <w:vAlign w:val="center"/>
                </w:tcPr>
                <w:p w14:paraId="524D2886">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弧垂最大位置处档距对应两杆塔中央连线对地投影点西4m（110千伏汉白甲线边导线对地投影点0m）</w:t>
                  </w:r>
                </w:p>
              </w:tc>
              <w:tc>
                <w:tcPr>
                  <w:tcW w:w="1115" w:type="dxa"/>
                  <w:tcBorders>
                    <w:tl2br w:val="nil"/>
                    <w:tr2bl w:val="nil"/>
                  </w:tcBorders>
                  <w:vAlign w:val="center"/>
                </w:tcPr>
                <w:p w14:paraId="75187E62">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1167" w:type="dxa"/>
                  <w:tcBorders>
                    <w:tl2br w:val="nil"/>
                    <w:tr2bl w:val="nil"/>
                  </w:tcBorders>
                  <w:vAlign w:val="center"/>
                </w:tcPr>
                <w:p w14:paraId="47B5706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42</w:t>
                  </w:r>
                </w:p>
              </w:tc>
              <w:tc>
                <w:tcPr>
                  <w:tcW w:w="1091" w:type="dxa"/>
                  <w:tcBorders>
                    <w:tl2br w:val="nil"/>
                    <w:tr2bl w:val="nil"/>
                  </w:tcBorders>
                  <w:vAlign w:val="center"/>
                </w:tcPr>
                <w:p w14:paraId="16A63AE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41</w:t>
                  </w:r>
                </w:p>
              </w:tc>
            </w:tr>
            <w:tr w14:paraId="6EA0E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41" w:type="dxa"/>
                  <w:tcBorders>
                    <w:tl2br w:val="nil"/>
                    <w:tr2bl w:val="nil"/>
                  </w:tcBorders>
                  <w:vAlign w:val="center"/>
                </w:tcPr>
                <w:p w14:paraId="425B53EA">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w:t>
                  </w:r>
                </w:p>
              </w:tc>
              <w:tc>
                <w:tcPr>
                  <w:tcW w:w="4034" w:type="dxa"/>
                  <w:tcBorders>
                    <w:tl2br w:val="nil"/>
                    <w:tr2bl w:val="nil"/>
                  </w:tcBorders>
                  <w:vAlign w:val="center"/>
                </w:tcPr>
                <w:p w14:paraId="44AF1B8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边导线对地投影点西5m处</w:t>
                  </w:r>
                </w:p>
              </w:tc>
              <w:tc>
                <w:tcPr>
                  <w:tcW w:w="1115" w:type="dxa"/>
                  <w:tcBorders>
                    <w:tl2br w:val="nil"/>
                    <w:tr2bl w:val="nil"/>
                  </w:tcBorders>
                  <w:vAlign w:val="center"/>
                </w:tcPr>
                <w:p w14:paraId="0CBF69D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1167" w:type="dxa"/>
                  <w:tcBorders>
                    <w:tl2br w:val="nil"/>
                    <w:tr2bl w:val="nil"/>
                  </w:tcBorders>
                  <w:vAlign w:val="center"/>
                </w:tcPr>
                <w:p w14:paraId="264B9972">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42</w:t>
                  </w:r>
                </w:p>
              </w:tc>
              <w:tc>
                <w:tcPr>
                  <w:tcW w:w="1091" w:type="dxa"/>
                  <w:tcBorders>
                    <w:tl2br w:val="nil"/>
                    <w:tr2bl w:val="nil"/>
                  </w:tcBorders>
                  <w:vAlign w:val="center"/>
                </w:tcPr>
                <w:p w14:paraId="3D4A836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41</w:t>
                  </w:r>
                </w:p>
              </w:tc>
            </w:tr>
            <w:tr w14:paraId="3CF25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41" w:type="dxa"/>
                  <w:tcBorders>
                    <w:tl2br w:val="nil"/>
                    <w:tr2bl w:val="nil"/>
                  </w:tcBorders>
                  <w:vAlign w:val="center"/>
                </w:tcPr>
                <w:p w14:paraId="2D72D41D">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w:t>
                  </w:r>
                </w:p>
              </w:tc>
              <w:tc>
                <w:tcPr>
                  <w:tcW w:w="4034" w:type="dxa"/>
                  <w:tcBorders>
                    <w:tl2br w:val="nil"/>
                    <w:tr2bl w:val="nil"/>
                  </w:tcBorders>
                  <w:vAlign w:val="center"/>
                </w:tcPr>
                <w:p w14:paraId="294026C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边导线对地投影点西10m处</w:t>
                  </w:r>
                </w:p>
              </w:tc>
              <w:tc>
                <w:tcPr>
                  <w:tcW w:w="1115" w:type="dxa"/>
                  <w:tcBorders>
                    <w:tl2br w:val="nil"/>
                    <w:tr2bl w:val="nil"/>
                  </w:tcBorders>
                  <w:vAlign w:val="center"/>
                </w:tcPr>
                <w:p w14:paraId="1D1CED7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1167" w:type="dxa"/>
                  <w:tcBorders>
                    <w:tl2br w:val="nil"/>
                    <w:tr2bl w:val="nil"/>
                  </w:tcBorders>
                  <w:vAlign w:val="center"/>
                </w:tcPr>
                <w:p w14:paraId="79CE14F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41</w:t>
                  </w:r>
                </w:p>
              </w:tc>
              <w:tc>
                <w:tcPr>
                  <w:tcW w:w="1091" w:type="dxa"/>
                  <w:tcBorders>
                    <w:tl2br w:val="nil"/>
                    <w:tr2bl w:val="nil"/>
                  </w:tcBorders>
                  <w:vAlign w:val="center"/>
                </w:tcPr>
                <w:p w14:paraId="7208214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40</w:t>
                  </w:r>
                </w:p>
              </w:tc>
            </w:tr>
            <w:tr w14:paraId="1344A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41" w:type="dxa"/>
                  <w:tcBorders>
                    <w:tl2br w:val="nil"/>
                    <w:tr2bl w:val="nil"/>
                  </w:tcBorders>
                  <w:vAlign w:val="center"/>
                </w:tcPr>
                <w:p w14:paraId="37E66F6A">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w:t>
                  </w:r>
                </w:p>
              </w:tc>
              <w:tc>
                <w:tcPr>
                  <w:tcW w:w="4034" w:type="dxa"/>
                  <w:tcBorders>
                    <w:tl2br w:val="nil"/>
                    <w:tr2bl w:val="nil"/>
                  </w:tcBorders>
                  <w:vAlign w:val="center"/>
                </w:tcPr>
                <w:p w14:paraId="1E4D175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边导线对地投影点西15m处</w:t>
                  </w:r>
                </w:p>
              </w:tc>
              <w:tc>
                <w:tcPr>
                  <w:tcW w:w="1115" w:type="dxa"/>
                  <w:tcBorders>
                    <w:tl2br w:val="nil"/>
                    <w:tr2bl w:val="nil"/>
                  </w:tcBorders>
                  <w:vAlign w:val="center"/>
                </w:tcPr>
                <w:p w14:paraId="0E862D2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1167" w:type="dxa"/>
                  <w:tcBorders>
                    <w:tl2br w:val="nil"/>
                    <w:tr2bl w:val="nil"/>
                  </w:tcBorders>
                  <w:vAlign w:val="center"/>
                </w:tcPr>
                <w:p w14:paraId="4C7F910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41</w:t>
                  </w:r>
                </w:p>
              </w:tc>
              <w:tc>
                <w:tcPr>
                  <w:tcW w:w="1091" w:type="dxa"/>
                  <w:tcBorders>
                    <w:tl2br w:val="nil"/>
                    <w:tr2bl w:val="nil"/>
                  </w:tcBorders>
                  <w:vAlign w:val="center"/>
                </w:tcPr>
                <w:p w14:paraId="54EC960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39</w:t>
                  </w:r>
                </w:p>
              </w:tc>
            </w:tr>
            <w:tr w14:paraId="0E240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41" w:type="dxa"/>
                  <w:tcBorders>
                    <w:tl2br w:val="nil"/>
                    <w:tr2bl w:val="nil"/>
                  </w:tcBorders>
                  <w:vAlign w:val="center"/>
                </w:tcPr>
                <w:p w14:paraId="4C347D63">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w:t>
                  </w:r>
                </w:p>
              </w:tc>
              <w:tc>
                <w:tcPr>
                  <w:tcW w:w="4034" w:type="dxa"/>
                  <w:tcBorders>
                    <w:tl2br w:val="nil"/>
                    <w:tr2bl w:val="nil"/>
                  </w:tcBorders>
                  <w:vAlign w:val="center"/>
                </w:tcPr>
                <w:p w14:paraId="14BB287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边导线对地投影点西20m处</w:t>
                  </w:r>
                </w:p>
              </w:tc>
              <w:tc>
                <w:tcPr>
                  <w:tcW w:w="1115" w:type="dxa"/>
                  <w:tcBorders>
                    <w:tl2br w:val="nil"/>
                    <w:tr2bl w:val="nil"/>
                  </w:tcBorders>
                  <w:vAlign w:val="center"/>
                </w:tcPr>
                <w:p w14:paraId="6B0C2D7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1167" w:type="dxa"/>
                  <w:tcBorders>
                    <w:tl2br w:val="nil"/>
                    <w:tr2bl w:val="nil"/>
                  </w:tcBorders>
                  <w:vAlign w:val="center"/>
                </w:tcPr>
                <w:p w14:paraId="4D398FC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40</w:t>
                  </w:r>
                </w:p>
              </w:tc>
              <w:tc>
                <w:tcPr>
                  <w:tcW w:w="1091" w:type="dxa"/>
                  <w:tcBorders>
                    <w:tl2br w:val="nil"/>
                    <w:tr2bl w:val="nil"/>
                  </w:tcBorders>
                  <w:vAlign w:val="center"/>
                </w:tcPr>
                <w:p w14:paraId="344D2227">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39</w:t>
                  </w:r>
                </w:p>
              </w:tc>
            </w:tr>
            <w:tr w14:paraId="09470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41" w:type="dxa"/>
                  <w:tcBorders>
                    <w:tl2br w:val="nil"/>
                    <w:tr2bl w:val="nil"/>
                  </w:tcBorders>
                  <w:vAlign w:val="center"/>
                </w:tcPr>
                <w:p w14:paraId="16D6A6F2">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7</w:t>
                  </w:r>
                </w:p>
              </w:tc>
              <w:tc>
                <w:tcPr>
                  <w:tcW w:w="4034" w:type="dxa"/>
                  <w:tcBorders>
                    <w:tl2br w:val="nil"/>
                    <w:tr2bl w:val="nil"/>
                  </w:tcBorders>
                  <w:vAlign w:val="center"/>
                </w:tcPr>
                <w:p w14:paraId="43CF550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边导线对地投影点西25m处</w:t>
                  </w:r>
                </w:p>
              </w:tc>
              <w:tc>
                <w:tcPr>
                  <w:tcW w:w="1115" w:type="dxa"/>
                  <w:tcBorders>
                    <w:tl2br w:val="nil"/>
                    <w:tr2bl w:val="nil"/>
                  </w:tcBorders>
                  <w:vAlign w:val="center"/>
                </w:tcPr>
                <w:p w14:paraId="03FEA3F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1167" w:type="dxa"/>
                  <w:tcBorders>
                    <w:tl2br w:val="nil"/>
                    <w:tr2bl w:val="nil"/>
                  </w:tcBorders>
                  <w:vAlign w:val="center"/>
                </w:tcPr>
                <w:p w14:paraId="5AE54F8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40</w:t>
                  </w:r>
                </w:p>
              </w:tc>
              <w:tc>
                <w:tcPr>
                  <w:tcW w:w="1091" w:type="dxa"/>
                  <w:tcBorders>
                    <w:tl2br w:val="nil"/>
                    <w:tr2bl w:val="nil"/>
                  </w:tcBorders>
                  <w:vAlign w:val="center"/>
                </w:tcPr>
                <w:p w14:paraId="2A2930E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39</w:t>
                  </w:r>
                </w:p>
              </w:tc>
            </w:tr>
            <w:tr w14:paraId="0A16C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41" w:type="dxa"/>
                  <w:tcBorders>
                    <w:tl2br w:val="nil"/>
                    <w:tr2bl w:val="nil"/>
                  </w:tcBorders>
                  <w:vAlign w:val="center"/>
                </w:tcPr>
                <w:p w14:paraId="04A94208">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w:t>
                  </w:r>
                </w:p>
              </w:tc>
              <w:tc>
                <w:tcPr>
                  <w:tcW w:w="4034" w:type="dxa"/>
                  <w:tcBorders>
                    <w:tl2br w:val="nil"/>
                    <w:tr2bl w:val="nil"/>
                  </w:tcBorders>
                  <w:vAlign w:val="center"/>
                </w:tcPr>
                <w:p w14:paraId="6C56EF4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边导线对地投影点西30m处</w:t>
                  </w:r>
                </w:p>
              </w:tc>
              <w:tc>
                <w:tcPr>
                  <w:tcW w:w="1115" w:type="dxa"/>
                  <w:tcBorders>
                    <w:tl2br w:val="nil"/>
                    <w:tr2bl w:val="nil"/>
                  </w:tcBorders>
                  <w:vAlign w:val="center"/>
                </w:tcPr>
                <w:p w14:paraId="5E26E78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1167" w:type="dxa"/>
                  <w:tcBorders>
                    <w:tl2br w:val="nil"/>
                    <w:tr2bl w:val="nil"/>
                  </w:tcBorders>
                  <w:vAlign w:val="center"/>
                </w:tcPr>
                <w:p w14:paraId="158D642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39</w:t>
                  </w:r>
                </w:p>
              </w:tc>
              <w:tc>
                <w:tcPr>
                  <w:tcW w:w="1091" w:type="dxa"/>
                  <w:tcBorders>
                    <w:tl2br w:val="nil"/>
                    <w:tr2bl w:val="nil"/>
                  </w:tcBorders>
                  <w:vAlign w:val="center"/>
                </w:tcPr>
                <w:p w14:paraId="6C4765B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38</w:t>
                  </w:r>
                </w:p>
              </w:tc>
            </w:tr>
          </w:tbl>
          <w:p w14:paraId="25F7FA64">
            <w:pPr>
              <w:spacing w:line="360" w:lineRule="auto"/>
              <w:ind w:firstLine="411" w:firstLineChars="196"/>
              <w:outlineLvl w:val="9"/>
              <w:rPr>
                <w:rFonts w:ascii="Times New Roman" w:hAnsi="Times New Roman" w:eastAsia="宋体"/>
                <w:color w:val="000000" w:themeColor="text1"/>
                <w:spacing w:val="0"/>
                <w:highlight w:val="none"/>
                <w14:textFill>
                  <w14:solidFill>
                    <w14:schemeClr w14:val="tx1"/>
                  </w14:solidFill>
                </w14:textFill>
              </w:rPr>
            </w:pPr>
          </w:p>
          <w:p w14:paraId="354DA7CB">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 xml:space="preserve">7）噪声预测分析 </w:t>
            </w:r>
          </w:p>
          <w:p w14:paraId="2CAA442F">
            <w:pPr>
              <w:adjustRightInd w:val="0"/>
              <w:snapToGrid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由表4-9可以看出，110kV汉白甲乙线双回路断面</w:t>
            </w:r>
            <w:r>
              <w:rPr>
                <w:rFonts w:ascii="Times New Roman" w:hAnsi="Times New Roman" w:eastAsia="宋体"/>
                <w:color w:val="000000" w:themeColor="text1"/>
                <w:spacing w:val="0"/>
                <w:sz w:val="24"/>
                <w:highlight w:val="none"/>
                <w14:textFill>
                  <w14:solidFill>
                    <w14:schemeClr w14:val="tx1"/>
                  </w14:solidFill>
                </w14:textFill>
              </w:rPr>
              <w:t>上的环境噪声昼间</w:t>
            </w:r>
            <w:r>
              <w:rPr>
                <w:rFonts w:hint="eastAsia" w:ascii="Times New Roman" w:hAnsi="Times New Roman" w:eastAsia="宋体"/>
                <w:color w:val="000000" w:themeColor="text1"/>
                <w:spacing w:val="0"/>
                <w:sz w:val="24"/>
                <w:highlight w:val="none"/>
                <w14:textFill>
                  <w14:solidFill>
                    <w14:schemeClr w14:val="tx1"/>
                  </w14:solidFill>
                </w14:textFill>
              </w:rPr>
              <w:t>最大值</w:t>
            </w:r>
            <w:r>
              <w:rPr>
                <w:rFonts w:ascii="Times New Roman" w:hAnsi="Times New Roman" w:eastAsia="宋体"/>
                <w:color w:val="000000" w:themeColor="text1"/>
                <w:spacing w:val="0"/>
                <w:sz w:val="24"/>
                <w:highlight w:val="none"/>
                <w14:textFill>
                  <w14:solidFill>
                    <w14:schemeClr w14:val="tx1"/>
                  </w14:solidFill>
                </w14:textFill>
              </w:rPr>
              <w:t>为</w:t>
            </w:r>
            <w:r>
              <w:rPr>
                <w:rFonts w:hint="eastAsia" w:ascii="Times New Roman" w:hAnsi="Times New Roman" w:eastAsia="宋体"/>
                <w:color w:val="000000" w:themeColor="text1"/>
                <w:spacing w:val="0"/>
                <w:sz w:val="24"/>
                <w:highlight w:val="none"/>
                <w14:textFill>
                  <w14:solidFill>
                    <w14:schemeClr w14:val="tx1"/>
                  </w14:solidFill>
                </w14:textFill>
              </w:rPr>
              <w:t>42</w:t>
            </w:r>
            <w:r>
              <w:rPr>
                <w:rFonts w:ascii="Times New Roman" w:hAnsi="Times New Roman" w:eastAsia="宋体"/>
                <w:color w:val="000000" w:themeColor="text1"/>
                <w:spacing w:val="0"/>
                <w:sz w:val="24"/>
                <w:highlight w:val="none"/>
                <w14:textFill>
                  <w14:solidFill>
                    <w14:schemeClr w14:val="tx1"/>
                  </w14:solidFill>
                </w14:textFill>
              </w:rPr>
              <w:t>dB(A)、夜间</w:t>
            </w:r>
            <w:r>
              <w:rPr>
                <w:rFonts w:hint="eastAsia" w:ascii="Times New Roman" w:hAnsi="Times New Roman" w:eastAsia="宋体"/>
                <w:color w:val="000000" w:themeColor="text1"/>
                <w:spacing w:val="0"/>
                <w:sz w:val="24"/>
                <w:highlight w:val="none"/>
                <w14:textFill>
                  <w14:solidFill>
                    <w14:schemeClr w14:val="tx1"/>
                  </w14:solidFill>
                </w14:textFill>
              </w:rPr>
              <w:t>最大值</w:t>
            </w:r>
            <w:r>
              <w:rPr>
                <w:rFonts w:ascii="Times New Roman" w:hAnsi="Times New Roman" w:eastAsia="宋体"/>
                <w:color w:val="000000" w:themeColor="text1"/>
                <w:spacing w:val="0"/>
                <w:sz w:val="24"/>
                <w:highlight w:val="none"/>
                <w14:textFill>
                  <w14:solidFill>
                    <w14:schemeClr w14:val="tx1"/>
                  </w14:solidFill>
                </w14:textFill>
              </w:rPr>
              <w:t>为</w:t>
            </w:r>
            <w:r>
              <w:rPr>
                <w:rFonts w:hint="eastAsia" w:ascii="Times New Roman" w:hAnsi="Times New Roman" w:eastAsia="宋体"/>
                <w:color w:val="000000" w:themeColor="text1"/>
                <w:spacing w:val="0"/>
                <w:sz w:val="24"/>
                <w:highlight w:val="none"/>
                <w14:textFill>
                  <w14:solidFill>
                    <w14:schemeClr w14:val="tx1"/>
                  </w14:solidFill>
                </w14:textFill>
              </w:rPr>
              <w:t>41</w:t>
            </w:r>
            <w:r>
              <w:rPr>
                <w:rFonts w:ascii="Times New Roman" w:hAnsi="Times New Roman" w:eastAsia="宋体"/>
                <w:color w:val="000000" w:themeColor="text1"/>
                <w:spacing w:val="0"/>
                <w:sz w:val="24"/>
                <w:highlight w:val="none"/>
                <w14:textFill>
                  <w14:solidFill>
                    <w14:schemeClr w14:val="tx1"/>
                  </w14:solidFill>
                </w14:textFill>
              </w:rPr>
              <w:t>dB(A)</w:t>
            </w:r>
            <w:r>
              <w:rPr>
                <w:rFonts w:hint="eastAsia"/>
                <w:color w:val="000000" w:themeColor="text1"/>
                <w:spacing w:val="0"/>
                <w:sz w:val="24"/>
                <w:highlight w:val="no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满足《声环境质量标准》（GB3096-2008）中</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1</w:t>
            </w:r>
            <w:r>
              <w:rPr>
                <w:rFonts w:ascii="Times New Roman" w:hAnsi="Times New Roman" w:eastAsia="宋体"/>
                <w:color w:val="000000" w:themeColor="text1"/>
                <w:spacing w:val="0"/>
                <w:sz w:val="24"/>
                <w:highlight w:val="none"/>
                <w14:textFill>
                  <w14:solidFill>
                    <w14:schemeClr w14:val="tx1"/>
                  </w14:solidFill>
                </w14:textFill>
              </w:rPr>
              <w:t>类</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标准</w:t>
            </w:r>
            <w:r>
              <w:rPr>
                <w:rFonts w:ascii="Times New Roman" w:hAnsi="Times New Roman" w:eastAsia="宋体"/>
                <w:color w:val="000000" w:themeColor="text1"/>
                <w:spacing w:val="0"/>
                <w:sz w:val="24"/>
                <w:highlight w:val="none"/>
                <w14:textFill>
                  <w14:solidFill>
                    <w14:schemeClr w14:val="tx1"/>
                  </w14:solidFill>
                </w14:textFill>
              </w:rPr>
              <w:t>要求，由此可</w:t>
            </w:r>
            <w:r>
              <w:rPr>
                <w:rFonts w:hint="eastAsia"/>
                <w:color w:val="000000" w:themeColor="text1"/>
                <w:spacing w:val="0"/>
                <w:sz w:val="24"/>
                <w:highlight w:val="none"/>
                <w:lang w:val="en-US" w:eastAsia="zh-CN"/>
                <w14:textFill>
                  <w14:solidFill>
                    <w14:schemeClr w14:val="tx1"/>
                  </w14:solidFill>
                </w14:textFill>
              </w:rPr>
              <w:t>类比</w:t>
            </w:r>
            <w:r>
              <w:rPr>
                <w:rFonts w:ascii="Times New Roman" w:hAnsi="Times New Roman" w:eastAsia="宋体"/>
                <w:color w:val="000000" w:themeColor="text1"/>
                <w:spacing w:val="0"/>
                <w:sz w:val="24"/>
                <w:highlight w:val="none"/>
                <w14:textFill>
                  <w14:solidFill>
                    <w14:schemeClr w14:val="tx1"/>
                  </w14:solidFill>
                </w14:textFill>
              </w:rPr>
              <w:t>，本项目</w:t>
            </w:r>
            <w:r>
              <w:rPr>
                <w:rFonts w:hint="eastAsia" w:ascii="Times New Roman" w:hAnsi="Times New Roman" w:eastAsia="宋体"/>
                <w:color w:val="000000" w:themeColor="text1"/>
                <w:spacing w:val="0"/>
                <w:sz w:val="24"/>
                <w:highlight w:val="none"/>
                <w14:textFill>
                  <w14:solidFill>
                    <w14:schemeClr w14:val="tx1"/>
                  </w14:solidFill>
                </w14:textFill>
              </w:rPr>
              <w:t>双回路段</w:t>
            </w:r>
            <w:r>
              <w:rPr>
                <w:rFonts w:ascii="Times New Roman" w:hAnsi="Times New Roman" w:eastAsia="宋体"/>
                <w:color w:val="000000" w:themeColor="text1"/>
                <w:spacing w:val="0"/>
                <w:sz w:val="24"/>
                <w:highlight w:val="none"/>
                <w14:textFill>
                  <w14:solidFill>
                    <w14:schemeClr w14:val="tx1"/>
                  </w14:solidFill>
                </w14:textFill>
              </w:rPr>
              <w:t>经过非居民区时，线路噪声也满足《声环境质量标准》（GB3096-2008）中</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1</w:t>
            </w:r>
            <w:r>
              <w:rPr>
                <w:rFonts w:ascii="Times New Roman" w:hAnsi="Times New Roman" w:eastAsia="宋体"/>
                <w:color w:val="000000" w:themeColor="text1"/>
                <w:spacing w:val="0"/>
                <w:sz w:val="24"/>
                <w:highlight w:val="none"/>
                <w14:textFill>
                  <w14:solidFill>
                    <w14:schemeClr w14:val="tx1"/>
                  </w14:solidFill>
                </w14:textFill>
              </w:rPr>
              <w:t>类</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标准</w:t>
            </w:r>
            <w:r>
              <w:rPr>
                <w:rFonts w:ascii="Times New Roman" w:hAnsi="Times New Roman" w:eastAsia="宋体"/>
                <w:color w:val="000000" w:themeColor="text1"/>
                <w:spacing w:val="0"/>
                <w:sz w:val="24"/>
                <w:highlight w:val="none"/>
                <w14:textFill>
                  <w14:solidFill>
                    <w14:schemeClr w14:val="tx1"/>
                  </w14:solidFill>
                </w14:textFill>
              </w:rPr>
              <w:t>要求。</w:t>
            </w:r>
          </w:p>
          <w:p w14:paraId="1B068B6E">
            <w:pPr>
              <w:adjustRightInd w:val="0"/>
              <w:snapToGrid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本项目线路环境敏感目标位于110千伏线路</w:t>
            </w:r>
            <w:r>
              <w:rPr>
                <w:rFonts w:hint="eastAsia"/>
                <w:color w:val="000000" w:themeColor="text1"/>
                <w:spacing w:val="0"/>
                <w:sz w:val="24"/>
                <w:highlight w:val="none"/>
                <w:lang w:val="en-US" w:eastAsia="zh-CN"/>
                <w14:textFill>
                  <w14:solidFill>
                    <w14:schemeClr w14:val="tx1"/>
                  </w14:solidFill>
                </w14:textFill>
              </w:rPr>
              <w:t>双</w:t>
            </w:r>
            <w:r>
              <w:rPr>
                <w:rFonts w:hint="eastAsia" w:ascii="Times New Roman" w:hAnsi="Times New Roman" w:eastAsia="宋体"/>
                <w:color w:val="000000" w:themeColor="text1"/>
                <w:spacing w:val="0"/>
                <w:sz w:val="24"/>
                <w:highlight w:val="none"/>
                <w14:textFill>
                  <w14:solidFill>
                    <w14:schemeClr w14:val="tx1"/>
                  </w14:solidFill>
                </w14:textFill>
              </w:rPr>
              <w:t>回路塔架设段</w:t>
            </w:r>
            <w:r>
              <w:rPr>
                <w:rFonts w:hint="eastAsia"/>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本次进行环境敏感目标声环境影响评价时，以声环境敏感目标所受的噪声贡献值与背景噪声值叠加后的预测值作为评价量。由预测可知，本项目</w:t>
            </w:r>
            <w:r>
              <w:rPr>
                <w:rFonts w:hint="eastAsia"/>
                <w:color w:val="000000" w:themeColor="text1"/>
                <w:spacing w:val="0"/>
                <w:sz w:val="24"/>
                <w:highlight w:val="none"/>
                <w:lang w:val="en-US" w:eastAsia="zh-CN"/>
                <w14:textFill>
                  <w14:solidFill>
                    <w14:schemeClr w14:val="tx1"/>
                  </w14:solidFill>
                </w14:textFill>
              </w:rPr>
              <w:t>11</w:t>
            </w:r>
            <w:r>
              <w:rPr>
                <w:rFonts w:hint="eastAsia" w:ascii="Times New Roman" w:hAnsi="Times New Roman" w:eastAsia="宋体"/>
                <w:color w:val="000000" w:themeColor="text1"/>
                <w:spacing w:val="0"/>
                <w:sz w:val="24"/>
                <w:highlight w:val="none"/>
                <w14:textFill>
                  <w14:solidFill>
                    <w14:schemeClr w14:val="tx1"/>
                  </w14:solidFill>
                </w14:textFill>
              </w:rPr>
              <w:t>0kV输电线路建成运行后对环境敏感目标处能够满足《声环境质量标准》（GB3096-2008）相应功能区标准限值要求</w:t>
            </w:r>
            <w:r>
              <w:rPr>
                <w:rFonts w:ascii="Times New Roman" w:hAnsi="Times New Roman" w:eastAsia="宋体"/>
                <w:color w:val="000000" w:themeColor="text1"/>
                <w:spacing w:val="0"/>
                <w:sz w:val="24"/>
                <w:highlight w:val="none"/>
                <w14:textFill>
                  <w14:solidFill>
                    <w14:schemeClr w14:val="tx1"/>
                  </w14:solidFill>
                </w14:textFill>
              </w:rPr>
              <w:t>。具体预测结果见表4-1</w:t>
            </w:r>
            <w:r>
              <w:rPr>
                <w:rFonts w:hint="eastAsia"/>
                <w:color w:val="000000" w:themeColor="text1"/>
                <w:spacing w:val="0"/>
                <w:sz w:val="24"/>
                <w:highlight w:val="none"/>
                <w:lang w:val="en-US" w:eastAsia="zh-CN"/>
                <w14:textFill>
                  <w14:solidFill>
                    <w14:schemeClr w14:val="tx1"/>
                  </w14:solidFill>
                </w14:textFill>
              </w:rPr>
              <w:t>0</w:t>
            </w:r>
            <w:r>
              <w:rPr>
                <w:rFonts w:ascii="Times New Roman" w:hAnsi="Times New Roman" w:eastAsia="宋体"/>
                <w:color w:val="000000" w:themeColor="text1"/>
                <w:spacing w:val="0"/>
                <w:sz w:val="24"/>
                <w:highlight w:val="none"/>
                <w14:textFill>
                  <w14:solidFill>
                    <w14:schemeClr w14:val="tx1"/>
                  </w14:solidFill>
                </w14:textFill>
              </w:rPr>
              <w:t>。</w:t>
            </w:r>
          </w:p>
          <w:p w14:paraId="651FB1F5">
            <w:pPr>
              <w:adjustRightInd w:val="0"/>
              <w:spacing w:line="360" w:lineRule="auto"/>
              <w:jc w:val="center"/>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表4-1</w:t>
            </w:r>
            <w:r>
              <w:rPr>
                <w:rFonts w:hint="eastAsia"/>
                <w:b/>
                <w:color w:val="000000" w:themeColor="text1"/>
                <w:spacing w:val="0"/>
                <w:sz w:val="24"/>
                <w:highlight w:val="none"/>
                <w:lang w:val="en-US" w:eastAsia="zh-CN"/>
                <w14:textFill>
                  <w14:solidFill>
                    <w14:schemeClr w14:val="tx1"/>
                  </w14:solidFill>
                </w14:textFill>
              </w:rPr>
              <w:t>0</w:t>
            </w:r>
            <w:r>
              <w:rPr>
                <w:rFonts w:ascii="Times New Roman" w:hAnsi="Times New Roman" w:eastAsia="宋体"/>
                <w:b/>
                <w:color w:val="000000" w:themeColor="text1"/>
                <w:spacing w:val="0"/>
                <w:sz w:val="24"/>
                <w:highlight w:val="none"/>
                <w14:textFill>
                  <w14:solidFill>
                    <w14:schemeClr w14:val="tx1"/>
                  </w14:solidFill>
                </w14:textFill>
              </w:rPr>
              <w:t xml:space="preserve">  声环境敏感目标处噪声预测结果      单位：dB(A)</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236"/>
              <w:gridCol w:w="816"/>
              <w:gridCol w:w="856"/>
              <w:gridCol w:w="797"/>
              <w:gridCol w:w="800"/>
              <w:gridCol w:w="758"/>
              <w:gridCol w:w="718"/>
              <w:gridCol w:w="686"/>
            </w:tblGrid>
            <w:tr w14:paraId="5C3EC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restart"/>
                  <w:tcBorders>
                    <w:tl2br w:val="nil"/>
                    <w:tr2bl w:val="nil"/>
                  </w:tcBorders>
                  <w:vAlign w:val="center"/>
                </w:tcPr>
                <w:p w14:paraId="0BFAEA49">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序号</w:t>
                  </w:r>
                </w:p>
              </w:tc>
              <w:tc>
                <w:tcPr>
                  <w:tcW w:w="2236" w:type="dxa"/>
                  <w:vMerge w:val="restart"/>
                  <w:tcBorders>
                    <w:tl2br w:val="nil"/>
                    <w:tr2bl w:val="nil"/>
                  </w:tcBorders>
                  <w:vAlign w:val="center"/>
                </w:tcPr>
                <w:p w14:paraId="33FAA3AC">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环境敏感目标（距离线路最近的敏感目标）</w:t>
                  </w:r>
                </w:p>
              </w:tc>
              <w:tc>
                <w:tcPr>
                  <w:tcW w:w="816" w:type="dxa"/>
                  <w:vMerge w:val="restart"/>
                  <w:tcBorders>
                    <w:tl2br w:val="nil"/>
                    <w:tr2bl w:val="nil"/>
                  </w:tcBorders>
                  <w:vAlign w:val="center"/>
                </w:tcPr>
                <w:p w14:paraId="3165DD52">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贡献值</w:t>
                  </w:r>
                </w:p>
              </w:tc>
              <w:tc>
                <w:tcPr>
                  <w:tcW w:w="1653" w:type="dxa"/>
                  <w:gridSpan w:val="2"/>
                  <w:tcBorders>
                    <w:tl2br w:val="nil"/>
                    <w:tr2bl w:val="nil"/>
                  </w:tcBorders>
                  <w:vAlign w:val="center"/>
                </w:tcPr>
                <w:p w14:paraId="2BE8527B">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背景值</w:t>
                  </w:r>
                </w:p>
              </w:tc>
              <w:tc>
                <w:tcPr>
                  <w:tcW w:w="1558" w:type="dxa"/>
                  <w:gridSpan w:val="2"/>
                  <w:tcBorders>
                    <w:tl2br w:val="nil"/>
                    <w:tr2bl w:val="nil"/>
                  </w:tcBorders>
                  <w:vAlign w:val="center"/>
                </w:tcPr>
                <w:p w14:paraId="0AB0FB4C">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预测值</w:t>
                  </w:r>
                </w:p>
              </w:tc>
              <w:tc>
                <w:tcPr>
                  <w:tcW w:w="1404" w:type="dxa"/>
                  <w:gridSpan w:val="2"/>
                  <w:tcBorders>
                    <w:tl2br w:val="nil"/>
                    <w:tr2bl w:val="nil"/>
                  </w:tcBorders>
                  <w:vAlign w:val="center"/>
                </w:tcPr>
                <w:p w14:paraId="42A55871">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标准值</w:t>
                  </w:r>
                </w:p>
              </w:tc>
            </w:tr>
            <w:tr w14:paraId="4238C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tcBorders>
                    <w:tl2br w:val="nil"/>
                    <w:tr2bl w:val="nil"/>
                  </w:tcBorders>
                  <w:vAlign w:val="center"/>
                </w:tcPr>
                <w:p w14:paraId="7024295B">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2236" w:type="dxa"/>
                  <w:vMerge w:val="continue"/>
                  <w:tcBorders>
                    <w:tl2br w:val="nil"/>
                    <w:tr2bl w:val="nil"/>
                  </w:tcBorders>
                  <w:vAlign w:val="center"/>
                </w:tcPr>
                <w:p w14:paraId="36538BB5">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816" w:type="dxa"/>
                  <w:vMerge w:val="continue"/>
                  <w:tcBorders>
                    <w:tl2br w:val="nil"/>
                    <w:tr2bl w:val="nil"/>
                  </w:tcBorders>
                  <w:vAlign w:val="center"/>
                </w:tcPr>
                <w:p w14:paraId="3E237E23">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856" w:type="dxa"/>
                  <w:tcBorders>
                    <w:tl2br w:val="nil"/>
                    <w:tr2bl w:val="nil"/>
                  </w:tcBorders>
                  <w:vAlign w:val="center"/>
                </w:tcPr>
                <w:p w14:paraId="72AAE751">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昼间</w:t>
                  </w:r>
                </w:p>
              </w:tc>
              <w:tc>
                <w:tcPr>
                  <w:tcW w:w="797" w:type="dxa"/>
                  <w:tcBorders>
                    <w:tl2br w:val="nil"/>
                    <w:tr2bl w:val="nil"/>
                  </w:tcBorders>
                  <w:vAlign w:val="center"/>
                </w:tcPr>
                <w:p w14:paraId="21791021">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夜间</w:t>
                  </w:r>
                </w:p>
              </w:tc>
              <w:tc>
                <w:tcPr>
                  <w:tcW w:w="800" w:type="dxa"/>
                  <w:tcBorders>
                    <w:tl2br w:val="nil"/>
                    <w:tr2bl w:val="nil"/>
                  </w:tcBorders>
                  <w:vAlign w:val="center"/>
                </w:tcPr>
                <w:p w14:paraId="3C6C85A6">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昼间</w:t>
                  </w:r>
                </w:p>
              </w:tc>
              <w:tc>
                <w:tcPr>
                  <w:tcW w:w="758" w:type="dxa"/>
                  <w:tcBorders>
                    <w:tl2br w:val="nil"/>
                    <w:tr2bl w:val="nil"/>
                  </w:tcBorders>
                  <w:vAlign w:val="center"/>
                </w:tcPr>
                <w:p w14:paraId="2A500BF8">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夜间</w:t>
                  </w:r>
                </w:p>
              </w:tc>
              <w:tc>
                <w:tcPr>
                  <w:tcW w:w="718" w:type="dxa"/>
                  <w:tcBorders>
                    <w:tl2br w:val="nil"/>
                    <w:tr2bl w:val="nil"/>
                  </w:tcBorders>
                  <w:vAlign w:val="center"/>
                </w:tcPr>
                <w:p w14:paraId="5BE7FAB0">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昼间</w:t>
                  </w:r>
                </w:p>
              </w:tc>
              <w:tc>
                <w:tcPr>
                  <w:tcW w:w="686" w:type="dxa"/>
                  <w:tcBorders>
                    <w:tl2br w:val="nil"/>
                    <w:tr2bl w:val="nil"/>
                  </w:tcBorders>
                  <w:vAlign w:val="center"/>
                </w:tcPr>
                <w:p w14:paraId="6D892AB8">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夜间</w:t>
                  </w:r>
                </w:p>
              </w:tc>
            </w:tr>
            <w:tr w14:paraId="47324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tcBorders>
                    <w:tl2br w:val="nil"/>
                    <w:tr2bl w:val="nil"/>
                  </w:tcBorders>
                  <w:vAlign w:val="center"/>
                </w:tcPr>
                <w:p w14:paraId="18328C0B">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1</w:t>
                  </w:r>
                </w:p>
              </w:tc>
              <w:tc>
                <w:tcPr>
                  <w:tcW w:w="2236" w:type="dxa"/>
                  <w:tcBorders>
                    <w:tl2br w:val="nil"/>
                    <w:tr2bl w:val="nil"/>
                  </w:tcBorders>
                  <w:vAlign w:val="center"/>
                </w:tcPr>
                <w:p w14:paraId="66333219">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816" w:type="dxa"/>
                  <w:tcBorders>
                    <w:tl2br w:val="nil"/>
                    <w:tr2bl w:val="nil"/>
                  </w:tcBorders>
                  <w:vAlign w:val="center"/>
                </w:tcPr>
                <w:p w14:paraId="5515DA73">
                  <w:pPr>
                    <w:keepNext w:val="0"/>
                    <w:keepLines w:val="0"/>
                    <w:widowControl/>
                    <w:suppressLineNumbers w:val="0"/>
                    <w:jc w:val="center"/>
                    <w:textAlignment w:val="center"/>
                    <w:outlineLvl w:val="9"/>
                    <w:rPr>
                      <w:rFonts w:ascii="Times New Roman" w:hAnsi="Times New Roman" w:eastAsia="宋体"/>
                      <w:color w:val="000000" w:themeColor="text1"/>
                      <w:spacing w:val="0"/>
                      <w:sz w:val="21"/>
                      <w:szCs w:val="21"/>
                      <w:highlight w:val="green"/>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39</w:t>
                  </w:r>
                </w:p>
              </w:tc>
              <w:tc>
                <w:tcPr>
                  <w:tcW w:w="856" w:type="dxa"/>
                  <w:tcBorders>
                    <w:tl2br w:val="nil"/>
                    <w:tr2bl w:val="nil"/>
                  </w:tcBorders>
                  <w:vAlign w:val="center"/>
                </w:tcPr>
                <w:p w14:paraId="426A40CC">
                  <w:pPr>
                    <w:adjustRightInd w:val="0"/>
                    <w:snapToGrid w:val="0"/>
                    <w:spacing w:beforeLines="0" w:afterLines="0"/>
                    <w:jc w:val="center"/>
                    <w:outlineLvl w:val="9"/>
                    <w:rPr>
                      <w:rFonts w:ascii="Times New Roman" w:hAnsi="Times New Roman" w:eastAsia="宋体"/>
                      <w:color w:val="000000" w:themeColor="text1"/>
                      <w:spacing w:val="0"/>
                      <w:sz w:val="21"/>
                      <w:szCs w:val="21"/>
                      <w:highlight w:val="green"/>
                      <w14:textFill>
                        <w14:solidFill>
                          <w14:schemeClr w14:val="tx1"/>
                        </w14:solidFill>
                      </w14:textFill>
                    </w:rPr>
                  </w:pPr>
                  <w:r>
                    <w:rPr>
                      <w:rFonts w:hint="eastAsia" w:ascii="Times New Roman" w:hAnsi="Times New Roman" w:eastAsia="宋体"/>
                      <w:color w:val="000000" w:themeColor="text1"/>
                      <w:sz w:val="21"/>
                      <w:szCs w:val="21"/>
                      <w:lang w:bidi="ar"/>
                      <w14:textFill>
                        <w14:solidFill>
                          <w14:schemeClr w14:val="tx1"/>
                        </w14:solidFill>
                      </w14:textFill>
                    </w:rPr>
                    <w:t>45</w:t>
                  </w:r>
                </w:p>
              </w:tc>
              <w:tc>
                <w:tcPr>
                  <w:tcW w:w="797" w:type="dxa"/>
                  <w:tcBorders>
                    <w:tl2br w:val="nil"/>
                    <w:tr2bl w:val="nil"/>
                  </w:tcBorders>
                  <w:vAlign w:val="center"/>
                </w:tcPr>
                <w:p w14:paraId="0144B5D8">
                  <w:pPr>
                    <w:adjustRightInd w:val="0"/>
                    <w:snapToGrid w:val="0"/>
                    <w:spacing w:beforeLines="0" w:afterLines="0"/>
                    <w:jc w:val="center"/>
                    <w:outlineLvl w:val="9"/>
                    <w:rPr>
                      <w:rFonts w:ascii="Times New Roman" w:hAnsi="Times New Roman" w:eastAsia="宋体"/>
                      <w:color w:val="000000" w:themeColor="text1"/>
                      <w:spacing w:val="0"/>
                      <w:sz w:val="21"/>
                      <w:szCs w:val="21"/>
                      <w:highlight w:val="green"/>
                      <w14:textFill>
                        <w14:solidFill>
                          <w14:schemeClr w14:val="tx1"/>
                        </w14:solidFill>
                      </w14:textFill>
                    </w:rPr>
                  </w:pPr>
                  <w:r>
                    <w:rPr>
                      <w:rFonts w:hint="eastAsia" w:ascii="Times New Roman" w:hAnsi="Times New Roman" w:eastAsia="宋体"/>
                      <w:color w:val="000000" w:themeColor="text1"/>
                      <w:sz w:val="21"/>
                      <w:szCs w:val="21"/>
                      <w:lang w:bidi="ar"/>
                      <w14:textFill>
                        <w14:solidFill>
                          <w14:schemeClr w14:val="tx1"/>
                        </w14:solidFill>
                      </w14:textFill>
                    </w:rPr>
                    <w:t>42</w:t>
                  </w:r>
                </w:p>
              </w:tc>
              <w:tc>
                <w:tcPr>
                  <w:tcW w:w="800" w:type="dxa"/>
                  <w:tcBorders>
                    <w:tl2br w:val="nil"/>
                    <w:tr2bl w:val="nil"/>
                  </w:tcBorders>
                  <w:vAlign w:val="center"/>
                </w:tcPr>
                <w:p w14:paraId="4400C9E1">
                  <w:pPr>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46</w:t>
                  </w:r>
                </w:p>
              </w:tc>
              <w:tc>
                <w:tcPr>
                  <w:tcW w:w="758" w:type="dxa"/>
                  <w:tcBorders>
                    <w:tl2br w:val="nil"/>
                    <w:tr2bl w:val="nil"/>
                  </w:tcBorders>
                  <w:vAlign w:val="center"/>
                </w:tcPr>
                <w:p w14:paraId="6D4D8F3C">
                  <w:pPr>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4</w:t>
                  </w:r>
                  <w:r>
                    <w:rPr>
                      <w:rFonts w:hint="eastAsia"/>
                      <w:color w:val="000000" w:themeColor="text1"/>
                      <w:spacing w:val="0"/>
                      <w:sz w:val="21"/>
                      <w:szCs w:val="21"/>
                      <w:highlight w:val="none"/>
                      <w:lang w:val="en-US" w:eastAsia="zh-CN"/>
                      <w14:textFill>
                        <w14:solidFill>
                          <w14:schemeClr w14:val="tx1"/>
                        </w14:solidFill>
                      </w14:textFill>
                    </w:rPr>
                    <w:t>4</w:t>
                  </w:r>
                </w:p>
              </w:tc>
              <w:tc>
                <w:tcPr>
                  <w:tcW w:w="718" w:type="dxa"/>
                  <w:vMerge w:val="restart"/>
                  <w:tcBorders>
                    <w:tl2br w:val="nil"/>
                    <w:tr2bl w:val="nil"/>
                  </w:tcBorders>
                  <w:vAlign w:val="center"/>
                </w:tcPr>
                <w:p w14:paraId="537CD593">
                  <w:pPr>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55</w:t>
                  </w:r>
                </w:p>
              </w:tc>
              <w:tc>
                <w:tcPr>
                  <w:tcW w:w="686" w:type="dxa"/>
                  <w:vMerge w:val="restart"/>
                  <w:tcBorders>
                    <w:tl2br w:val="nil"/>
                    <w:tr2bl w:val="nil"/>
                  </w:tcBorders>
                  <w:vAlign w:val="center"/>
                </w:tcPr>
                <w:p w14:paraId="771A4E14">
                  <w:pPr>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45</w:t>
                  </w:r>
                </w:p>
              </w:tc>
            </w:tr>
            <w:tr w14:paraId="2F082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tcBorders>
                    <w:tl2br w:val="nil"/>
                    <w:tr2bl w:val="nil"/>
                  </w:tcBorders>
                  <w:vAlign w:val="center"/>
                </w:tcPr>
                <w:p w14:paraId="6E11B047">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2</w:t>
                  </w:r>
                </w:p>
              </w:tc>
              <w:tc>
                <w:tcPr>
                  <w:tcW w:w="2236" w:type="dxa"/>
                  <w:tcBorders>
                    <w:tl2br w:val="nil"/>
                    <w:tr2bl w:val="nil"/>
                  </w:tcBorders>
                  <w:vAlign w:val="center"/>
                </w:tcPr>
                <w:p w14:paraId="37A476D9">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816" w:type="dxa"/>
                  <w:tcBorders>
                    <w:tl2br w:val="nil"/>
                    <w:tr2bl w:val="nil"/>
                  </w:tcBorders>
                  <w:vAlign w:val="center"/>
                </w:tcPr>
                <w:p w14:paraId="3B7041C4">
                  <w:pPr>
                    <w:keepNext w:val="0"/>
                    <w:keepLines w:val="0"/>
                    <w:widowControl/>
                    <w:suppressLineNumbers w:val="0"/>
                    <w:jc w:val="center"/>
                    <w:textAlignment w:val="center"/>
                    <w:outlineLvl w:val="9"/>
                    <w:rPr>
                      <w:rFonts w:hint="default" w:ascii="Times New Roman" w:hAnsi="Times New Roman" w:eastAsia="宋体"/>
                      <w:color w:val="000000" w:themeColor="text1"/>
                      <w:spacing w:val="0"/>
                      <w:sz w:val="21"/>
                      <w:szCs w:val="21"/>
                      <w:highlight w:val="green"/>
                      <w:lang w:val="en-US"/>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3</w:t>
                  </w:r>
                  <w:r>
                    <w:rPr>
                      <w:rFonts w:hint="eastAsia" w:cs="宋体"/>
                      <w:i w:val="0"/>
                      <w:iCs w:val="0"/>
                      <w:color w:val="000000" w:themeColor="text1"/>
                      <w:kern w:val="0"/>
                      <w:sz w:val="21"/>
                      <w:szCs w:val="21"/>
                      <w:u w:val="none"/>
                      <w:lang w:val="en-US" w:eastAsia="zh-CN" w:bidi="ar"/>
                      <w14:textFill>
                        <w14:solidFill>
                          <w14:schemeClr w14:val="tx1"/>
                        </w14:solidFill>
                      </w14:textFill>
                    </w:rPr>
                    <w:t>8</w:t>
                  </w:r>
                </w:p>
              </w:tc>
              <w:tc>
                <w:tcPr>
                  <w:tcW w:w="856" w:type="dxa"/>
                  <w:tcBorders>
                    <w:tl2br w:val="nil"/>
                    <w:tr2bl w:val="nil"/>
                  </w:tcBorders>
                  <w:vAlign w:val="center"/>
                </w:tcPr>
                <w:p w14:paraId="5C97DB5C">
                  <w:pPr>
                    <w:adjustRightInd w:val="0"/>
                    <w:snapToGrid w:val="0"/>
                    <w:spacing w:beforeLines="0" w:afterLines="0"/>
                    <w:jc w:val="center"/>
                    <w:outlineLvl w:val="9"/>
                    <w:rPr>
                      <w:rFonts w:ascii="Times New Roman" w:hAnsi="Times New Roman" w:eastAsia="宋体"/>
                      <w:color w:val="000000" w:themeColor="text1"/>
                      <w:spacing w:val="0"/>
                      <w:sz w:val="21"/>
                      <w:szCs w:val="21"/>
                      <w:highlight w:val="green"/>
                      <w14:textFill>
                        <w14:solidFill>
                          <w14:schemeClr w14:val="tx1"/>
                        </w14:solidFill>
                      </w14:textFill>
                    </w:rPr>
                  </w:pPr>
                  <w:r>
                    <w:rPr>
                      <w:rFonts w:hint="eastAsia" w:ascii="Times New Roman" w:hAnsi="Times New Roman" w:eastAsia="宋体"/>
                      <w:color w:val="000000" w:themeColor="text1"/>
                      <w:sz w:val="21"/>
                      <w:szCs w:val="21"/>
                      <w:lang w:bidi="ar"/>
                      <w14:textFill>
                        <w14:solidFill>
                          <w14:schemeClr w14:val="tx1"/>
                        </w14:solidFill>
                      </w14:textFill>
                    </w:rPr>
                    <w:t>41</w:t>
                  </w:r>
                </w:p>
              </w:tc>
              <w:tc>
                <w:tcPr>
                  <w:tcW w:w="797" w:type="dxa"/>
                  <w:tcBorders>
                    <w:tl2br w:val="nil"/>
                    <w:tr2bl w:val="nil"/>
                  </w:tcBorders>
                  <w:vAlign w:val="center"/>
                </w:tcPr>
                <w:p w14:paraId="48C74C7C">
                  <w:pPr>
                    <w:adjustRightInd w:val="0"/>
                    <w:snapToGrid w:val="0"/>
                    <w:spacing w:beforeLines="0" w:afterLines="0"/>
                    <w:jc w:val="center"/>
                    <w:outlineLvl w:val="9"/>
                    <w:rPr>
                      <w:rFonts w:ascii="Times New Roman" w:hAnsi="Times New Roman" w:eastAsia="宋体"/>
                      <w:color w:val="000000" w:themeColor="text1"/>
                      <w:spacing w:val="0"/>
                      <w:sz w:val="21"/>
                      <w:szCs w:val="21"/>
                      <w:highlight w:val="green"/>
                      <w14:textFill>
                        <w14:solidFill>
                          <w14:schemeClr w14:val="tx1"/>
                        </w14:solidFill>
                      </w14:textFill>
                    </w:rPr>
                  </w:pPr>
                  <w:r>
                    <w:rPr>
                      <w:rFonts w:hint="eastAsia" w:ascii="Times New Roman" w:hAnsi="Times New Roman" w:eastAsia="宋体"/>
                      <w:color w:val="000000" w:themeColor="text1"/>
                      <w:sz w:val="21"/>
                      <w:szCs w:val="21"/>
                      <w:lang w:bidi="ar"/>
                      <w14:textFill>
                        <w14:solidFill>
                          <w14:schemeClr w14:val="tx1"/>
                        </w14:solidFill>
                      </w14:textFill>
                    </w:rPr>
                    <w:t>40</w:t>
                  </w:r>
                </w:p>
              </w:tc>
              <w:tc>
                <w:tcPr>
                  <w:tcW w:w="800" w:type="dxa"/>
                  <w:tcBorders>
                    <w:tl2br w:val="nil"/>
                    <w:tr2bl w:val="nil"/>
                  </w:tcBorders>
                  <w:vAlign w:val="center"/>
                </w:tcPr>
                <w:p w14:paraId="20CE18C0">
                  <w:pPr>
                    <w:adjustRightInd w:val="0"/>
                    <w:snapToGrid w:val="0"/>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4</w:t>
                  </w:r>
                  <w:r>
                    <w:rPr>
                      <w:rFonts w:hint="eastAsia"/>
                      <w:color w:val="000000" w:themeColor="text1"/>
                      <w:spacing w:val="0"/>
                      <w:sz w:val="21"/>
                      <w:szCs w:val="21"/>
                      <w:highlight w:val="none"/>
                      <w:lang w:val="en-US" w:eastAsia="zh-CN"/>
                      <w14:textFill>
                        <w14:solidFill>
                          <w14:schemeClr w14:val="tx1"/>
                        </w14:solidFill>
                      </w14:textFill>
                    </w:rPr>
                    <w:t>3</w:t>
                  </w:r>
                </w:p>
              </w:tc>
              <w:tc>
                <w:tcPr>
                  <w:tcW w:w="758" w:type="dxa"/>
                  <w:tcBorders>
                    <w:tl2br w:val="nil"/>
                    <w:tr2bl w:val="nil"/>
                  </w:tcBorders>
                  <w:vAlign w:val="center"/>
                </w:tcPr>
                <w:p w14:paraId="1D984037">
                  <w:pPr>
                    <w:adjustRightInd w:val="0"/>
                    <w:snapToGrid w:val="0"/>
                    <w:jc w:val="center"/>
                    <w:outlineLvl w:val="9"/>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4</w:t>
                  </w:r>
                  <w:r>
                    <w:rPr>
                      <w:rFonts w:hint="eastAsia"/>
                      <w:color w:val="000000" w:themeColor="text1"/>
                      <w:spacing w:val="0"/>
                      <w:sz w:val="21"/>
                      <w:szCs w:val="21"/>
                      <w:highlight w:val="none"/>
                      <w:lang w:val="en-US" w:eastAsia="zh-CN"/>
                      <w14:textFill>
                        <w14:solidFill>
                          <w14:schemeClr w14:val="tx1"/>
                        </w14:solidFill>
                      </w14:textFill>
                    </w:rPr>
                    <w:t>2</w:t>
                  </w:r>
                </w:p>
              </w:tc>
              <w:tc>
                <w:tcPr>
                  <w:tcW w:w="718" w:type="dxa"/>
                  <w:vMerge w:val="continue"/>
                  <w:tcBorders>
                    <w:tl2br w:val="nil"/>
                    <w:tr2bl w:val="nil"/>
                  </w:tcBorders>
                  <w:vAlign w:val="center"/>
                </w:tcPr>
                <w:p w14:paraId="74E435E0">
                  <w:pPr>
                    <w:spacing w:line="240" w:lineRule="exact"/>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686" w:type="dxa"/>
                  <w:vMerge w:val="continue"/>
                  <w:tcBorders>
                    <w:tl2br w:val="nil"/>
                    <w:tr2bl w:val="nil"/>
                  </w:tcBorders>
                  <w:vAlign w:val="center"/>
                </w:tcPr>
                <w:p w14:paraId="71F3BF8B">
                  <w:pPr>
                    <w:spacing w:line="240" w:lineRule="exact"/>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r>
            <w:tr w14:paraId="5D50F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tcBorders>
                    <w:tl2br w:val="nil"/>
                    <w:tr2bl w:val="nil"/>
                  </w:tcBorders>
                  <w:vAlign w:val="center"/>
                </w:tcPr>
                <w:p w14:paraId="674DF6CB">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ascii="Times New Roman" w:hAnsi="Times New Roman" w:eastAsia="宋体"/>
                      <w:color w:val="000000" w:themeColor="text1"/>
                      <w:spacing w:val="0"/>
                      <w:sz w:val="21"/>
                      <w:szCs w:val="21"/>
                      <w:highlight w:val="none"/>
                      <w14:textFill>
                        <w14:solidFill>
                          <w14:schemeClr w14:val="tx1"/>
                        </w14:solidFill>
                      </w14:textFill>
                    </w:rPr>
                    <w:t>3</w:t>
                  </w:r>
                </w:p>
              </w:tc>
              <w:tc>
                <w:tcPr>
                  <w:tcW w:w="2236" w:type="dxa"/>
                  <w:tcBorders>
                    <w:tl2br w:val="nil"/>
                    <w:tr2bl w:val="nil"/>
                  </w:tcBorders>
                  <w:vAlign w:val="center"/>
                </w:tcPr>
                <w:p w14:paraId="3501AEC0">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816" w:type="dxa"/>
                  <w:tcBorders>
                    <w:tl2br w:val="nil"/>
                    <w:tr2bl w:val="nil"/>
                  </w:tcBorders>
                  <w:vAlign w:val="center"/>
                </w:tcPr>
                <w:p w14:paraId="1C99CFE6">
                  <w:pPr>
                    <w:keepNext w:val="0"/>
                    <w:keepLines w:val="0"/>
                    <w:widowControl/>
                    <w:suppressLineNumbers w:val="0"/>
                    <w:jc w:val="center"/>
                    <w:textAlignment w:val="center"/>
                    <w:outlineLvl w:val="9"/>
                    <w:rPr>
                      <w:rFonts w:hint="default" w:ascii="Times New Roman" w:hAnsi="Times New Roman" w:eastAsia="宋体"/>
                      <w:color w:val="000000" w:themeColor="text1"/>
                      <w:spacing w:val="0"/>
                      <w:sz w:val="21"/>
                      <w:szCs w:val="21"/>
                      <w:highlight w:val="green"/>
                      <w:lang w:val="en-US"/>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3</w:t>
                  </w:r>
                  <w:r>
                    <w:rPr>
                      <w:rFonts w:hint="eastAsia" w:cs="宋体"/>
                      <w:i w:val="0"/>
                      <w:iCs w:val="0"/>
                      <w:color w:val="000000" w:themeColor="text1"/>
                      <w:kern w:val="0"/>
                      <w:sz w:val="21"/>
                      <w:szCs w:val="21"/>
                      <w:u w:val="none"/>
                      <w:lang w:val="en-US" w:eastAsia="zh-CN" w:bidi="ar"/>
                      <w14:textFill>
                        <w14:solidFill>
                          <w14:schemeClr w14:val="tx1"/>
                        </w14:solidFill>
                      </w14:textFill>
                    </w:rPr>
                    <w:t>9</w:t>
                  </w:r>
                </w:p>
              </w:tc>
              <w:tc>
                <w:tcPr>
                  <w:tcW w:w="856" w:type="dxa"/>
                  <w:tcBorders>
                    <w:tl2br w:val="nil"/>
                    <w:tr2bl w:val="nil"/>
                  </w:tcBorders>
                  <w:vAlign w:val="center"/>
                </w:tcPr>
                <w:p w14:paraId="53C95D5B">
                  <w:pPr>
                    <w:adjustRightInd w:val="0"/>
                    <w:snapToGrid w:val="0"/>
                    <w:spacing w:beforeLines="0" w:afterLines="0"/>
                    <w:jc w:val="center"/>
                    <w:outlineLvl w:val="9"/>
                    <w:rPr>
                      <w:rFonts w:ascii="Times New Roman" w:hAnsi="Times New Roman" w:eastAsia="宋体"/>
                      <w:color w:val="000000" w:themeColor="text1"/>
                      <w:spacing w:val="0"/>
                      <w:sz w:val="21"/>
                      <w:szCs w:val="21"/>
                      <w:highlight w:val="green"/>
                      <w14:textFill>
                        <w14:solidFill>
                          <w14:schemeClr w14:val="tx1"/>
                        </w14:solidFill>
                      </w14:textFill>
                    </w:rPr>
                  </w:pPr>
                  <w:r>
                    <w:rPr>
                      <w:rFonts w:hint="eastAsia" w:ascii="Times New Roman" w:hAnsi="Times New Roman" w:eastAsia="宋体"/>
                      <w:color w:val="000000" w:themeColor="text1"/>
                      <w:sz w:val="21"/>
                      <w:szCs w:val="21"/>
                      <w:lang w:bidi="ar"/>
                      <w14:textFill>
                        <w14:solidFill>
                          <w14:schemeClr w14:val="tx1"/>
                        </w14:solidFill>
                      </w14:textFill>
                    </w:rPr>
                    <w:t>40</w:t>
                  </w:r>
                </w:p>
              </w:tc>
              <w:tc>
                <w:tcPr>
                  <w:tcW w:w="797" w:type="dxa"/>
                  <w:tcBorders>
                    <w:tl2br w:val="nil"/>
                    <w:tr2bl w:val="nil"/>
                  </w:tcBorders>
                  <w:vAlign w:val="center"/>
                </w:tcPr>
                <w:p w14:paraId="6F0F4BBD">
                  <w:pPr>
                    <w:adjustRightInd w:val="0"/>
                    <w:snapToGrid w:val="0"/>
                    <w:spacing w:beforeLines="0" w:afterLines="0"/>
                    <w:jc w:val="center"/>
                    <w:outlineLvl w:val="9"/>
                    <w:rPr>
                      <w:rFonts w:ascii="Times New Roman" w:hAnsi="Times New Roman" w:eastAsia="宋体"/>
                      <w:color w:val="000000" w:themeColor="text1"/>
                      <w:spacing w:val="0"/>
                      <w:sz w:val="21"/>
                      <w:szCs w:val="21"/>
                      <w:highlight w:val="green"/>
                      <w14:textFill>
                        <w14:solidFill>
                          <w14:schemeClr w14:val="tx1"/>
                        </w14:solidFill>
                      </w14:textFill>
                    </w:rPr>
                  </w:pPr>
                  <w:r>
                    <w:rPr>
                      <w:rFonts w:hint="eastAsia" w:ascii="Times New Roman" w:hAnsi="Times New Roman" w:eastAsia="宋体"/>
                      <w:color w:val="000000" w:themeColor="text1"/>
                      <w:sz w:val="21"/>
                      <w:szCs w:val="21"/>
                      <w:lang w:bidi="ar"/>
                      <w14:textFill>
                        <w14:solidFill>
                          <w14:schemeClr w14:val="tx1"/>
                        </w14:solidFill>
                      </w14:textFill>
                    </w:rPr>
                    <w:t>38</w:t>
                  </w:r>
                </w:p>
              </w:tc>
              <w:tc>
                <w:tcPr>
                  <w:tcW w:w="800" w:type="dxa"/>
                  <w:tcBorders>
                    <w:tl2br w:val="nil"/>
                    <w:tr2bl w:val="nil"/>
                  </w:tcBorders>
                  <w:vAlign w:val="center"/>
                </w:tcPr>
                <w:p w14:paraId="38D99024">
                  <w:pPr>
                    <w:adjustRightInd w:val="0"/>
                    <w:snapToGrid w:val="0"/>
                    <w:jc w:val="center"/>
                    <w:outlineLvl w:val="9"/>
                    <w:rPr>
                      <w:rFonts w:hint="eastAsia" w:ascii="Times New Roman" w:hAnsi="Times New Roman" w:eastAsia="宋体"/>
                      <w:color w:val="000000" w:themeColor="text1"/>
                      <w:spacing w:val="0"/>
                      <w:sz w:val="21"/>
                      <w:szCs w:val="21"/>
                      <w:highlight w:val="none"/>
                      <w:lang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14:textFill>
                        <w14:solidFill>
                          <w14:schemeClr w14:val="tx1"/>
                        </w14:solidFill>
                      </w14:textFill>
                    </w:rPr>
                    <w:t>4</w:t>
                  </w:r>
                  <w:r>
                    <w:rPr>
                      <w:rFonts w:hint="eastAsia"/>
                      <w:color w:val="000000" w:themeColor="text1"/>
                      <w:spacing w:val="0"/>
                      <w:sz w:val="21"/>
                      <w:szCs w:val="21"/>
                      <w:highlight w:val="none"/>
                      <w:lang w:val="en-US" w:eastAsia="zh-CN"/>
                      <w14:textFill>
                        <w14:solidFill>
                          <w14:schemeClr w14:val="tx1"/>
                        </w14:solidFill>
                      </w14:textFill>
                    </w:rPr>
                    <w:t>2</w:t>
                  </w:r>
                </w:p>
              </w:tc>
              <w:tc>
                <w:tcPr>
                  <w:tcW w:w="758" w:type="dxa"/>
                  <w:tcBorders>
                    <w:tl2br w:val="nil"/>
                    <w:tr2bl w:val="nil"/>
                  </w:tcBorders>
                  <w:vAlign w:val="center"/>
                </w:tcPr>
                <w:p w14:paraId="0D7B7FEF">
                  <w:pPr>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4</w:t>
                  </w:r>
                  <w:r>
                    <w:rPr>
                      <w:rFonts w:hint="eastAsia"/>
                      <w:color w:val="000000" w:themeColor="text1"/>
                      <w:spacing w:val="0"/>
                      <w:sz w:val="21"/>
                      <w:szCs w:val="21"/>
                      <w:highlight w:val="none"/>
                      <w:lang w:val="en-US" w:eastAsia="zh-CN"/>
                      <w14:textFill>
                        <w14:solidFill>
                          <w14:schemeClr w14:val="tx1"/>
                        </w14:solidFill>
                      </w14:textFill>
                    </w:rPr>
                    <w:t>2</w:t>
                  </w:r>
                </w:p>
              </w:tc>
              <w:tc>
                <w:tcPr>
                  <w:tcW w:w="718" w:type="dxa"/>
                  <w:vMerge w:val="continue"/>
                  <w:tcBorders>
                    <w:tl2br w:val="nil"/>
                    <w:tr2bl w:val="nil"/>
                  </w:tcBorders>
                  <w:vAlign w:val="center"/>
                </w:tcPr>
                <w:p w14:paraId="55E7B8E8">
                  <w:pPr>
                    <w:spacing w:line="240" w:lineRule="exact"/>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686" w:type="dxa"/>
                  <w:vMerge w:val="continue"/>
                  <w:tcBorders>
                    <w:tl2br w:val="nil"/>
                    <w:tr2bl w:val="nil"/>
                  </w:tcBorders>
                  <w:vAlign w:val="center"/>
                </w:tcPr>
                <w:p w14:paraId="35AD8841">
                  <w:pPr>
                    <w:spacing w:line="240" w:lineRule="exact"/>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r>
            <w:tr w14:paraId="0EF0A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tcBorders>
                    <w:tl2br w:val="nil"/>
                    <w:tr2bl w:val="nil"/>
                  </w:tcBorders>
                  <w:vAlign w:val="center"/>
                </w:tcPr>
                <w:p w14:paraId="05EC47C2">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bookmarkStart w:id="10" w:name="OLE_LINK5" w:colFirst="5" w:colLast="6"/>
                  <w:r>
                    <w:rPr>
                      <w:rFonts w:ascii="Times New Roman" w:hAnsi="Times New Roman" w:eastAsia="宋体"/>
                      <w:color w:val="000000" w:themeColor="text1"/>
                      <w:spacing w:val="0"/>
                      <w:sz w:val="21"/>
                      <w:szCs w:val="21"/>
                      <w:highlight w:val="none"/>
                      <w14:textFill>
                        <w14:solidFill>
                          <w14:schemeClr w14:val="tx1"/>
                        </w14:solidFill>
                      </w14:textFill>
                    </w:rPr>
                    <w:t>4</w:t>
                  </w:r>
                </w:p>
              </w:tc>
              <w:tc>
                <w:tcPr>
                  <w:tcW w:w="2236" w:type="dxa"/>
                  <w:tcBorders>
                    <w:tl2br w:val="nil"/>
                    <w:tr2bl w:val="nil"/>
                  </w:tcBorders>
                  <w:vAlign w:val="center"/>
                </w:tcPr>
                <w:p w14:paraId="54899346">
                  <w:pPr>
                    <w:adjustRightInd w:val="0"/>
                    <w:snapToGrid w:val="0"/>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816" w:type="dxa"/>
                  <w:tcBorders>
                    <w:tl2br w:val="nil"/>
                    <w:tr2bl w:val="nil"/>
                  </w:tcBorders>
                  <w:vAlign w:val="center"/>
                </w:tcPr>
                <w:p w14:paraId="3CE3CE4E">
                  <w:pPr>
                    <w:keepNext w:val="0"/>
                    <w:keepLines w:val="0"/>
                    <w:widowControl/>
                    <w:suppressLineNumbers w:val="0"/>
                    <w:jc w:val="center"/>
                    <w:textAlignment w:val="center"/>
                    <w:outlineLvl w:val="9"/>
                    <w:rPr>
                      <w:rFonts w:hint="default" w:ascii="Times New Roman" w:hAnsi="Times New Roman" w:eastAsia="宋体"/>
                      <w:color w:val="000000" w:themeColor="text1"/>
                      <w:spacing w:val="0"/>
                      <w:sz w:val="21"/>
                      <w:szCs w:val="21"/>
                      <w:highlight w:val="green"/>
                      <w:lang w:val="en-US"/>
                      <w14:textFill>
                        <w14:solidFill>
                          <w14:schemeClr w14:val="tx1"/>
                        </w14:solidFill>
                      </w14:textFill>
                    </w:rPr>
                  </w:pPr>
                  <w:r>
                    <w:rPr>
                      <w:rFonts w:hint="eastAsia"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3</w:t>
                  </w:r>
                  <w:r>
                    <w:rPr>
                      <w:rFonts w:hint="eastAsia" w:cs="宋体"/>
                      <w:i w:val="0"/>
                      <w:iCs w:val="0"/>
                      <w:color w:val="000000" w:themeColor="text1"/>
                      <w:kern w:val="0"/>
                      <w:sz w:val="21"/>
                      <w:szCs w:val="21"/>
                      <w:u w:val="none"/>
                      <w:lang w:val="en-US" w:eastAsia="zh-CN" w:bidi="ar"/>
                      <w14:textFill>
                        <w14:solidFill>
                          <w14:schemeClr w14:val="tx1"/>
                        </w14:solidFill>
                      </w14:textFill>
                    </w:rPr>
                    <w:t>7</w:t>
                  </w:r>
                </w:p>
              </w:tc>
              <w:tc>
                <w:tcPr>
                  <w:tcW w:w="856" w:type="dxa"/>
                  <w:tcBorders>
                    <w:tl2br w:val="nil"/>
                    <w:tr2bl w:val="nil"/>
                  </w:tcBorders>
                  <w:vAlign w:val="center"/>
                </w:tcPr>
                <w:p w14:paraId="0A6E5311">
                  <w:pPr>
                    <w:adjustRightInd w:val="0"/>
                    <w:snapToGrid w:val="0"/>
                    <w:spacing w:beforeLines="0" w:afterLines="0"/>
                    <w:jc w:val="center"/>
                    <w:outlineLvl w:val="9"/>
                    <w:rPr>
                      <w:rFonts w:ascii="Times New Roman" w:hAnsi="Times New Roman" w:eastAsia="宋体"/>
                      <w:color w:val="000000" w:themeColor="text1"/>
                      <w:spacing w:val="0"/>
                      <w:sz w:val="21"/>
                      <w:szCs w:val="21"/>
                      <w:highlight w:val="green"/>
                      <w14:textFill>
                        <w14:solidFill>
                          <w14:schemeClr w14:val="tx1"/>
                        </w14:solidFill>
                      </w14:textFill>
                    </w:rPr>
                  </w:pPr>
                  <w:r>
                    <w:rPr>
                      <w:rFonts w:hint="eastAsia" w:ascii="Times New Roman" w:hAnsi="Times New Roman" w:eastAsia="宋体"/>
                      <w:color w:val="000000" w:themeColor="text1"/>
                      <w:sz w:val="21"/>
                      <w:szCs w:val="21"/>
                      <w:lang w:bidi="ar"/>
                      <w14:textFill>
                        <w14:solidFill>
                          <w14:schemeClr w14:val="tx1"/>
                        </w14:solidFill>
                      </w14:textFill>
                    </w:rPr>
                    <w:t>41</w:t>
                  </w:r>
                </w:p>
              </w:tc>
              <w:tc>
                <w:tcPr>
                  <w:tcW w:w="797" w:type="dxa"/>
                  <w:tcBorders>
                    <w:tl2br w:val="nil"/>
                    <w:tr2bl w:val="nil"/>
                  </w:tcBorders>
                  <w:vAlign w:val="center"/>
                </w:tcPr>
                <w:p w14:paraId="457566A7">
                  <w:pPr>
                    <w:adjustRightInd w:val="0"/>
                    <w:snapToGrid w:val="0"/>
                    <w:spacing w:beforeLines="0" w:afterLines="0"/>
                    <w:jc w:val="center"/>
                    <w:outlineLvl w:val="9"/>
                    <w:rPr>
                      <w:rFonts w:ascii="Times New Roman" w:hAnsi="Times New Roman" w:eastAsia="宋体"/>
                      <w:color w:val="000000" w:themeColor="text1"/>
                      <w:spacing w:val="0"/>
                      <w:sz w:val="21"/>
                      <w:szCs w:val="21"/>
                      <w:highlight w:val="green"/>
                      <w14:textFill>
                        <w14:solidFill>
                          <w14:schemeClr w14:val="tx1"/>
                        </w14:solidFill>
                      </w14:textFill>
                    </w:rPr>
                  </w:pPr>
                  <w:r>
                    <w:rPr>
                      <w:rFonts w:hint="eastAsia" w:ascii="Times New Roman" w:hAnsi="Times New Roman" w:eastAsia="宋体"/>
                      <w:color w:val="000000" w:themeColor="text1"/>
                      <w:sz w:val="21"/>
                      <w:szCs w:val="21"/>
                      <w:lang w:bidi="ar"/>
                      <w14:textFill>
                        <w14:solidFill>
                          <w14:schemeClr w14:val="tx1"/>
                        </w14:solidFill>
                      </w14:textFill>
                    </w:rPr>
                    <w:t>39</w:t>
                  </w:r>
                </w:p>
              </w:tc>
              <w:tc>
                <w:tcPr>
                  <w:tcW w:w="800" w:type="dxa"/>
                  <w:tcBorders>
                    <w:tl2br w:val="nil"/>
                    <w:tr2bl w:val="nil"/>
                  </w:tcBorders>
                  <w:vAlign w:val="center"/>
                </w:tcPr>
                <w:p w14:paraId="43EFE657">
                  <w:pPr>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42</w:t>
                  </w:r>
                </w:p>
              </w:tc>
              <w:tc>
                <w:tcPr>
                  <w:tcW w:w="758" w:type="dxa"/>
                  <w:tcBorders>
                    <w:tl2br w:val="nil"/>
                    <w:tr2bl w:val="nil"/>
                  </w:tcBorders>
                  <w:vAlign w:val="center"/>
                </w:tcPr>
                <w:p w14:paraId="656470FE">
                  <w:pPr>
                    <w:adjustRightInd w:val="0"/>
                    <w:snapToGrid w:val="0"/>
                    <w:jc w:val="center"/>
                    <w:outlineLvl w:val="9"/>
                    <w:rPr>
                      <w:rFonts w:hint="default" w:ascii="Times New Roman" w:hAnsi="Times New Roman" w:eastAsia="宋体"/>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1"/>
                      <w:szCs w:val="21"/>
                      <w:highlight w:val="none"/>
                      <w:lang w:val="en-US" w:eastAsia="zh-CN"/>
                      <w14:textFill>
                        <w14:solidFill>
                          <w14:schemeClr w14:val="tx1"/>
                        </w14:solidFill>
                      </w14:textFill>
                    </w:rPr>
                    <w:t>4</w:t>
                  </w:r>
                  <w:r>
                    <w:rPr>
                      <w:rFonts w:hint="eastAsia"/>
                      <w:color w:val="000000" w:themeColor="text1"/>
                      <w:spacing w:val="0"/>
                      <w:sz w:val="21"/>
                      <w:szCs w:val="21"/>
                      <w:highlight w:val="none"/>
                      <w:lang w:val="en-US" w:eastAsia="zh-CN"/>
                      <w14:textFill>
                        <w14:solidFill>
                          <w14:schemeClr w14:val="tx1"/>
                        </w14:solidFill>
                      </w14:textFill>
                    </w:rPr>
                    <w:t>1</w:t>
                  </w:r>
                </w:p>
              </w:tc>
              <w:tc>
                <w:tcPr>
                  <w:tcW w:w="718" w:type="dxa"/>
                  <w:vMerge w:val="continue"/>
                  <w:tcBorders>
                    <w:tl2br w:val="nil"/>
                    <w:tr2bl w:val="nil"/>
                  </w:tcBorders>
                  <w:vAlign w:val="center"/>
                </w:tcPr>
                <w:p w14:paraId="594FB4DC">
                  <w:pPr>
                    <w:spacing w:line="240" w:lineRule="exact"/>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c>
                <w:tcPr>
                  <w:tcW w:w="686" w:type="dxa"/>
                  <w:vMerge w:val="continue"/>
                  <w:tcBorders>
                    <w:tl2br w:val="nil"/>
                    <w:tr2bl w:val="nil"/>
                  </w:tcBorders>
                  <w:vAlign w:val="center"/>
                </w:tcPr>
                <w:p w14:paraId="61DA4E09">
                  <w:pPr>
                    <w:spacing w:line="240" w:lineRule="exact"/>
                    <w:jc w:val="center"/>
                    <w:outlineLvl w:val="9"/>
                    <w:rPr>
                      <w:rFonts w:ascii="Times New Roman" w:hAnsi="Times New Roman" w:eastAsia="宋体"/>
                      <w:color w:val="000000" w:themeColor="text1"/>
                      <w:spacing w:val="0"/>
                      <w:sz w:val="21"/>
                      <w:szCs w:val="21"/>
                      <w:highlight w:val="none"/>
                      <w14:textFill>
                        <w14:solidFill>
                          <w14:schemeClr w14:val="tx1"/>
                        </w14:solidFill>
                      </w14:textFill>
                    </w:rPr>
                  </w:pPr>
                </w:p>
              </w:tc>
            </w:tr>
            <w:bookmarkEnd w:id="10"/>
          </w:tbl>
          <w:p w14:paraId="4074BE8E">
            <w:pPr>
              <w:adjustRightInd w:val="0"/>
              <w:snapToGrid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本项目输电线路声环境敏感目标处昼间噪声预测值在4</w:t>
            </w:r>
            <w:r>
              <w:rPr>
                <w:rFonts w:hint="eastAsia"/>
                <w:color w:val="000000" w:themeColor="text1"/>
                <w:spacing w:val="0"/>
                <w:sz w:val="24"/>
                <w:highlight w:val="none"/>
                <w:lang w:val="en-US" w:eastAsia="zh-CN"/>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dB(A)~4</w:t>
            </w:r>
            <w:r>
              <w:rPr>
                <w:rFonts w:hint="eastAsia"/>
                <w:color w:val="000000" w:themeColor="text1"/>
                <w:spacing w:val="0"/>
                <w:sz w:val="24"/>
                <w:highlight w:val="none"/>
                <w:lang w:val="en-US" w:eastAsia="zh-CN"/>
                <w14:textFill>
                  <w14:solidFill>
                    <w14:schemeClr w14:val="tx1"/>
                  </w14:solidFill>
                </w14:textFill>
              </w:rPr>
              <w:t>6</w:t>
            </w:r>
            <w:r>
              <w:rPr>
                <w:rFonts w:ascii="Times New Roman" w:hAnsi="Times New Roman" w:eastAsia="宋体"/>
                <w:color w:val="000000" w:themeColor="text1"/>
                <w:spacing w:val="0"/>
                <w:sz w:val="24"/>
                <w:highlight w:val="none"/>
                <w14:textFill>
                  <w14:solidFill>
                    <w14:schemeClr w14:val="tx1"/>
                  </w14:solidFill>
                </w14:textFill>
              </w:rPr>
              <w:t>dB(A)之间、夜间噪声预测值在4</w:t>
            </w:r>
            <w:r>
              <w:rPr>
                <w:rFonts w:hint="eastAsia"/>
                <w:color w:val="000000" w:themeColor="text1"/>
                <w:spacing w:val="0"/>
                <w:sz w:val="24"/>
                <w:highlight w:val="none"/>
                <w:lang w:val="en-US" w:eastAsia="zh-CN"/>
                <w14:textFill>
                  <w14:solidFill>
                    <w14:schemeClr w14:val="tx1"/>
                  </w14:solidFill>
                </w14:textFill>
              </w:rPr>
              <w:t>1</w:t>
            </w:r>
            <w:r>
              <w:rPr>
                <w:rFonts w:ascii="Times New Roman" w:hAnsi="Times New Roman" w:eastAsia="宋体"/>
                <w:color w:val="000000" w:themeColor="text1"/>
                <w:spacing w:val="0"/>
                <w:sz w:val="24"/>
                <w:highlight w:val="none"/>
                <w14:textFill>
                  <w14:solidFill>
                    <w14:schemeClr w14:val="tx1"/>
                  </w14:solidFill>
                </w14:textFill>
              </w:rPr>
              <w:t>dB(A)~4</w:t>
            </w:r>
            <w:r>
              <w:rPr>
                <w:rFonts w:hint="eastAsia"/>
                <w:color w:val="000000" w:themeColor="text1"/>
                <w:spacing w:val="0"/>
                <w:sz w:val="24"/>
                <w:highlight w:val="none"/>
                <w:lang w:val="en-US" w:eastAsia="zh-CN"/>
                <w14:textFill>
                  <w14:solidFill>
                    <w14:schemeClr w14:val="tx1"/>
                  </w14:solidFill>
                </w14:textFill>
              </w:rPr>
              <w:t>4</w:t>
            </w:r>
            <w:r>
              <w:rPr>
                <w:rFonts w:ascii="Times New Roman" w:hAnsi="Times New Roman" w:eastAsia="宋体"/>
                <w:color w:val="000000" w:themeColor="text1"/>
                <w:spacing w:val="0"/>
                <w:sz w:val="24"/>
                <w:highlight w:val="none"/>
                <w14:textFill>
                  <w14:solidFill>
                    <w14:schemeClr w14:val="tx1"/>
                  </w14:solidFill>
                </w14:textFill>
              </w:rPr>
              <w:t>dB(A)之间，均低于《声环境质量标准》（GB3096-2008）中的</w:t>
            </w:r>
            <w:r>
              <w:rPr>
                <w:rFonts w:hint="eastAsia"/>
                <w:color w:val="000000" w:themeColor="text1"/>
                <w:spacing w:val="0"/>
                <w:sz w:val="24"/>
                <w:highlight w:val="none"/>
                <w:lang w:val="en-US" w:eastAsia="zh-CN"/>
                <w14:textFill>
                  <w14:solidFill>
                    <w14:schemeClr w14:val="tx1"/>
                  </w14:solidFill>
                </w14:textFill>
              </w:rPr>
              <w:t>1</w:t>
            </w:r>
            <w:r>
              <w:rPr>
                <w:rFonts w:ascii="Times New Roman" w:hAnsi="Times New Roman" w:eastAsia="宋体"/>
                <w:color w:val="000000" w:themeColor="text1"/>
                <w:spacing w:val="0"/>
                <w:sz w:val="24"/>
                <w:highlight w:val="none"/>
                <w14:textFill>
                  <w14:solidFill>
                    <w14:schemeClr w14:val="tx1"/>
                  </w14:solidFill>
                </w14:textFill>
              </w:rPr>
              <w:t>类标准限值要求。</w:t>
            </w:r>
          </w:p>
          <w:p w14:paraId="59BF221B">
            <w:pPr>
              <w:adjustRightInd w:val="0"/>
              <w:snapToGrid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本次预测仅考虑了噪声距离衰减，因此本次评价的噪声预测值要大于线路实际产生的噪声值，声环境影响预测与评价是正确的并且是合理的。</w:t>
            </w:r>
          </w:p>
          <w:p w14:paraId="148C3B74">
            <w:pPr>
              <w:spacing w:line="360" w:lineRule="auto"/>
              <w:ind w:firstLine="472" w:firstLineChars="196"/>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w:t>
            </w:r>
            <w:r>
              <w:rPr>
                <w:rFonts w:hint="eastAsia"/>
                <w:b/>
                <w:bCs/>
                <w:color w:val="000000" w:themeColor="text1"/>
                <w:spacing w:val="0"/>
                <w:sz w:val="24"/>
                <w:highlight w:val="none"/>
                <w:lang w:val="en-US" w:eastAsia="zh-CN"/>
                <w14:textFill>
                  <w14:solidFill>
                    <w14:schemeClr w14:val="tx1"/>
                  </w14:solidFill>
                </w14:textFill>
              </w:rPr>
              <w:t>3</w:t>
            </w:r>
            <w:r>
              <w:rPr>
                <w:rFonts w:ascii="Times New Roman" w:hAnsi="Times New Roman" w:eastAsia="宋体"/>
                <w:b/>
                <w:bCs/>
                <w:color w:val="000000" w:themeColor="text1"/>
                <w:spacing w:val="0"/>
                <w:sz w:val="24"/>
                <w:highlight w:val="none"/>
                <w14:textFill>
                  <w14:solidFill>
                    <w14:schemeClr w14:val="tx1"/>
                  </w14:solidFill>
                </w14:textFill>
              </w:rPr>
              <w:t>）</w:t>
            </w:r>
            <w:r>
              <w:rPr>
                <w:rFonts w:hint="eastAsia" w:ascii="Times New Roman" w:hAnsi="Times New Roman" w:eastAsia="宋体"/>
                <w:b/>
                <w:bCs/>
                <w:color w:val="000000" w:themeColor="text1"/>
                <w:spacing w:val="0"/>
                <w:sz w:val="24"/>
                <w:highlight w:val="none"/>
                <w14:textFill>
                  <w14:solidFill>
                    <w14:schemeClr w14:val="tx1"/>
                  </w14:solidFill>
                </w14:textFill>
              </w:rPr>
              <w:t>单</w:t>
            </w:r>
            <w:r>
              <w:rPr>
                <w:rFonts w:ascii="Times New Roman" w:hAnsi="Times New Roman" w:eastAsia="宋体"/>
                <w:b/>
                <w:bCs/>
                <w:color w:val="000000" w:themeColor="text1"/>
                <w:spacing w:val="0"/>
                <w:sz w:val="24"/>
                <w:highlight w:val="none"/>
                <w14:textFill>
                  <w14:solidFill>
                    <w14:schemeClr w14:val="tx1"/>
                  </w14:solidFill>
                </w14:textFill>
              </w:rPr>
              <w:t>回路架空线路</w:t>
            </w:r>
          </w:p>
          <w:p w14:paraId="62D19C3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①选择类比对象</w:t>
            </w:r>
          </w:p>
          <w:p w14:paraId="1E62EA56">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w:t>
            </w:r>
            <w:r>
              <w:rPr>
                <w:rFonts w:hint="eastAsia" w:ascii="Times New Roman" w:hAnsi="Times New Roman" w:eastAsia="宋体"/>
                <w:color w:val="000000" w:themeColor="text1"/>
                <w:spacing w:val="0"/>
                <w:sz w:val="24"/>
                <w:highlight w:val="none"/>
                <w14:textFill>
                  <w14:solidFill>
                    <w14:schemeClr w14:val="tx1"/>
                  </w14:solidFill>
                </w14:textFill>
              </w:rPr>
              <w:t>申庄~黄铎堡π入三岔变电站110千伏架空线路工程</w:t>
            </w:r>
            <w:r>
              <w:rPr>
                <w:rFonts w:hint="eastAsia"/>
                <w:color w:val="000000" w:themeColor="text1"/>
                <w:spacing w:val="0"/>
                <w:sz w:val="24"/>
                <w:highlight w:val="none"/>
                <w:lang w:eastAsia="zh-CN"/>
                <w14:textFill>
                  <w14:solidFill>
                    <w14:schemeClr w14:val="tx1"/>
                  </w14:solidFill>
                </w14:textFill>
              </w:rPr>
              <w:t>、申庄～黄铎堡改接清水河变电站110kV线路工程</w:t>
            </w:r>
            <w:r>
              <w:rPr>
                <w:rFonts w:hint="eastAsia"/>
                <w:color w:val="000000" w:themeColor="text1"/>
                <w:spacing w:val="0"/>
                <w:sz w:val="24"/>
                <w:highlight w:val="none"/>
                <w:lang w:val="en-US" w:eastAsia="zh-CN"/>
                <w14:textFill>
                  <w14:solidFill>
                    <w14:schemeClr w14:val="tx1"/>
                  </w14:solidFill>
                </w14:textFill>
              </w:rPr>
              <w:t>部分线路采用单回路架设，架设长度1×3.54km，</w:t>
            </w:r>
            <w:r>
              <w:rPr>
                <w:rFonts w:ascii="Times New Roman" w:hAnsi="Times New Roman" w:eastAsia="宋体"/>
                <w:color w:val="000000" w:themeColor="text1"/>
                <w:spacing w:val="0"/>
                <w:sz w:val="24"/>
                <w:highlight w:val="none"/>
                <w14:textFill>
                  <w14:solidFill>
                    <w14:schemeClr w14:val="tx1"/>
                  </w14:solidFill>
                </w14:textFill>
              </w:rPr>
              <w:t>选取同规模已运行线路进行类比预测的方法来分析本项目</w:t>
            </w:r>
            <w:r>
              <w:rPr>
                <w:rFonts w:hint="eastAsia" w:ascii="Times New Roman" w:hAnsi="Times New Roman" w:eastAsia="宋体"/>
                <w:color w:val="000000" w:themeColor="text1"/>
                <w:spacing w:val="0"/>
                <w:sz w:val="24"/>
                <w:highlight w:val="none"/>
                <w14:textFill>
                  <w14:solidFill>
                    <w14:schemeClr w14:val="tx1"/>
                  </w14:solidFill>
                </w14:textFill>
              </w:rPr>
              <w:t>单</w:t>
            </w:r>
            <w:r>
              <w:rPr>
                <w:rFonts w:ascii="Times New Roman" w:hAnsi="Times New Roman" w:eastAsia="宋体"/>
                <w:color w:val="000000" w:themeColor="text1"/>
                <w:spacing w:val="0"/>
                <w:sz w:val="24"/>
                <w:highlight w:val="none"/>
                <w14:textFill>
                  <w14:solidFill>
                    <w14:schemeClr w14:val="tx1"/>
                  </w14:solidFill>
                </w14:textFill>
              </w:rPr>
              <w:t>回路架空线路产生的噪声对周围环境的影响。类比监测线路选择已运行的；110千伏汉</w:t>
            </w:r>
            <w:r>
              <w:rPr>
                <w:rFonts w:hint="eastAsia" w:ascii="Times New Roman" w:hAnsi="Times New Roman" w:eastAsia="宋体"/>
                <w:color w:val="000000" w:themeColor="text1"/>
                <w:spacing w:val="0"/>
                <w:sz w:val="24"/>
                <w:highlight w:val="none"/>
                <w14:textFill>
                  <w14:solidFill>
                    <w14:schemeClr w14:val="tx1"/>
                  </w14:solidFill>
                </w14:textFill>
              </w:rPr>
              <w:t>锋单</w:t>
            </w:r>
            <w:r>
              <w:rPr>
                <w:rFonts w:ascii="Times New Roman" w:hAnsi="Times New Roman" w:eastAsia="宋体"/>
                <w:color w:val="000000" w:themeColor="text1"/>
                <w:spacing w:val="0"/>
                <w:sz w:val="24"/>
                <w:highlight w:val="none"/>
                <w14:textFill>
                  <w14:solidFill>
                    <w14:schemeClr w14:val="tx1"/>
                  </w14:solidFill>
                </w14:textFill>
              </w:rPr>
              <w:t>回路（</w:t>
            </w:r>
            <w:r>
              <w:rPr>
                <w:rFonts w:hint="eastAsia" w:ascii="Times New Roman" w:hAnsi="Times New Roman" w:eastAsia="宋体"/>
                <w:color w:val="000000" w:themeColor="text1"/>
                <w:spacing w:val="0"/>
                <w:sz w:val="24"/>
                <w:highlight w:val="none"/>
                <w14:textFill>
                  <w14:solidFill>
                    <w14:schemeClr w14:val="tx1"/>
                  </w14:solidFill>
                </w14:textFill>
              </w:rPr>
              <w:t>29</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30</w:t>
            </w:r>
            <w:r>
              <w:rPr>
                <w:rFonts w:ascii="Times New Roman" w:hAnsi="Times New Roman" w:eastAsia="宋体"/>
                <w:color w:val="000000" w:themeColor="text1"/>
                <w:spacing w:val="0"/>
                <w:sz w:val="24"/>
                <w:highlight w:val="none"/>
                <w14:textFill>
                  <w14:solidFill>
                    <w14:schemeClr w14:val="tx1"/>
                  </w14:solidFill>
                </w14:textFill>
              </w:rPr>
              <w:t>#杆塔间）进行类比，监测结果引用《宁夏宁东江汉330 千伏变电站110千伏送出工程</w:t>
            </w:r>
            <w:r>
              <w:rPr>
                <w:rFonts w:hint="eastAsia" w:ascii="Times New Roman" w:hAnsi="Times New Roman" w:eastAsia="宋体"/>
                <w:color w:val="000000" w:themeColor="text1"/>
                <w:spacing w:val="0"/>
                <w:sz w:val="24"/>
                <w:highlight w:val="none"/>
                <w14:textFill>
                  <w14:solidFill>
                    <w14:schemeClr w14:val="tx1"/>
                  </w14:solidFill>
                </w14:textFill>
              </w:rPr>
              <w:t>检测报告</w:t>
            </w:r>
            <w:r>
              <w:rPr>
                <w:rFonts w:ascii="Times New Roman" w:hAnsi="Times New Roman" w:eastAsia="宋体"/>
                <w:color w:val="000000" w:themeColor="text1"/>
                <w:spacing w:val="0"/>
                <w:sz w:val="24"/>
                <w:highlight w:val="none"/>
                <w14:textFill>
                  <w14:solidFill>
                    <w14:schemeClr w14:val="tx1"/>
                  </w14:solidFill>
                </w14:textFill>
              </w:rPr>
              <w:t>》中对110千伏汉</w:t>
            </w:r>
            <w:r>
              <w:rPr>
                <w:rFonts w:hint="eastAsia" w:ascii="Times New Roman" w:hAnsi="Times New Roman" w:eastAsia="宋体"/>
                <w:color w:val="000000" w:themeColor="text1"/>
                <w:spacing w:val="0"/>
                <w:sz w:val="24"/>
                <w:highlight w:val="none"/>
                <w14:textFill>
                  <w14:solidFill>
                    <w14:schemeClr w14:val="tx1"/>
                  </w14:solidFill>
                </w14:textFill>
              </w:rPr>
              <w:t>锋单</w:t>
            </w:r>
            <w:r>
              <w:rPr>
                <w:rFonts w:ascii="Times New Roman" w:hAnsi="Times New Roman" w:eastAsia="宋体"/>
                <w:color w:val="000000" w:themeColor="text1"/>
                <w:spacing w:val="0"/>
                <w:sz w:val="24"/>
                <w:highlight w:val="none"/>
                <w14:textFill>
                  <w14:solidFill>
                    <w14:schemeClr w14:val="tx1"/>
                  </w14:solidFill>
                </w14:textFill>
              </w:rPr>
              <w:t>回路（</w:t>
            </w:r>
            <w:r>
              <w:rPr>
                <w:rFonts w:hint="eastAsia" w:ascii="Times New Roman" w:hAnsi="Times New Roman" w:eastAsia="宋体"/>
                <w:color w:val="000000" w:themeColor="text1"/>
                <w:spacing w:val="0"/>
                <w:sz w:val="24"/>
                <w:highlight w:val="none"/>
                <w14:textFill>
                  <w14:solidFill>
                    <w14:schemeClr w14:val="tx1"/>
                  </w14:solidFill>
                </w14:textFill>
              </w:rPr>
              <w:t>29</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30</w:t>
            </w:r>
            <w:r>
              <w:rPr>
                <w:rFonts w:ascii="Times New Roman" w:hAnsi="Times New Roman" w:eastAsia="宋体"/>
                <w:color w:val="000000" w:themeColor="text1"/>
                <w:spacing w:val="0"/>
                <w:sz w:val="24"/>
                <w:highlight w:val="none"/>
                <w14:textFill>
                  <w14:solidFill>
                    <w14:schemeClr w14:val="tx1"/>
                  </w14:solidFill>
                </w14:textFill>
              </w:rPr>
              <w:t>#杆塔间））线路的监测数据，具体详见附件</w:t>
            </w:r>
            <w:r>
              <w:rPr>
                <w:rFonts w:hint="eastAsia"/>
                <w:color w:val="000000" w:themeColor="text1"/>
                <w:spacing w:val="0"/>
                <w:sz w:val="24"/>
                <w:highlight w:val="none"/>
                <w:lang w:val="en-US" w:eastAsia="zh-CN"/>
                <w14:textFill>
                  <w14:solidFill>
                    <w14:schemeClr w14:val="tx1"/>
                  </w14:solidFill>
                </w14:textFill>
              </w:rPr>
              <w:t>4</w:t>
            </w:r>
            <w:r>
              <w:rPr>
                <w:rFonts w:ascii="Times New Roman" w:hAnsi="Times New Roman" w:eastAsia="宋体"/>
                <w:color w:val="000000" w:themeColor="text1"/>
                <w:spacing w:val="0"/>
                <w:sz w:val="24"/>
                <w:highlight w:val="none"/>
                <w14:textFill>
                  <w14:solidFill>
                    <w14:schemeClr w14:val="tx1"/>
                  </w14:solidFill>
                </w14:textFill>
              </w:rPr>
              <w:t>。</w:t>
            </w:r>
          </w:p>
          <w:p w14:paraId="53C49E7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线路产生的噪声主要与线路电压等级、导线架设方式、导线排列方式等因素有关，根据表4-</w:t>
            </w:r>
            <w:r>
              <w:rPr>
                <w:rFonts w:hint="eastAsia" w:ascii="Times New Roman" w:hAnsi="Times New Roman" w:eastAsia="宋体"/>
                <w:color w:val="000000" w:themeColor="text1"/>
                <w:spacing w:val="0"/>
                <w:sz w:val="24"/>
                <w:highlight w:val="none"/>
                <w14:textFill>
                  <w14:solidFill>
                    <w14:schemeClr w14:val="tx1"/>
                  </w14:solidFill>
                </w14:textFill>
              </w:rPr>
              <w:t>1</w:t>
            </w:r>
            <w:r>
              <w:rPr>
                <w:rFonts w:hint="eastAsia"/>
                <w:color w:val="000000" w:themeColor="text1"/>
                <w:spacing w:val="0"/>
                <w:sz w:val="24"/>
                <w:highlight w:val="none"/>
                <w:lang w:val="en-US" w:eastAsia="zh-CN"/>
                <w14:textFill>
                  <w14:solidFill>
                    <w14:schemeClr w14:val="tx1"/>
                  </w14:solidFill>
                </w14:textFill>
              </w:rPr>
              <w:t>1</w:t>
            </w:r>
            <w:r>
              <w:rPr>
                <w:rFonts w:ascii="Times New Roman" w:hAnsi="Times New Roman" w:eastAsia="宋体"/>
                <w:color w:val="000000" w:themeColor="text1"/>
                <w:spacing w:val="0"/>
                <w:sz w:val="24"/>
                <w:highlight w:val="none"/>
                <w14:textFill>
                  <w14:solidFill>
                    <w14:schemeClr w14:val="tx1"/>
                  </w14:solidFill>
                </w14:textFill>
              </w:rPr>
              <w:t>。</w:t>
            </w:r>
          </w:p>
          <w:p w14:paraId="3900F28F">
            <w:pPr>
              <w:adjustRightInd w:val="0"/>
              <w:snapToGrid w:val="0"/>
              <w:spacing w:line="360" w:lineRule="auto"/>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ascii="Times New Roman" w:hAnsi="Times New Roman" w:eastAsia="宋体"/>
                <w:b/>
                <w:bCs/>
                <w:color w:val="000000" w:themeColor="text1"/>
                <w:spacing w:val="0"/>
                <w:sz w:val="24"/>
                <w:highlight w:val="none"/>
                <w14:textFill>
                  <w14:solidFill>
                    <w14:schemeClr w14:val="tx1"/>
                  </w14:solidFill>
                </w14:textFill>
              </w:rPr>
              <w:t>1</w:t>
            </w:r>
            <w:r>
              <w:rPr>
                <w:rFonts w:hint="eastAsia"/>
                <w:b/>
                <w:bCs/>
                <w:color w:val="000000" w:themeColor="text1"/>
                <w:spacing w:val="0"/>
                <w:sz w:val="24"/>
                <w:highlight w:val="none"/>
                <w:lang w:val="en-US" w:eastAsia="zh-CN"/>
                <w14:textFill>
                  <w14:solidFill>
                    <w14:schemeClr w14:val="tx1"/>
                  </w14:solidFill>
                </w14:textFill>
              </w:rPr>
              <w:t>1</w:t>
            </w:r>
            <w:r>
              <w:rPr>
                <w:rFonts w:ascii="Times New Roman" w:hAnsi="Times New Roman" w:eastAsia="宋体"/>
                <w:b/>
                <w:bCs/>
                <w:color w:val="000000" w:themeColor="text1"/>
                <w:spacing w:val="0"/>
                <w:sz w:val="24"/>
                <w:highlight w:val="none"/>
                <w14:textFill>
                  <w14:solidFill>
                    <w14:schemeClr w14:val="tx1"/>
                  </w14:solidFill>
                </w14:textFill>
              </w:rPr>
              <w:t xml:space="preserve">  110kV</w:t>
            </w:r>
            <w:r>
              <w:rPr>
                <w:rFonts w:hint="eastAsia" w:ascii="Times New Roman" w:hAnsi="Times New Roman" w:eastAsia="宋体"/>
                <w:b/>
                <w:bCs/>
                <w:color w:val="000000" w:themeColor="text1"/>
                <w:spacing w:val="0"/>
                <w:sz w:val="24"/>
                <w:highlight w:val="none"/>
                <w14:textFill>
                  <w14:solidFill>
                    <w14:schemeClr w14:val="tx1"/>
                  </w14:solidFill>
                </w14:textFill>
              </w:rPr>
              <w:t>单</w:t>
            </w:r>
            <w:r>
              <w:rPr>
                <w:rFonts w:ascii="Times New Roman" w:hAnsi="Times New Roman" w:eastAsia="宋体"/>
                <w:b/>
                <w:bCs/>
                <w:color w:val="000000" w:themeColor="text1"/>
                <w:spacing w:val="0"/>
                <w:sz w:val="24"/>
                <w:highlight w:val="none"/>
                <w14:textFill>
                  <w14:solidFill>
                    <w14:schemeClr w14:val="tx1"/>
                  </w14:solidFill>
                </w14:textFill>
              </w:rPr>
              <w:t>回路线路类比情况一览表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3268"/>
              <w:gridCol w:w="2971"/>
            </w:tblGrid>
            <w:tr w14:paraId="16597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746626EC">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项目</w:t>
                  </w:r>
                </w:p>
              </w:tc>
              <w:tc>
                <w:tcPr>
                  <w:tcW w:w="3268" w:type="dxa"/>
                  <w:vAlign w:val="center"/>
                </w:tcPr>
                <w:p w14:paraId="0DF016CF">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本项目110千伏线路</w:t>
                  </w: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单</w:t>
                  </w:r>
                  <w:r>
                    <w:rPr>
                      <w:rFonts w:ascii="Times New Roman" w:hAnsi="Times New Roman" w:eastAsia="宋体" w:cs="Times New Roman"/>
                      <w:color w:val="000000" w:themeColor="text1"/>
                      <w:spacing w:val="0"/>
                      <w:sz w:val="21"/>
                      <w:szCs w:val="21"/>
                      <w:highlight w:val="none"/>
                      <w14:textFill>
                        <w14:solidFill>
                          <w14:schemeClr w14:val="tx1"/>
                        </w14:solidFill>
                      </w14:textFill>
                    </w:rPr>
                    <w:t>回路段</w:t>
                  </w:r>
                </w:p>
              </w:tc>
              <w:tc>
                <w:tcPr>
                  <w:tcW w:w="2971" w:type="dxa"/>
                  <w:vAlign w:val="center"/>
                </w:tcPr>
                <w:p w14:paraId="4EA7CC67">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110千伏汉</w:t>
                  </w: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锋单</w:t>
                  </w:r>
                  <w:r>
                    <w:rPr>
                      <w:rFonts w:ascii="Times New Roman" w:hAnsi="Times New Roman" w:eastAsia="宋体" w:cs="Times New Roman"/>
                      <w:color w:val="000000" w:themeColor="text1"/>
                      <w:spacing w:val="0"/>
                      <w:sz w:val="21"/>
                      <w:szCs w:val="21"/>
                      <w:highlight w:val="none"/>
                      <w14:textFill>
                        <w14:solidFill>
                          <w14:schemeClr w14:val="tx1"/>
                        </w14:solidFill>
                      </w14:textFill>
                    </w:rPr>
                    <w:t>回路（</w:t>
                  </w: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29</w:t>
                  </w:r>
                  <w:r>
                    <w:rPr>
                      <w:rFonts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30</w:t>
                  </w:r>
                  <w:r>
                    <w:rPr>
                      <w:rFonts w:ascii="Times New Roman" w:hAnsi="Times New Roman" w:eastAsia="宋体" w:cs="Times New Roman"/>
                      <w:color w:val="000000" w:themeColor="text1"/>
                      <w:spacing w:val="0"/>
                      <w:sz w:val="21"/>
                      <w:szCs w:val="21"/>
                      <w:highlight w:val="none"/>
                      <w14:textFill>
                        <w14:solidFill>
                          <w14:schemeClr w14:val="tx1"/>
                        </w14:solidFill>
                      </w14:textFill>
                    </w:rPr>
                    <w:t>#杆塔间）（类比线路）</w:t>
                  </w:r>
                </w:p>
              </w:tc>
            </w:tr>
            <w:tr w14:paraId="7334F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0137A801">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所在位置</w:t>
                  </w:r>
                </w:p>
              </w:tc>
              <w:tc>
                <w:tcPr>
                  <w:tcW w:w="3268" w:type="dxa"/>
                  <w:vAlign w:val="center"/>
                </w:tcPr>
                <w:p w14:paraId="4F34CFC8">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宁夏回族自治区</w:t>
                  </w:r>
                  <w:r>
                    <w:rPr>
                      <w:rFonts w:hint="eastAsia" w:eastAsia="宋体" w:cs="Times New Roman"/>
                      <w:color w:val="000000" w:themeColor="text1"/>
                      <w:spacing w:val="0"/>
                      <w:sz w:val="21"/>
                      <w:szCs w:val="21"/>
                      <w:highlight w:val="none"/>
                      <w:lang w:val="en-US" w:eastAsia="zh-CN"/>
                      <w14:textFill>
                        <w14:solidFill>
                          <w14:schemeClr w14:val="tx1"/>
                        </w14:solidFill>
                      </w14:textFill>
                    </w:rPr>
                    <w:t>固原</w:t>
                  </w:r>
                  <w:r>
                    <w:rPr>
                      <w:rFonts w:ascii="Times New Roman" w:hAnsi="Times New Roman" w:eastAsia="宋体" w:cs="Times New Roman"/>
                      <w:color w:val="000000" w:themeColor="text1"/>
                      <w:spacing w:val="0"/>
                      <w:sz w:val="21"/>
                      <w:szCs w:val="21"/>
                      <w:highlight w:val="none"/>
                      <w14:textFill>
                        <w14:solidFill>
                          <w14:schemeClr w14:val="tx1"/>
                        </w14:solidFill>
                      </w14:textFill>
                    </w:rPr>
                    <w:t>市</w:t>
                  </w:r>
                </w:p>
              </w:tc>
              <w:tc>
                <w:tcPr>
                  <w:tcW w:w="2971" w:type="dxa"/>
                  <w:vAlign w:val="center"/>
                </w:tcPr>
                <w:p w14:paraId="381405F2">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宁夏回族自治区灵武市</w:t>
                  </w:r>
                </w:p>
              </w:tc>
            </w:tr>
            <w:tr w14:paraId="1FC69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3" w:type="dxa"/>
                  <w:vAlign w:val="center"/>
                </w:tcPr>
                <w:p w14:paraId="51BAE825">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电压等级</w:t>
                  </w:r>
                </w:p>
              </w:tc>
              <w:tc>
                <w:tcPr>
                  <w:tcW w:w="3268" w:type="dxa"/>
                  <w:vAlign w:val="center"/>
                </w:tcPr>
                <w:p w14:paraId="0A68B992">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110kV</w:t>
                  </w:r>
                </w:p>
              </w:tc>
              <w:tc>
                <w:tcPr>
                  <w:tcW w:w="2971" w:type="dxa"/>
                  <w:vAlign w:val="center"/>
                </w:tcPr>
                <w:p w14:paraId="6EA3DF9E">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110kV</w:t>
                  </w:r>
                </w:p>
              </w:tc>
            </w:tr>
            <w:tr w14:paraId="7FD5D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20D43F56">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导线架设方式</w:t>
                  </w:r>
                </w:p>
              </w:tc>
              <w:tc>
                <w:tcPr>
                  <w:tcW w:w="3268" w:type="dxa"/>
                  <w:vAlign w:val="center"/>
                </w:tcPr>
                <w:p w14:paraId="098E96DE">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单</w:t>
                  </w:r>
                  <w:r>
                    <w:rPr>
                      <w:rFonts w:ascii="Times New Roman" w:hAnsi="Times New Roman" w:eastAsia="宋体" w:cs="Times New Roman"/>
                      <w:color w:val="000000" w:themeColor="text1"/>
                      <w:spacing w:val="0"/>
                      <w:sz w:val="21"/>
                      <w:szCs w:val="21"/>
                      <w:highlight w:val="none"/>
                      <w14:textFill>
                        <w14:solidFill>
                          <w14:schemeClr w14:val="tx1"/>
                        </w14:solidFill>
                      </w14:textFill>
                    </w:rPr>
                    <w:t>回路</w:t>
                  </w:r>
                </w:p>
              </w:tc>
              <w:tc>
                <w:tcPr>
                  <w:tcW w:w="2971" w:type="dxa"/>
                  <w:vAlign w:val="center"/>
                </w:tcPr>
                <w:p w14:paraId="3E3E8735">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单回路</w:t>
                  </w:r>
                </w:p>
              </w:tc>
            </w:tr>
            <w:tr w14:paraId="2F08D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4AAB3B12">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导线型号</w:t>
                  </w:r>
                </w:p>
              </w:tc>
              <w:tc>
                <w:tcPr>
                  <w:tcW w:w="3268" w:type="dxa"/>
                  <w:vAlign w:val="center"/>
                </w:tcPr>
                <w:p w14:paraId="2605F888">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JL3/G1A-300/25</w:t>
                  </w:r>
                </w:p>
              </w:tc>
              <w:tc>
                <w:tcPr>
                  <w:tcW w:w="2971" w:type="dxa"/>
                  <w:vAlign w:val="center"/>
                </w:tcPr>
                <w:p w14:paraId="4E1C4ED3">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JL/G1A-</w:t>
                  </w: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4</w:t>
                  </w:r>
                  <w:r>
                    <w:rPr>
                      <w:rFonts w:ascii="Times New Roman" w:hAnsi="Times New Roman" w:eastAsia="宋体" w:cs="Times New Roman"/>
                      <w:color w:val="000000" w:themeColor="text1"/>
                      <w:spacing w:val="0"/>
                      <w:sz w:val="21"/>
                      <w:szCs w:val="21"/>
                      <w:highlight w:val="none"/>
                      <w14:textFill>
                        <w14:solidFill>
                          <w14:schemeClr w14:val="tx1"/>
                        </w14:solidFill>
                      </w14:textFill>
                    </w:rPr>
                    <w:t>00/25</w:t>
                  </w:r>
                </w:p>
              </w:tc>
            </w:tr>
            <w:tr w14:paraId="355CE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47EA7ACA">
                  <w:pPr>
                    <w:pStyle w:val="45"/>
                    <w:spacing w:line="240" w:lineRule="atLeast"/>
                    <w:ind w:firstLine="0" w:firstLineChars="0"/>
                    <w:jc w:val="center"/>
                    <w:textAlignment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分裂数</w:t>
                  </w:r>
                </w:p>
              </w:tc>
              <w:tc>
                <w:tcPr>
                  <w:tcW w:w="3268" w:type="dxa"/>
                  <w:vAlign w:val="center"/>
                </w:tcPr>
                <w:p w14:paraId="070CD30E">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1分裂</w:t>
                  </w:r>
                </w:p>
              </w:tc>
              <w:tc>
                <w:tcPr>
                  <w:tcW w:w="2971" w:type="dxa"/>
                  <w:vAlign w:val="center"/>
                </w:tcPr>
                <w:p w14:paraId="31F35E02">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1分裂</w:t>
                  </w:r>
                </w:p>
              </w:tc>
            </w:tr>
            <w:tr w14:paraId="5EF7E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004E04CB">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导线排列方式</w:t>
                  </w:r>
                </w:p>
              </w:tc>
              <w:tc>
                <w:tcPr>
                  <w:tcW w:w="3268" w:type="dxa"/>
                  <w:vAlign w:val="center"/>
                </w:tcPr>
                <w:p w14:paraId="4C1A97DE">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三角</w:t>
                  </w:r>
                  <w:r>
                    <w:rPr>
                      <w:rFonts w:ascii="Times New Roman" w:hAnsi="Times New Roman" w:eastAsia="宋体" w:cs="Times New Roman"/>
                      <w:color w:val="000000" w:themeColor="text1"/>
                      <w:spacing w:val="0"/>
                      <w:sz w:val="21"/>
                      <w:szCs w:val="21"/>
                      <w:highlight w:val="none"/>
                      <w14:textFill>
                        <w14:solidFill>
                          <w14:schemeClr w14:val="tx1"/>
                        </w14:solidFill>
                      </w14:textFill>
                    </w:rPr>
                    <w:t>排列</w:t>
                  </w:r>
                </w:p>
              </w:tc>
              <w:tc>
                <w:tcPr>
                  <w:tcW w:w="2971" w:type="dxa"/>
                  <w:vAlign w:val="center"/>
                </w:tcPr>
                <w:p w14:paraId="3340FB5D">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三角</w:t>
                  </w:r>
                  <w:r>
                    <w:rPr>
                      <w:rFonts w:ascii="Times New Roman" w:hAnsi="Times New Roman" w:eastAsia="宋体" w:cs="Times New Roman"/>
                      <w:color w:val="000000" w:themeColor="text1"/>
                      <w:spacing w:val="0"/>
                      <w:sz w:val="21"/>
                      <w:szCs w:val="21"/>
                      <w:highlight w:val="none"/>
                      <w14:textFill>
                        <w14:solidFill>
                          <w14:schemeClr w14:val="tx1"/>
                        </w14:solidFill>
                      </w14:textFill>
                    </w:rPr>
                    <w:t>排列</w:t>
                  </w:r>
                </w:p>
              </w:tc>
            </w:tr>
            <w:tr w14:paraId="624EC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6854F774">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导线对地高度</w:t>
                  </w:r>
                </w:p>
              </w:tc>
              <w:tc>
                <w:tcPr>
                  <w:tcW w:w="3268" w:type="dxa"/>
                  <w:vAlign w:val="center"/>
                </w:tcPr>
                <w:p w14:paraId="1EA6031F">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实际</w:t>
                  </w:r>
                  <w:r>
                    <w:rPr>
                      <w:rFonts w:ascii="Times New Roman" w:hAnsi="Times New Roman" w:eastAsia="宋体" w:cs="Times New Roman"/>
                      <w:color w:val="000000" w:themeColor="text1"/>
                      <w:spacing w:val="0"/>
                      <w:sz w:val="21"/>
                      <w:szCs w:val="21"/>
                      <w:highlight w:val="none"/>
                      <w14:textFill>
                        <w14:solidFill>
                          <w14:schemeClr w14:val="tx1"/>
                        </w14:solidFill>
                      </w14:textFill>
                    </w:rPr>
                    <w:t>导线对地高度</w:t>
                  </w:r>
                  <w:r>
                    <w:rPr>
                      <w:rFonts w:hint="eastAsia" w:eastAsia="宋体" w:cs="Times New Roman"/>
                      <w:color w:val="000000" w:themeColor="text1"/>
                      <w:spacing w:val="0"/>
                      <w:sz w:val="21"/>
                      <w:szCs w:val="21"/>
                      <w:highlight w:val="none"/>
                      <w:lang w:val="en-US" w:eastAsia="zh-CN"/>
                      <w14:textFill>
                        <w14:solidFill>
                          <w14:schemeClr w14:val="tx1"/>
                        </w14:solidFill>
                      </w14:textFill>
                    </w:rPr>
                    <w:t>不低于10</w:t>
                  </w: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m</w:t>
                  </w:r>
                </w:p>
              </w:tc>
              <w:tc>
                <w:tcPr>
                  <w:tcW w:w="2971" w:type="dxa"/>
                  <w:vAlign w:val="center"/>
                </w:tcPr>
                <w:p w14:paraId="61D277E7">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1</w:t>
                  </w:r>
                  <w:r>
                    <w:rPr>
                      <w:rFonts w:hint="eastAsia" w:ascii="Times New Roman" w:hAnsi="Times New Roman" w:eastAsia="宋体" w:cs="Times New Roman"/>
                      <w:color w:val="000000" w:themeColor="text1"/>
                      <w:spacing w:val="0"/>
                      <w:sz w:val="21"/>
                      <w:szCs w:val="21"/>
                      <w:highlight w:val="none"/>
                      <w14:textFill>
                        <w14:solidFill>
                          <w14:schemeClr w14:val="tx1"/>
                        </w14:solidFill>
                      </w14:textFill>
                    </w:rPr>
                    <w:t>2</w:t>
                  </w:r>
                  <w:r>
                    <w:rPr>
                      <w:rFonts w:ascii="Times New Roman" w:hAnsi="Times New Roman" w:eastAsia="宋体" w:cs="Times New Roman"/>
                      <w:color w:val="000000" w:themeColor="text1"/>
                      <w:spacing w:val="0"/>
                      <w:sz w:val="21"/>
                      <w:szCs w:val="21"/>
                      <w:highlight w:val="none"/>
                      <w14:textFill>
                        <w14:solidFill>
                          <w14:schemeClr w14:val="tx1"/>
                        </w14:solidFill>
                      </w14:textFill>
                    </w:rPr>
                    <w:t>m</w:t>
                  </w:r>
                </w:p>
              </w:tc>
            </w:tr>
            <w:tr w14:paraId="08B24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13" w:type="dxa"/>
                  <w:vAlign w:val="center"/>
                </w:tcPr>
                <w:p w14:paraId="038AE75B">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环境条件</w:t>
                  </w:r>
                </w:p>
              </w:tc>
              <w:tc>
                <w:tcPr>
                  <w:tcW w:w="6239" w:type="dxa"/>
                  <w:gridSpan w:val="2"/>
                  <w:vAlign w:val="center"/>
                </w:tcPr>
                <w:p w14:paraId="02DA3866">
                  <w:pPr>
                    <w:pStyle w:val="45"/>
                    <w:spacing w:line="240" w:lineRule="atLeast"/>
                    <w:ind w:firstLine="0" w:firstLineChars="0"/>
                    <w:jc w:val="center"/>
                    <w:textAlignment w:val="center"/>
                    <w:outlineLvl w:val="9"/>
                    <w:rPr>
                      <w:rFonts w:ascii="Times New Roman" w:hAnsi="Times New Roman" w:eastAsia="宋体" w:cs="Times New Roman"/>
                      <w:color w:val="000000" w:themeColor="text1"/>
                      <w:spacing w:val="0"/>
                      <w:sz w:val="21"/>
                      <w:szCs w:val="21"/>
                      <w:highlight w:val="none"/>
                      <w14:textFill>
                        <w14:solidFill>
                          <w14:schemeClr w14:val="tx1"/>
                        </w14:solidFill>
                      </w14:textFill>
                    </w:rPr>
                  </w:pPr>
                  <w:r>
                    <w:rPr>
                      <w:rFonts w:ascii="Times New Roman" w:hAnsi="Times New Roman" w:eastAsia="宋体" w:cs="Times New Roman"/>
                      <w:color w:val="000000" w:themeColor="text1"/>
                      <w:spacing w:val="0"/>
                      <w:sz w:val="21"/>
                      <w:szCs w:val="21"/>
                      <w:highlight w:val="none"/>
                      <w14:textFill>
                        <w14:solidFill>
                          <w14:schemeClr w14:val="tx1"/>
                        </w14:solidFill>
                      </w14:textFill>
                    </w:rPr>
                    <w:t>均位于宁夏境内，</w:t>
                  </w:r>
                  <w:r>
                    <w:rPr>
                      <w:rFonts w:hint="eastAsia" w:eastAsia="宋体" w:cs="Times New Roman"/>
                      <w:color w:val="000000" w:themeColor="text1"/>
                      <w:spacing w:val="0"/>
                      <w:sz w:val="21"/>
                      <w:szCs w:val="21"/>
                      <w:highlight w:val="none"/>
                      <w:lang w:val="en-US" w:eastAsia="zh-CN"/>
                      <w14:textFill>
                        <w14:solidFill>
                          <w14:schemeClr w14:val="tx1"/>
                        </w14:solidFill>
                      </w14:textFill>
                    </w:rPr>
                    <w:t>地势开阔，</w:t>
                  </w:r>
                  <w:r>
                    <w:rPr>
                      <w:rFonts w:ascii="Times New Roman" w:hAnsi="Times New Roman" w:eastAsia="宋体" w:cs="Times New Roman"/>
                      <w:color w:val="000000" w:themeColor="text1"/>
                      <w:spacing w:val="0"/>
                      <w:sz w:val="21"/>
                      <w:szCs w:val="21"/>
                      <w:highlight w:val="none"/>
                      <w14:textFill>
                        <w14:solidFill>
                          <w14:schemeClr w14:val="tx1"/>
                        </w14:solidFill>
                      </w14:textFill>
                    </w:rPr>
                    <w:t>环境条件相似</w:t>
                  </w:r>
                </w:p>
              </w:tc>
            </w:tr>
          </w:tbl>
          <w:p w14:paraId="3A3CAFC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表4-</w:t>
            </w:r>
            <w:r>
              <w:rPr>
                <w:rFonts w:hint="eastAsia" w:ascii="Times New Roman" w:hAnsi="Times New Roman" w:eastAsia="宋体"/>
                <w:color w:val="000000" w:themeColor="text1"/>
                <w:spacing w:val="0"/>
                <w:sz w:val="24"/>
                <w:highlight w:val="none"/>
                <w14:textFill>
                  <w14:solidFill>
                    <w14:schemeClr w14:val="tx1"/>
                  </w14:solidFill>
                </w14:textFill>
              </w:rPr>
              <w:t>11</w:t>
            </w:r>
            <w:r>
              <w:rPr>
                <w:rFonts w:ascii="Times New Roman" w:hAnsi="Times New Roman" w:eastAsia="宋体"/>
                <w:color w:val="000000" w:themeColor="text1"/>
                <w:spacing w:val="0"/>
                <w:sz w:val="24"/>
                <w:highlight w:val="none"/>
                <w14:textFill>
                  <w14:solidFill>
                    <w14:schemeClr w14:val="tx1"/>
                  </w14:solidFill>
                </w14:textFill>
              </w:rPr>
              <w:t>看出，类比线路110千伏汉</w:t>
            </w:r>
            <w:r>
              <w:rPr>
                <w:rFonts w:hint="eastAsia" w:ascii="Times New Roman" w:hAnsi="Times New Roman" w:eastAsia="宋体"/>
                <w:color w:val="000000" w:themeColor="text1"/>
                <w:spacing w:val="0"/>
                <w:sz w:val="24"/>
                <w:highlight w:val="none"/>
                <w14:textFill>
                  <w14:solidFill>
                    <w14:schemeClr w14:val="tx1"/>
                  </w14:solidFill>
                </w14:textFill>
              </w:rPr>
              <w:t>锋单</w:t>
            </w:r>
            <w:r>
              <w:rPr>
                <w:rFonts w:ascii="Times New Roman" w:hAnsi="Times New Roman" w:eastAsia="宋体"/>
                <w:color w:val="000000" w:themeColor="text1"/>
                <w:spacing w:val="0"/>
                <w:sz w:val="24"/>
                <w:highlight w:val="none"/>
                <w14:textFill>
                  <w14:solidFill>
                    <w14:schemeClr w14:val="tx1"/>
                  </w14:solidFill>
                </w14:textFill>
              </w:rPr>
              <w:t>回路线路（</w:t>
            </w:r>
            <w:r>
              <w:rPr>
                <w:rFonts w:hint="eastAsia" w:ascii="Times New Roman" w:hAnsi="Times New Roman" w:eastAsia="宋体"/>
                <w:color w:val="000000" w:themeColor="text1"/>
                <w:spacing w:val="0"/>
                <w:sz w:val="24"/>
                <w:highlight w:val="none"/>
                <w14:textFill>
                  <w14:solidFill>
                    <w14:schemeClr w14:val="tx1"/>
                  </w14:solidFill>
                </w14:textFill>
              </w:rPr>
              <w:t>29</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30</w:t>
            </w:r>
            <w:r>
              <w:rPr>
                <w:rFonts w:ascii="Times New Roman" w:hAnsi="Times New Roman" w:eastAsia="宋体"/>
                <w:color w:val="000000" w:themeColor="text1"/>
                <w:spacing w:val="0"/>
                <w:sz w:val="24"/>
                <w:highlight w:val="none"/>
                <w14:textFill>
                  <w14:solidFill>
                    <w14:schemeClr w14:val="tx1"/>
                  </w14:solidFill>
                </w14:textFill>
              </w:rPr>
              <w:t>#）与本项目</w:t>
            </w:r>
            <w:r>
              <w:rPr>
                <w:rFonts w:hint="eastAsia" w:ascii="Times New Roman" w:hAnsi="Times New Roman" w:eastAsia="宋体"/>
                <w:color w:val="000000" w:themeColor="text1"/>
                <w:spacing w:val="0"/>
                <w:sz w:val="24"/>
                <w:highlight w:val="none"/>
                <w14:textFill>
                  <w14:solidFill>
                    <w14:schemeClr w14:val="tx1"/>
                  </w14:solidFill>
                </w14:textFill>
              </w:rPr>
              <w:t>单</w:t>
            </w:r>
            <w:r>
              <w:rPr>
                <w:rFonts w:ascii="Times New Roman" w:hAnsi="Times New Roman" w:eastAsia="宋体"/>
                <w:color w:val="000000" w:themeColor="text1"/>
                <w:spacing w:val="0"/>
                <w:sz w:val="24"/>
                <w:highlight w:val="none"/>
                <w14:textFill>
                  <w14:solidFill>
                    <w14:schemeClr w14:val="tx1"/>
                  </w14:solidFill>
                </w14:textFill>
              </w:rPr>
              <w:t>回路段架空线路电压等级均为110kV，导线架设方式均为</w:t>
            </w:r>
            <w:r>
              <w:rPr>
                <w:rFonts w:hint="eastAsia" w:ascii="Times New Roman" w:hAnsi="Times New Roman" w:eastAsia="宋体"/>
                <w:color w:val="000000" w:themeColor="text1"/>
                <w:spacing w:val="0"/>
                <w:sz w:val="24"/>
                <w:highlight w:val="none"/>
                <w14:textFill>
                  <w14:solidFill>
                    <w14:schemeClr w14:val="tx1"/>
                  </w14:solidFill>
                </w14:textFill>
              </w:rPr>
              <w:t>单</w:t>
            </w:r>
            <w:r>
              <w:rPr>
                <w:rFonts w:ascii="Times New Roman" w:hAnsi="Times New Roman" w:eastAsia="宋体"/>
                <w:color w:val="000000" w:themeColor="text1"/>
                <w:spacing w:val="0"/>
                <w:sz w:val="24"/>
                <w:highlight w:val="none"/>
                <w14:textFill>
                  <w14:solidFill>
                    <w14:schemeClr w14:val="tx1"/>
                  </w14:solidFill>
                </w14:textFill>
              </w:rPr>
              <w:t>回路架设，导线排列方式均为</w:t>
            </w:r>
            <w:r>
              <w:rPr>
                <w:rFonts w:hint="eastAsia" w:ascii="Times New Roman" w:hAnsi="Times New Roman" w:eastAsia="宋体"/>
                <w:color w:val="000000" w:themeColor="text1"/>
                <w:spacing w:val="0"/>
                <w:sz w:val="24"/>
                <w:highlight w:val="none"/>
                <w14:textFill>
                  <w14:solidFill>
                    <w14:schemeClr w14:val="tx1"/>
                  </w14:solidFill>
                </w14:textFill>
              </w:rPr>
              <w:t>三角</w:t>
            </w:r>
            <w:r>
              <w:rPr>
                <w:rFonts w:ascii="Times New Roman" w:hAnsi="Times New Roman" w:eastAsia="宋体"/>
                <w:color w:val="000000" w:themeColor="text1"/>
                <w:spacing w:val="0"/>
                <w:sz w:val="24"/>
                <w:highlight w:val="none"/>
                <w14:textFill>
                  <w14:solidFill>
                    <w14:schemeClr w14:val="tx1"/>
                  </w14:solidFill>
                </w14:textFill>
              </w:rPr>
              <w:t>排列，</w:t>
            </w:r>
            <w:r>
              <w:rPr>
                <w:rFonts w:hint="eastAsia" w:ascii="Times New Roman" w:hAnsi="Times New Roman" w:eastAsia="宋体"/>
                <w:color w:val="000000" w:themeColor="text1"/>
                <w:spacing w:val="0"/>
                <w:sz w:val="24"/>
                <w:highlight w:val="none"/>
                <w14:textFill>
                  <w14:solidFill>
                    <w14:schemeClr w14:val="tx1"/>
                  </w14:solidFill>
                </w14:textFill>
              </w:rPr>
              <w:t>导线型号相似，</w:t>
            </w:r>
            <w:r>
              <w:rPr>
                <w:rFonts w:ascii="Times New Roman" w:hAnsi="Times New Roman" w:eastAsia="宋体"/>
                <w:color w:val="000000" w:themeColor="text1"/>
                <w:spacing w:val="0"/>
                <w:sz w:val="24"/>
                <w:highlight w:val="none"/>
                <w14:textFill>
                  <w14:solidFill>
                    <w14:schemeClr w14:val="tx1"/>
                  </w14:solidFill>
                </w14:textFill>
              </w:rPr>
              <w:t>且环境均较为空旷，环境条件类似。因此，选用110千伏汉</w:t>
            </w:r>
            <w:r>
              <w:rPr>
                <w:rFonts w:hint="eastAsia" w:ascii="Times New Roman" w:hAnsi="Times New Roman" w:eastAsia="宋体"/>
                <w:color w:val="000000" w:themeColor="text1"/>
                <w:spacing w:val="0"/>
                <w:sz w:val="24"/>
                <w:highlight w:val="none"/>
                <w14:textFill>
                  <w14:solidFill>
                    <w14:schemeClr w14:val="tx1"/>
                  </w14:solidFill>
                </w14:textFill>
              </w:rPr>
              <w:t>锋单</w:t>
            </w:r>
            <w:r>
              <w:rPr>
                <w:rFonts w:ascii="Times New Roman" w:hAnsi="Times New Roman" w:eastAsia="宋体"/>
                <w:color w:val="000000" w:themeColor="text1"/>
                <w:spacing w:val="0"/>
                <w:sz w:val="24"/>
                <w:highlight w:val="none"/>
                <w14:textFill>
                  <w14:solidFill>
                    <w14:schemeClr w14:val="tx1"/>
                  </w14:solidFill>
                </w14:textFill>
              </w:rPr>
              <w:t>回路线路（</w:t>
            </w:r>
            <w:r>
              <w:rPr>
                <w:rFonts w:hint="eastAsia" w:ascii="Times New Roman" w:hAnsi="Times New Roman" w:eastAsia="宋体"/>
                <w:color w:val="000000" w:themeColor="text1"/>
                <w:spacing w:val="0"/>
                <w:sz w:val="24"/>
                <w:highlight w:val="none"/>
                <w14:textFill>
                  <w14:solidFill>
                    <w14:schemeClr w14:val="tx1"/>
                  </w14:solidFill>
                </w14:textFill>
              </w:rPr>
              <w:t>29</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30</w:t>
            </w:r>
            <w:r>
              <w:rPr>
                <w:rFonts w:ascii="Times New Roman" w:hAnsi="Times New Roman" w:eastAsia="宋体"/>
                <w:color w:val="000000" w:themeColor="text1"/>
                <w:spacing w:val="0"/>
                <w:sz w:val="24"/>
                <w:highlight w:val="none"/>
                <w14:textFill>
                  <w14:solidFill>
                    <w14:schemeClr w14:val="tx1"/>
                  </w14:solidFill>
                </w14:textFill>
              </w:rPr>
              <w:t>#）运行时的噪声监测值能够较好的反应本项目110kV线路双回路架空线路段运行后产生的噪声影响。</w:t>
            </w:r>
          </w:p>
          <w:p w14:paraId="4530698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②类比监测单位</w:t>
            </w:r>
          </w:p>
          <w:p w14:paraId="6D4D67D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宁夏盛世蓝天环保技术有限公司。</w:t>
            </w:r>
          </w:p>
          <w:p w14:paraId="4D94757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③类比监测项目</w:t>
            </w:r>
          </w:p>
          <w:p w14:paraId="536C685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噪声。</w:t>
            </w:r>
          </w:p>
          <w:p w14:paraId="00ECD92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④类比监测方法</w:t>
            </w:r>
          </w:p>
          <w:p w14:paraId="19549D4B">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按《工业企业厂界环境噪声排放标准》（GB12348-2008）进行监测。采用类比分析方法评价架空线路运行后产生的噪声对周围环境的影响。</w:t>
            </w:r>
          </w:p>
          <w:p w14:paraId="5E230915">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⑤类比监测仪器</w:t>
            </w:r>
          </w:p>
          <w:p w14:paraId="012050D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噪声监测仪器：AWA5688多功能声级计/AWA6221A 声校准器；</w:t>
            </w:r>
          </w:p>
          <w:p w14:paraId="4FCB3BE6">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量程范围：30dB~105dB/94.0dB；</w:t>
            </w:r>
          </w:p>
          <w:p w14:paraId="42C5CBE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生产厂家：杭州爱华仪器有限公司；</w:t>
            </w:r>
          </w:p>
          <w:p w14:paraId="392D6BE9">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出厂编号：10329747/1007026；</w:t>
            </w:r>
          </w:p>
          <w:p w14:paraId="1E91AC8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设备编号：LT-03/LT-03-1；</w:t>
            </w:r>
          </w:p>
          <w:p w14:paraId="55956E12">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⑥类比监测条件</w:t>
            </w:r>
          </w:p>
          <w:p w14:paraId="60AC820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类比监测时间：2023年10月11日。</w:t>
            </w:r>
          </w:p>
          <w:p w14:paraId="5504358E">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2023.10.11：昼间天气晴，</w:t>
            </w:r>
            <w:r>
              <w:rPr>
                <w:rFonts w:ascii="Times New Roman" w:hAnsi="Times New Roman" w:eastAsia="宋体"/>
                <w:color w:val="000000" w:themeColor="text1"/>
                <w:spacing w:val="0"/>
                <w:sz w:val="24"/>
                <w:highlight w:val="none"/>
                <w14:textFill>
                  <w14:solidFill>
                    <w14:schemeClr w14:val="tx1"/>
                  </w14:solidFill>
                </w14:textFill>
              </w:rPr>
              <w:t>温度21.5℃，湿度33.0%，0.6m/s，大气压857.3hPa</w:t>
            </w:r>
            <w:r>
              <w:rPr>
                <w:rFonts w:ascii="Times New Roman" w:hAnsi="Times New Roman" w:eastAsia="宋体"/>
                <w:color w:val="000000" w:themeColor="text1"/>
                <w:spacing w:val="0"/>
                <w:kern w:val="0"/>
                <w:sz w:val="24"/>
                <w:highlight w:val="none"/>
                <w14:textFill>
                  <w14:solidFill>
                    <w14:schemeClr w14:val="tx1"/>
                  </w14:solidFill>
                </w14:textFill>
              </w:rPr>
              <w:t>。夜间</w:t>
            </w:r>
            <w:r>
              <w:rPr>
                <w:rFonts w:ascii="Times New Roman" w:hAnsi="Times New Roman" w:eastAsia="宋体"/>
                <w:color w:val="000000" w:themeColor="text1"/>
                <w:spacing w:val="0"/>
                <w:sz w:val="24"/>
                <w:highlight w:val="none"/>
                <w14:textFill>
                  <w14:solidFill>
                    <w14:schemeClr w14:val="tx1"/>
                  </w14:solidFill>
                </w14:textFill>
              </w:rPr>
              <w:t>天气晴，温度12.4℃，湿度31.2%，静风，大气压855.0hPa</w:t>
            </w:r>
            <w:r>
              <w:rPr>
                <w:rFonts w:ascii="Times New Roman" w:hAnsi="Times New Roman" w:eastAsia="宋体"/>
                <w:color w:val="000000" w:themeColor="text1"/>
                <w:spacing w:val="0"/>
                <w:kern w:val="0"/>
                <w:sz w:val="24"/>
                <w:highlight w:val="none"/>
                <w14:textFill>
                  <w14:solidFill>
                    <w14:schemeClr w14:val="tx1"/>
                  </w14:solidFill>
                </w14:textFill>
              </w:rPr>
              <w:t>。</w:t>
            </w:r>
          </w:p>
          <w:p w14:paraId="1D877695">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⑦类比监测点位</w:t>
            </w:r>
          </w:p>
          <w:p w14:paraId="70DCFE7A">
            <w:pPr>
              <w:spacing w:line="360" w:lineRule="auto"/>
              <w:ind w:firstLine="465"/>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对类比线路以导线弧垂最大处线路中心的地面投影点为监测原点，沿垂直于线路方向进行，</w:t>
            </w:r>
            <w:r>
              <w:rPr>
                <w:rFonts w:ascii="Times New Roman" w:hAnsi="Times New Roman" w:eastAsia="宋体"/>
                <w:color w:val="000000" w:themeColor="text1"/>
                <w:spacing w:val="0"/>
                <w:sz w:val="24"/>
                <w:highlight w:val="none"/>
                <w14:textFill>
                  <w14:solidFill>
                    <w14:schemeClr w14:val="tx1"/>
                  </w14:solidFill>
                </w14:textFill>
              </w:rPr>
              <w:t>测点间距5m，依次监测至</w:t>
            </w:r>
            <w:r>
              <w:rPr>
                <w:rFonts w:hint="eastAsia" w:ascii="Times New Roman" w:hAnsi="Times New Roman" w:eastAsia="宋体"/>
                <w:color w:val="000000" w:themeColor="text1"/>
                <w:spacing w:val="0"/>
                <w:sz w:val="24"/>
                <w:highlight w:val="none"/>
                <w14:textFill>
                  <w14:solidFill>
                    <w14:schemeClr w14:val="tx1"/>
                  </w14:solidFill>
                </w14:textFill>
              </w:rPr>
              <w:t>边导线外30m处</w:t>
            </w:r>
            <w:r>
              <w:rPr>
                <w:rFonts w:ascii="Times New Roman" w:hAnsi="Times New Roman" w:eastAsia="宋体"/>
                <w:color w:val="000000" w:themeColor="text1"/>
                <w:spacing w:val="0"/>
                <w:sz w:val="24"/>
                <w:highlight w:val="none"/>
                <w14:textFill>
                  <w14:solidFill>
                    <w14:schemeClr w14:val="tx1"/>
                  </w14:solidFill>
                </w14:textFill>
              </w:rPr>
              <w:t>。</w:t>
            </w:r>
          </w:p>
          <w:p w14:paraId="691B920B">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110千伏汉</w:t>
            </w:r>
            <w:r>
              <w:rPr>
                <w:rFonts w:hint="eastAsia" w:ascii="Times New Roman" w:hAnsi="Times New Roman" w:eastAsia="宋体"/>
                <w:color w:val="000000" w:themeColor="text1"/>
                <w:spacing w:val="0"/>
                <w:sz w:val="24"/>
                <w:highlight w:val="none"/>
                <w14:textFill>
                  <w14:solidFill>
                    <w14:schemeClr w14:val="tx1"/>
                  </w14:solidFill>
                </w14:textFill>
              </w:rPr>
              <w:t>锋单</w:t>
            </w:r>
            <w:r>
              <w:rPr>
                <w:rFonts w:ascii="Times New Roman" w:hAnsi="Times New Roman" w:eastAsia="宋体"/>
                <w:color w:val="000000" w:themeColor="text1"/>
                <w:spacing w:val="0"/>
                <w:sz w:val="24"/>
                <w:highlight w:val="none"/>
                <w14:textFill>
                  <w14:solidFill>
                    <w14:schemeClr w14:val="tx1"/>
                  </w14:solidFill>
                </w14:textFill>
              </w:rPr>
              <w:t>回路线路（</w:t>
            </w:r>
            <w:r>
              <w:rPr>
                <w:rFonts w:hint="eastAsia" w:ascii="Times New Roman" w:hAnsi="Times New Roman" w:eastAsia="宋体"/>
                <w:color w:val="000000" w:themeColor="text1"/>
                <w:spacing w:val="0"/>
                <w:sz w:val="24"/>
                <w:highlight w:val="none"/>
                <w14:textFill>
                  <w14:solidFill>
                    <w14:schemeClr w14:val="tx1"/>
                  </w14:solidFill>
                </w14:textFill>
              </w:rPr>
              <w:t>29</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30</w:t>
            </w:r>
            <w:r>
              <w:rPr>
                <w:rFonts w:ascii="Times New Roman" w:hAnsi="Times New Roman" w:eastAsia="宋体"/>
                <w:color w:val="000000" w:themeColor="text1"/>
                <w:spacing w:val="0"/>
                <w:sz w:val="24"/>
                <w:highlight w:val="none"/>
                <w14:textFill>
                  <w14:solidFill>
                    <w14:schemeClr w14:val="tx1"/>
                  </w14:solidFill>
                </w14:textFill>
              </w:rPr>
              <w:t>#）监测断面见图4-</w:t>
            </w:r>
            <w:r>
              <w:rPr>
                <w:rFonts w:hint="eastAsia" w:ascii="Times New Roman" w:hAnsi="Times New Roman" w:eastAsia="宋体"/>
                <w:color w:val="000000" w:themeColor="text1"/>
                <w:spacing w:val="0"/>
                <w:sz w:val="24"/>
                <w:highlight w:val="none"/>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w:t>
            </w:r>
          </w:p>
          <w:p w14:paraId="61BE966C">
            <w:pPr>
              <w:spacing w:line="360" w:lineRule="auto"/>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4488180</wp:posOffset>
                  </wp:positionH>
                  <wp:positionV relativeFrom="paragraph">
                    <wp:posOffset>3175</wp:posOffset>
                  </wp:positionV>
                  <wp:extent cx="314960" cy="419735"/>
                  <wp:effectExtent l="0" t="0" r="8890" b="18415"/>
                  <wp:wrapNone/>
                  <wp:docPr id="154" name="图片 154" descr="76e428abee6b30d6cce82dadefa0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76e428abee6b30d6cce82dadefa05fc"/>
                          <pic:cNvPicPr>
                            <a:picLocks noChangeAspect="1"/>
                          </pic:cNvPicPr>
                        </pic:nvPicPr>
                        <pic:blipFill>
                          <a:blip r:embed="rId18"/>
                          <a:stretch>
                            <a:fillRect/>
                          </a:stretch>
                        </pic:blipFill>
                        <pic:spPr>
                          <a:xfrm>
                            <a:off x="0" y="0"/>
                            <a:ext cx="314960" cy="419735"/>
                          </a:xfrm>
                          <a:prstGeom prst="rect">
                            <a:avLst/>
                          </a:prstGeom>
                        </pic:spPr>
                      </pic:pic>
                    </a:graphicData>
                  </a:graphic>
                </wp:anchor>
              </w:drawing>
            </w:r>
            <w:r>
              <w:rPr>
                <w:rFonts w:ascii="Times New Roman" w:hAnsi="Times New Roman" w:eastAsia="宋体"/>
                <w:color w:val="000000" w:themeColor="text1"/>
                <w:spacing w:val="0"/>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2750185</wp:posOffset>
                      </wp:positionH>
                      <wp:positionV relativeFrom="paragraph">
                        <wp:posOffset>2291080</wp:posOffset>
                      </wp:positionV>
                      <wp:extent cx="340995" cy="28765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340995" cy="287655"/>
                              </a:xfrm>
                              <a:prstGeom prst="rect">
                                <a:avLst/>
                              </a:prstGeom>
                              <a:noFill/>
                              <a:ln>
                                <a:noFill/>
                              </a:ln>
                            </wps:spPr>
                            <wps:txbx>
                              <w:txbxContent>
                                <w:p w14:paraId="7C0B77BB">
                                  <w:pPr>
                                    <w:adjustRightInd w:val="0"/>
                                    <w:snapToGrid w:val="0"/>
                                    <w:rPr>
                                      <w:b/>
                                      <w:bCs/>
                                      <w:sz w:val="30"/>
                                      <w:szCs w:val="30"/>
                                    </w:rPr>
                                  </w:pPr>
                                  <w:r>
                                    <w:rPr>
                                      <w:rFonts w:hint="eastAsia" w:ascii="宋体" w:hAnsi="宋体" w:cs="宋体"/>
                                      <w:b/>
                                      <w:bCs/>
                                      <w:sz w:val="30"/>
                                      <w:szCs w:val="30"/>
                                    </w:rPr>
                                    <w:t>＊</w:t>
                                  </w:r>
                                </w:p>
                              </w:txbxContent>
                            </wps:txbx>
                            <wps:bodyPr upright="1"/>
                          </wps:wsp>
                        </a:graphicData>
                      </a:graphic>
                    </wp:anchor>
                  </w:drawing>
                </mc:Choice>
                <mc:Fallback>
                  <w:pict>
                    <v:shape id="_x0000_s1026" o:spid="_x0000_s1026" o:spt="202" type="#_x0000_t202" style="position:absolute;left:0pt;margin-left:216.55pt;margin-top:180.4pt;height:22.65pt;width:26.85pt;z-index:251671552;mso-width-relative:page;mso-height-relative:page;" filled="f" stroked="f" coordsize="21600,21600" o:gfxdata="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Z8N7/&#10;2AAAAAsBAAAPAAAAAAAAAAEAIAAAACIAAABkcnMvZG93bnJldi54bWxQSwECFAAUAAAACACHTuJA&#10;USi1+K8BAABRAwAADgAAAAAAAAABACAAAAAnAQAAZHJzL2Uyb0RvYy54bWxQSwUGAAAAAAYABgBZ&#10;AQAASAUAAAAA&#10;">
                      <v:fill on="f" focussize="0,0"/>
                      <v:stroke on="f"/>
                      <v:imagedata o:title=""/>
                      <o:lock v:ext="edit" aspectratio="f"/>
                      <v:textbox>
                        <w:txbxContent>
                          <w:p w14:paraId="7C0B77BB">
                            <w:pPr>
                              <w:adjustRightInd w:val="0"/>
                              <w:snapToGrid w:val="0"/>
                              <w:rPr>
                                <w:b/>
                                <w:bCs/>
                                <w:sz w:val="30"/>
                                <w:szCs w:val="30"/>
                              </w:rPr>
                            </w:pPr>
                            <w:r>
                              <w:rPr>
                                <w:rFonts w:hint="eastAsia" w:ascii="宋体" w:hAnsi="宋体" w:cs="宋体"/>
                                <w:b/>
                                <w:bCs/>
                                <w:sz w:val="30"/>
                                <w:szCs w:val="30"/>
                              </w:rPr>
                              <w:t>＊</w:t>
                            </w:r>
                          </w:p>
                        </w:txbxContent>
                      </v:textbox>
                    </v:shape>
                  </w:pict>
                </mc:Fallback>
              </mc:AlternateContent>
            </w:r>
            <w:r>
              <w:rPr>
                <w:rFonts w:ascii="Times New Roman" w:hAnsi="Times New Roman" w:eastAsia="宋体"/>
                <w:color w:val="000000" w:themeColor="text1"/>
                <w:spacing w:val="0"/>
                <w:sz w:val="24"/>
                <w:highlight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2885440</wp:posOffset>
                  </wp:positionH>
                  <wp:positionV relativeFrom="paragraph">
                    <wp:posOffset>2546985</wp:posOffset>
                  </wp:positionV>
                  <wp:extent cx="130175" cy="117475"/>
                  <wp:effectExtent l="0" t="0" r="3175" b="17145"/>
                  <wp:wrapNone/>
                  <wp:docPr id="157" name="图片 33"/>
                  <wp:cNvGraphicFramePr/>
                  <a:graphic xmlns:a="http://schemas.openxmlformats.org/drawingml/2006/main">
                    <a:graphicData uri="http://schemas.openxmlformats.org/drawingml/2006/picture">
                      <pic:pic xmlns:pic="http://schemas.openxmlformats.org/drawingml/2006/picture">
                        <pic:nvPicPr>
                          <pic:cNvPr id="157" name="图片 33"/>
                          <pic:cNvPicPr/>
                        </pic:nvPicPr>
                        <pic:blipFill>
                          <a:blip r:embed="rId19"/>
                          <a:stretch>
                            <a:fillRect/>
                          </a:stretch>
                        </pic:blipFill>
                        <pic:spPr>
                          <a:xfrm>
                            <a:off x="0" y="0"/>
                            <a:ext cx="130175" cy="117475"/>
                          </a:xfrm>
                          <a:prstGeom prst="rect">
                            <a:avLst/>
                          </a:prstGeom>
                          <a:noFill/>
                          <a:ln>
                            <a:noFill/>
                          </a:ln>
                        </pic:spPr>
                      </pic:pic>
                    </a:graphicData>
                  </a:graphic>
                </wp:anchor>
              </w:drawing>
            </w:r>
            <w:r>
              <w:rPr>
                <w:rFonts w:ascii="Times New Roman" w:hAnsi="Times New Roman" w:eastAsia="宋体"/>
                <w:color w:val="000000" w:themeColor="text1"/>
                <w:spacing w:val="0"/>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2937510</wp:posOffset>
                      </wp:positionH>
                      <wp:positionV relativeFrom="paragraph">
                        <wp:posOffset>2345690</wp:posOffset>
                      </wp:positionV>
                      <wp:extent cx="1606550" cy="55245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606550"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CC228">
                                  <w:pPr>
                                    <w:rPr>
                                      <w:sz w:val="18"/>
                                      <w:szCs w:val="21"/>
                                    </w:rPr>
                                  </w:pPr>
                                  <w:r>
                                    <w:rPr>
                                      <w:rFonts w:hint="eastAsia"/>
                                      <w:sz w:val="18"/>
                                      <w:szCs w:val="21"/>
                                    </w:rPr>
                                    <w:t>工频电场、工频磁场监测点</w:t>
                                  </w:r>
                                </w:p>
                                <w:p w14:paraId="3FE139B8">
                                  <w:pPr>
                                    <w:rPr>
                                      <w:sz w:val="18"/>
                                      <w:szCs w:val="21"/>
                                    </w:rPr>
                                  </w:pPr>
                                  <w:r>
                                    <w:rPr>
                                      <w:rFonts w:hint="eastAsia"/>
                                      <w:sz w:val="18"/>
                                      <w:szCs w:val="21"/>
                                    </w:rPr>
                                    <w:t>噪声监测点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3pt;margin-top:184.7pt;height:43.5pt;width:126.5pt;z-index:251672576;mso-width-relative:page;mso-height-relative:page;" filled="f" stroked="f" coordsize="21600,21600" o:gfxdata="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Het5tsAAAALAQAADwAAAAAAAAABACAAAAAiAAAAZHJz&#10;L2Rvd25yZXYueG1sUEsBAhQAFAAAAAgAh07iQFAiARA6AgAAagQAAA4AAAAAAAAAAQAgAAAAKgEA&#10;AGRycy9lMm9Eb2MueG1sUEsFBgAAAAAGAAYAWQEAANYFAAAAAA==&#10;">
                      <v:fill on="f" focussize="0,0"/>
                      <v:stroke on="f" weight="0.5pt"/>
                      <v:imagedata o:title=""/>
                      <o:lock v:ext="edit" aspectratio="f"/>
                      <v:textbox>
                        <w:txbxContent>
                          <w:p w14:paraId="32ECC228">
                            <w:pPr>
                              <w:rPr>
                                <w:sz w:val="18"/>
                                <w:szCs w:val="21"/>
                              </w:rPr>
                            </w:pPr>
                            <w:r>
                              <w:rPr>
                                <w:rFonts w:hint="eastAsia"/>
                                <w:sz w:val="18"/>
                                <w:szCs w:val="21"/>
                              </w:rPr>
                              <w:t>工频电场、工频磁场监测点</w:t>
                            </w:r>
                          </w:p>
                          <w:p w14:paraId="3FE139B8">
                            <w:pPr>
                              <w:rPr>
                                <w:sz w:val="18"/>
                                <w:szCs w:val="21"/>
                              </w:rPr>
                            </w:pPr>
                            <w:r>
                              <w:rPr>
                                <w:rFonts w:hint="eastAsia"/>
                                <w:sz w:val="18"/>
                                <w:szCs w:val="21"/>
                              </w:rPr>
                              <w:t>噪声监测点</w:t>
                            </w:r>
                          </w:p>
                        </w:txbxContent>
                      </v:textbox>
                    </v:shape>
                  </w:pict>
                </mc:Fallback>
              </mc:AlternateContent>
            </w:r>
            <w:r>
              <w:rPr>
                <w:rFonts w:ascii="Times New Roman" w:hAnsi="Times New Roman" w:eastAsia="宋体"/>
                <w:color w:val="000000" w:themeColor="text1"/>
                <w:spacing w:val="0"/>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2356485</wp:posOffset>
                      </wp:positionH>
                      <wp:positionV relativeFrom="paragraph">
                        <wp:posOffset>1192530</wp:posOffset>
                      </wp:positionV>
                      <wp:extent cx="340995" cy="28765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340995" cy="287655"/>
                              </a:xfrm>
                              <a:prstGeom prst="rect">
                                <a:avLst/>
                              </a:prstGeom>
                              <a:noFill/>
                              <a:ln>
                                <a:noFill/>
                              </a:ln>
                            </wps:spPr>
                            <wps:txbx>
                              <w:txbxContent>
                                <w:p w14:paraId="6EF1466F">
                                  <w:pPr>
                                    <w:adjustRightInd w:val="0"/>
                                    <w:snapToGrid w:val="0"/>
                                    <w:rPr>
                                      <w:b/>
                                      <w:bCs/>
                                      <w:sz w:val="30"/>
                                      <w:szCs w:val="30"/>
                                    </w:rPr>
                                  </w:pPr>
                                  <w:r>
                                    <w:rPr>
                                      <w:rFonts w:hint="eastAsia" w:ascii="宋体" w:hAnsi="宋体" w:cs="宋体"/>
                                      <w:b/>
                                      <w:bCs/>
                                      <w:sz w:val="30"/>
                                      <w:szCs w:val="30"/>
                                    </w:rPr>
                                    <w:t>＊</w:t>
                                  </w:r>
                                </w:p>
                              </w:txbxContent>
                            </wps:txbx>
                            <wps:bodyPr upright="1"/>
                          </wps:wsp>
                        </a:graphicData>
                      </a:graphic>
                    </wp:anchor>
                  </w:drawing>
                </mc:Choice>
                <mc:Fallback>
                  <w:pict>
                    <v:shape id="_x0000_s1026" o:spid="_x0000_s1026" o:spt="202" type="#_x0000_t202" style="position:absolute;left:0pt;margin-left:185.55pt;margin-top:93.9pt;height:22.65pt;width:26.85pt;z-index:251670528;mso-width-relative:page;mso-height-relative:page;" filled="f" stroked="f" coordsize="21600,21600" o:gfxdata="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JBYJPY&#10;AAAACwEAAA8AAAAAAAAAAQAgAAAAIgAAAGRycy9kb3ducmV2LnhtbFBLAQIUABQAAAAIAIdO4kB2&#10;6cekrgEAAFEDAAAOAAAAAAAAAAEAIAAAACcBAABkcnMvZTJvRG9jLnhtbFBLBQYAAAAABgAGAFkB&#10;AABHBQAAAAA=&#10;">
                      <v:fill on="f" focussize="0,0"/>
                      <v:stroke on="f"/>
                      <v:imagedata o:title=""/>
                      <o:lock v:ext="edit" aspectratio="f"/>
                      <v:textbox>
                        <w:txbxContent>
                          <w:p w14:paraId="6EF1466F">
                            <w:pPr>
                              <w:adjustRightInd w:val="0"/>
                              <w:snapToGrid w:val="0"/>
                              <w:rPr>
                                <w:b/>
                                <w:bCs/>
                                <w:sz w:val="30"/>
                                <w:szCs w:val="30"/>
                              </w:rPr>
                            </w:pPr>
                            <w:r>
                              <w:rPr>
                                <w:rFonts w:hint="eastAsia" w:ascii="宋体" w:hAnsi="宋体" w:cs="宋体"/>
                                <w:b/>
                                <w:bCs/>
                                <w:sz w:val="30"/>
                                <w:szCs w:val="30"/>
                              </w:rPr>
                              <w:t>＊</w:t>
                            </w:r>
                          </w:p>
                        </w:txbxContent>
                      </v:textbox>
                    </v:shape>
                  </w:pict>
                </mc:Fallback>
              </mc:AlternateContent>
            </w:r>
            <w:r>
              <w:rPr>
                <w:rFonts w:ascii="Times New Roman" w:hAnsi="Times New Roman" w:eastAsia="宋体"/>
                <w:color w:val="000000" w:themeColor="text1"/>
                <w:spacing w:val="0"/>
                <w:sz w:val="24"/>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2491740</wp:posOffset>
                  </wp:positionH>
                  <wp:positionV relativeFrom="paragraph">
                    <wp:posOffset>1195705</wp:posOffset>
                  </wp:positionV>
                  <wp:extent cx="130175" cy="117475"/>
                  <wp:effectExtent l="0" t="0" r="3175" b="17145"/>
                  <wp:wrapNone/>
                  <wp:docPr id="156" name="图片 33"/>
                  <wp:cNvGraphicFramePr/>
                  <a:graphic xmlns:a="http://schemas.openxmlformats.org/drawingml/2006/main">
                    <a:graphicData uri="http://schemas.openxmlformats.org/drawingml/2006/picture">
                      <pic:pic xmlns:pic="http://schemas.openxmlformats.org/drawingml/2006/picture">
                        <pic:nvPicPr>
                          <pic:cNvPr id="156" name="图片 33"/>
                          <pic:cNvPicPr/>
                        </pic:nvPicPr>
                        <pic:blipFill>
                          <a:blip r:embed="rId19"/>
                          <a:stretch>
                            <a:fillRect/>
                          </a:stretch>
                        </pic:blipFill>
                        <pic:spPr>
                          <a:xfrm>
                            <a:off x="0" y="0"/>
                            <a:ext cx="130175" cy="117475"/>
                          </a:xfrm>
                          <a:prstGeom prst="rect">
                            <a:avLst/>
                          </a:prstGeom>
                          <a:noFill/>
                          <a:ln>
                            <a:noFill/>
                          </a:ln>
                        </pic:spPr>
                      </pic:pic>
                    </a:graphicData>
                  </a:graphic>
                </wp:anchor>
              </w:drawing>
            </w:r>
            <w:r>
              <w:rPr>
                <w:rFonts w:ascii="Times New Roman" w:hAnsi="Times New Roman" w:eastAsia="宋体"/>
                <w:color w:val="000000" w:themeColor="text1"/>
                <w:spacing w:val="0"/>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2239010</wp:posOffset>
                      </wp:positionH>
                      <wp:positionV relativeFrom="paragraph">
                        <wp:posOffset>294640</wp:posOffset>
                      </wp:positionV>
                      <wp:extent cx="1454150" cy="3175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454150"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7FEEE">
                                  <w:pPr>
                                    <w:rPr>
                                      <w:sz w:val="18"/>
                                      <w:szCs w:val="21"/>
                                    </w:rPr>
                                  </w:pPr>
                                  <w:r>
                                    <w:rPr>
                                      <w:rFonts w:hint="eastAsia"/>
                                      <w:sz w:val="18"/>
                                      <w:szCs w:val="21"/>
                                    </w:rPr>
                                    <w:t>衰减断面方向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3pt;margin-top:23.2pt;height:25pt;width:114.5pt;z-index:251666432;mso-width-relative:page;mso-height-relative:page;" filled="f" stroked="f" coordsize="21600,21600" o:gfxdata="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oESm2gAAAAkBAAAPAAAAAAAAAAEAIAAAACIAAABkcnMv&#10;ZG93bnJldi54bWxQSwECFAAUAAAACACHTuJAoRK36ToCAABqBAAADgAAAAAAAAABACAAAAApAQAA&#10;ZHJzL2Uyb0RvYy54bWxQSwUGAAAAAAYABgBZAQAA1QUAAAAA&#10;">
                      <v:fill on="f" focussize="0,0"/>
                      <v:stroke on="f" weight="0.5pt"/>
                      <v:imagedata o:title=""/>
                      <o:lock v:ext="edit" aspectratio="f"/>
                      <v:textbox>
                        <w:txbxContent>
                          <w:p w14:paraId="4E17FEEE">
                            <w:pPr>
                              <w:rPr>
                                <w:sz w:val="18"/>
                                <w:szCs w:val="21"/>
                              </w:rPr>
                            </w:pPr>
                            <w:r>
                              <w:rPr>
                                <w:rFonts w:hint="eastAsia"/>
                                <w:sz w:val="18"/>
                                <w:szCs w:val="21"/>
                              </w:rPr>
                              <w:t>衰减断面方向</w:t>
                            </w:r>
                          </w:p>
                        </w:txbxContent>
                      </v:textbox>
                    </v:shape>
                  </w:pict>
                </mc:Fallback>
              </mc:AlternateContent>
            </w:r>
            <w:r>
              <w:rPr>
                <w:rFonts w:ascii="Times New Roman" w:hAnsi="Times New Roman" w:eastAsia="宋体"/>
                <w:color w:val="000000" w:themeColor="text1"/>
                <w:spacing w:val="0"/>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797560</wp:posOffset>
                      </wp:positionH>
                      <wp:positionV relativeFrom="paragraph">
                        <wp:posOffset>1287780</wp:posOffset>
                      </wp:positionV>
                      <wp:extent cx="1454150" cy="317500"/>
                      <wp:effectExtent l="0" t="0" r="0" b="0"/>
                      <wp:wrapNone/>
                      <wp:docPr id="145" name="文本框 145"/>
                      <wp:cNvGraphicFramePr/>
                      <a:graphic xmlns:a="http://schemas.openxmlformats.org/drawingml/2006/main">
                        <a:graphicData uri="http://schemas.microsoft.com/office/word/2010/wordprocessingShape">
                          <wps:wsp>
                            <wps:cNvSpPr txBox="1"/>
                            <wps:spPr>
                              <a:xfrm>
                                <a:off x="2645410" y="5022215"/>
                                <a:ext cx="1454150"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7BA99">
                                  <w:pPr>
                                    <w:rPr>
                                      <w:sz w:val="18"/>
                                      <w:szCs w:val="21"/>
                                    </w:rPr>
                                  </w:pPr>
                                  <w:r>
                                    <w:rPr>
                                      <w:rFonts w:hint="eastAsia"/>
                                      <w:sz w:val="18"/>
                                      <w:szCs w:val="21"/>
                                    </w:rPr>
                                    <w:t>110kV汉锋线29#杆塔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8pt;margin-top:101.4pt;height:25pt;width:114.5pt;z-index:251664384;mso-width-relative:page;mso-height-relative:page;" filled="f" stroked="f" coordsize="21600,21600" o:gfxdata="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4kG7k2QAAAAsBAAAPAAAAAAAAAAEA&#10;IAAAACIAAABkcnMvZG93bnJldi54bWxQSwECFAAUAAAACACHTuJAXLtWqkcCAAB2BAAADgAAAAAA&#10;AAABACAAAAAoAQAAZHJzL2Uyb0RvYy54bWxQSwUGAAAAAAYABgBZAQAA4QUAAAAA&#10;">
                      <v:fill on="f" focussize="0,0"/>
                      <v:stroke on="f" weight="0.5pt"/>
                      <v:imagedata o:title=""/>
                      <o:lock v:ext="edit" aspectratio="f"/>
                      <v:textbox>
                        <w:txbxContent>
                          <w:p w14:paraId="3BB7BA99">
                            <w:pPr>
                              <w:rPr>
                                <w:sz w:val="18"/>
                                <w:szCs w:val="21"/>
                              </w:rPr>
                            </w:pPr>
                            <w:r>
                              <w:rPr>
                                <w:rFonts w:hint="eastAsia"/>
                                <w:sz w:val="18"/>
                                <w:szCs w:val="21"/>
                              </w:rPr>
                              <w:t>110kV汉锋线29#杆塔</w:t>
                            </w:r>
                          </w:p>
                        </w:txbxContent>
                      </v:textbox>
                    </v:shape>
                  </w:pict>
                </mc:Fallback>
              </mc:AlternateContent>
            </w:r>
            <w:r>
              <w:rPr>
                <w:rFonts w:ascii="Times New Roman" w:hAnsi="Times New Roman" w:eastAsia="宋体"/>
                <w:color w:val="000000" w:themeColor="text1"/>
                <w:spacing w:val="0"/>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3223260</wp:posOffset>
                      </wp:positionH>
                      <wp:positionV relativeFrom="paragraph">
                        <wp:posOffset>1464310</wp:posOffset>
                      </wp:positionV>
                      <wp:extent cx="1454150" cy="3175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454150"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43E0F">
                                  <w:pPr>
                                    <w:rPr>
                                      <w:sz w:val="18"/>
                                      <w:szCs w:val="21"/>
                                    </w:rPr>
                                  </w:pPr>
                                  <w:r>
                                    <w:rPr>
                                      <w:rFonts w:hint="eastAsia"/>
                                      <w:sz w:val="18"/>
                                      <w:szCs w:val="21"/>
                                    </w:rPr>
                                    <w:t>110kV汉锋线30#杆塔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pt;margin-top:115.3pt;height:25pt;width:114.5pt;z-index:251665408;mso-width-relative:page;mso-height-relative:page;" filled="f" stroked="f" coordsize="21600,21600" o:gfxdata="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BuI+TaAAAACwEAAA8AAAAAAAAAAQAgAAAAIgAAAGRy&#10;cy9kb3ducmV2LnhtbFBLAQIUABQAAAAIAIdO4kDAgkcrPAIAAGoEAAAOAAAAAAAAAAEAIAAAACkB&#10;AABkcnMvZTJvRG9jLnhtbFBLBQYAAAAABgAGAFkBAADXBQAAAAA=&#10;">
                      <v:fill on="f" focussize="0,0"/>
                      <v:stroke on="f" weight="0.5pt"/>
                      <v:imagedata o:title=""/>
                      <o:lock v:ext="edit" aspectratio="f"/>
                      <v:textbox>
                        <w:txbxContent>
                          <w:p w14:paraId="13843E0F">
                            <w:pPr>
                              <w:rPr>
                                <w:sz w:val="18"/>
                                <w:szCs w:val="21"/>
                              </w:rPr>
                            </w:pPr>
                            <w:r>
                              <w:rPr>
                                <w:rFonts w:hint="eastAsia"/>
                                <w:sz w:val="18"/>
                                <w:szCs w:val="21"/>
                              </w:rPr>
                              <w:t>110kV汉锋线30#杆塔</w:t>
                            </w:r>
                          </w:p>
                        </w:txbxContent>
                      </v:textbox>
                    </v:shape>
                  </w:pict>
                </mc:Fallback>
              </mc:AlternateContent>
            </w:r>
            <w:r>
              <w:rPr>
                <w:rFonts w:hint="eastAsia" w:ascii="宋体" w:hAnsi="宋体" w:cs="宋体"/>
                <w:color w:val="000000" w:themeColor="text1"/>
                <w:kern w:val="0"/>
                <w:sz w:val="21"/>
                <w:szCs w:val="21"/>
                <w:lang w:val="en-US" w:eastAsia="zh-CN" w:bidi="ar"/>
                <w14:textFill>
                  <w14:solidFill>
                    <w14:schemeClr w14:val="tx1"/>
                  </w14:solidFill>
                </w14:textFill>
              </w:rPr>
              <w:t>****</w:t>
            </w:r>
            <w:bookmarkStart w:id="20" w:name="_GoBack"/>
            <w:bookmarkEnd w:id="20"/>
          </w:p>
          <w:p w14:paraId="679D92AF">
            <w:pPr>
              <w:spacing w:line="360" w:lineRule="auto"/>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图4-</w:t>
            </w:r>
            <w:r>
              <w:rPr>
                <w:rFonts w:hint="eastAsia" w:ascii="Times New Roman" w:hAnsi="Times New Roman" w:eastAsia="宋体"/>
                <w:b/>
                <w:bCs/>
                <w:color w:val="000000" w:themeColor="text1"/>
                <w:spacing w:val="0"/>
                <w:sz w:val="24"/>
                <w:highlight w:val="none"/>
                <w14:textFill>
                  <w14:solidFill>
                    <w14:schemeClr w14:val="tx1"/>
                  </w14:solidFill>
                </w14:textFill>
              </w:rPr>
              <w:t>3</w:t>
            </w:r>
            <w:r>
              <w:rPr>
                <w:rFonts w:ascii="Times New Roman" w:hAnsi="Times New Roman" w:eastAsia="宋体"/>
                <w:b/>
                <w:bCs/>
                <w:color w:val="000000" w:themeColor="text1"/>
                <w:spacing w:val="0"/>
                <w:sz w:val="24"/>
                <w:highlight w:val="none"/>
                <w14:textFill>
                  <w14:solidFill>
                    <w14:schemeClr w14:val="tx1"/>
                  </w14:solidFill>
                </w14:textFill>
              </w:rPr>
              <w:t xml:space="preserve">  类比线路衰减监测断面</w:t>
            </w:r>
          </w:p>
          <w:p w14:paraId="23114188">
            <w:pPr>
              <w:spacing w:line="360" w:lineRule="auto"/>
              <w:ind w:firstLine="470" w:firstLineChars="196"/>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⑧类比监测工况</w:t>
            </w:r>
          </w:p>
          <w:p w14:paraId="680BBED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110千伏汉</w:t>
            </w:r>
            <w:r>
              <w:rPr>
                <w:rFonts w:hint="eastAsia" w:ascii="Times New Roman" w:hAnsi="Times New Roman" w:eastAsia="宋体"/>
                <w:color w:val="000000" w:themeColor="text1"/>
                <w:spacing w:val="0"/>
                <w:sz w:val="24"/>
                <w:highlight w:val="none"/>
                <w14:textFill>
                  <w14:solidFill>
                    <w14:schemeClr w14:val="tx1"/>
                  </w14:solidFill>
                </w14:textFill>
              </w:rPr>
              <w:t>锋单</w:t>
            </w:r>
            <w:r>
              <w:rPr>
                <w:rFonts w:ascii="Times New Roman" w:hAnsi="Times New Roman" w:eastAsia="宋体"/>
                <w:color w:val="000000" w:themeColor="text1"/>
                <w:spacing w:val="0"/>
                <w:sz w:val="24"/>
                <w:highlight w:val="none"/>
                <w14:textFill>
                  <w14:solidFill>
                    <w14:schemeClr w14:val="tx1"/>
                  </w14:solidFill>
                </w14:textFill>
              </w:rPr>
              <w:t>回路线路（</w:t>
            </w:r>
            <w:r>
              <w:rPr>
                <w:rFonts w:hint="eastAsia" w:ascii="Times New Roman" w:hAnsi="Times New Roman" w:eastAsia="宋体"/>
                <w:color w:val="000000" w:themeColor="text1"/>
                <w:spacing w:val="0"/>
                <w:sz w:val="24"/>
                <w:highlight w:val="none"/>
                <w14:textFill>
                  <w14:solidFill>
                    <w14:schemeClr w14:val="tx1"/>
                  </w14:solidFill>
                </w14:textFill>
              </w:rPr>
              <w:t>29</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30</w:t>
            </w:r>
            <w:r>
              <w:rPr>
                <w:rFonts w:ascii="Times New Roman" w:hAnsi="Times New Roman" w:eastAsia="宋体"/>
                <w:color w:val="000000" w:themeColor="text1"/>
                <w:spacing w:val="0"/>
                <w:sz w:val="24"/>
                <w:highlight w:val="none"/>
                <w14:textFill>
                  <w14:solidFill>
                    <w14:schemeClr w14:val="tx1"/>
                  </w14:solidFill>
                </w14:textFill>
              </w:rPr>
              <w:t>#）监测期间运行工况见表4-</w:t>
            </w:r>
            <w:r>
              <w:rPr>
                <w:rFonts w:hint="eastAsia" w:ascii="Times New Roman" w:hAnsi="Times New Roman" w:eastAsia="宋体"/>
                <w:color w:val="000000" w:themeColor="text1"/>
                <w:spacing w:val="0"/>
                <w:sz w:val="24"/>
                <w:highlight w:val="none"/>
                <w14:textFill>
                  <w14:solidFill>
                    <w14:schemeClr w14:val="tx1"/>
                  </w14:solidFill>
                </w14:textFill>
              </w:rPr>
              <w:t>1</w:t>
            </w:r>
            <w:r>
              <w:rPr>
                <w:rFonts w:hint="eastAsia"/>
                <w:color w:val="000000" w:themeColor="text1"/>
                <w:spacing w:val="0"/>
                <w:sz w:val="24"/>
                <w:highlight w:val="none"/>
                <w:lang w:val="en-US" w:eastAsia="zh-CN"/>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w:t>
            </w:r>
          </w:p>
          <w:p w14:paraId="25A54667">
            <w:pPr>
              <w:spacing w:line="360" w:lineRule="auto"/>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ascii="Times New Roman" w:hAnsi="Times New Roman" w:eastAsia="宋体"/>
                <w:b/>
                <w:bCs/>
                <w:color w:val="000000" w:themeColor="text1"/>
                <w:spacing w:val="0"/>
                <w:sz w:val="24"/>
                <w:highlight w:val="none"/>
                <w14:textFill>
                  <w14:solidFill>
                    <w14:schemeClr w14:val="tx1"/>
                  </w14:solidFill>
                </w14:textFill>
              </w:rPr>
              <w:t>1</w:t>
            </w:r>
            <w:r>
              <w:rPr>
                <w:rFonts w:hint="eastAsia"/>
                <w:b/>
                <w:bCs/>
                <w:color w:val="000000" w:themeColor="text1"/>
                <w:spacing w:val="0"/>
                <w:sz w:val="24"/>
                <w:highlight w:val="none"/>
                <w:lang w:val="en-US" w:eastAsia="zh-CN"/>
                <w14:textFill>
                  <w14:solidFill>
                    <w14:schemeClr w14:val="tx1"/>
                  </w14:solidFill>
                </w14:textFill>
              </w:rPr>
              <w:t>2</w:t>
            </w:r>
            <w:r>
              <w:rPr>
                <w:rFonts w:ascii="Times New Roman" w:hAnsi="Times New Roman" w:eastAsia="宋体"/>
                <w:b/>
                <w:bCs/>
                <w:color w:val="000000" w:themeColor="text1"/>
                <w:spacing w:val="0"/>
                <w:sz w:val="24"/>
                <w:highlight w:val="none"/>
                <w14:textFill>
                  <w14:solidFill>
                    <w14:schemeClr w14:val="tx1"/>
                  </w14:solidFill>
                </w14:textFill>
              </w:rPr>
              <w:t xml:space="preserve">  类比线路监测期间运行工况一览表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1295"/>
              <w:gridCol w:w="1440"/>
              <w:gridCol w:w="1470"/>
              <w:gridCol w:w="1358"/>
            </w:tblGrid>
            <w:tr w14:paraId="65BE6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2287" w:type="dxa"/>
                  <w:vAlign w:val="center"/>
                </w:tcPr>
                <w:p w14:paraId="508AA067">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名称</w:t>
                  </w:r>
                </w:p>
              </w:tc>
              <w:tc>
                <w:tcPr>
                  <w:tcW w:w="1295" w:type="dxa"/>
                  <w:vAlign w:val="center"/>
                </w:tcPr>
                <w:p w14:paraId="71387817">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电压</w:t>
                  </w:r>
                </w:p>
                <w:p w14:paraId="1E64010B">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（kV）</w:t>
                  </w:r>
                </w:p>
              </w:tc>
              <w:tc>
                <w:tcPr>
                  <w:tcW w:w="1440" w:type="dxa"/>
                  <w:vAlign w:val="center"/>
                </w:tcPr>
                <w:p w14:paraId="7D88D20B">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电流</w:t>
                  </w:r>
                </w:p>
                <w:p w14:paraId="04EEE20A">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（A）</w:t>
                  </w:r>
                </w:p>
              </w:tc>
              <w:tc>
                <w:tcPr>
                  <w:tcW w:w="1470" w:type="dxa"/>
                  <w:vAlign w:val="center"/>
                </w:tcPr>
                <w:p w14:paraId="5B625ECA">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有功功率（MV）</w:t>
                  </w:r>
                </w:p>
              </w:tc>
              <w:tc>
                <w:tcPr>
                  <w:tcW w:w="1358" w:type="dxa"/>
                  <w:vAlign w:val="center"/>
                </w:tcPr>
                <w:p w14:paraId="67DB5E52">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无功功率（MVar）</w:t>
                  </w:r>
                </w:p>
              </w:tc>
            </w:tr>
            <w:tr w14:paraId="004F9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287" w:type="dxa"/>
                  <w:vAlign w:val="center"/>
                </w:tcPr>
                <w:p w14:paraId="53C48D00">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110千伏汉</w:t>
                  </w:r>
                  <w:r>
                    <w:rPr>
                      <w:rFonts w:hint="eastAsia" w:ascii="Times New Roman" w:hAnsi="Times New Roman" w:eastAsia="宋体"/>
                      <w:color w:val="000000" w:themeColor="text1"/>
                      <w:spacing w:val="0"/>
                      <w:highlight w:val="none"/>
                      <w14:textFill>
                        <w14:solidFill>
                          <w14:schemeClr w14:val="tx1"/>
                        </w14:solidFill>
                      </w14:textFill>
                    </w:rPr>
                    <w:t>锋单回路（29#-30#杆塔间）</w:t>
                  </w:r>
                </w:p>
              </w:tc>
              <w:tc>
                <w:tcPr>
                  <w:tcW w:w="1295" w:type="dxa"/>
                  <w:vAlign w:val="center"/>
                </w:tcPr>
                <w:p w14:paraId="366211A4">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440" w:type="dxa"/>
                  <w:vAlign w:val="center"/>
                </w:tcPr>
                <w:p w14:paraId="6B4B95D8">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470" w:type="dxa"/>
                  <w:vAlign w:val="center"/>
                </w:tcPr>
                <w:p w14:paraId="4DC0746E">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c>
                <w:tcPr>
                  <w:tcW w:w="1358" w:type="dxa"/>
                  <w:vAlign w:val="center"/>
                </w:tcPr>
                <w:p w14:paraId="6B3F8EA1">
                  <w:pPr>
                    <w:adjustRightInd w:val="0"/>
                    <w:snapToGrid w:val="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bl>
          <w:p w14:paraId="09018570">
            <w:pPr>
              <w:spacing w:line="360" w:lineRule="auto"/>
              <w:ind w:firstLine="470" w:firstLineChars="196"/>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⑨类比监测结果</w:t>
            </w:r>
          </w:p>
          <w:p w14:paraId="1A68DCFA">
            <w:pPr>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110千伏汉</w:t>
            </w:r>
            <w:r>
              <w:rPr>
                <w:rFonts w:hint="eastAsia" w:ascii="Times New Roman" w:hAnsi="Times New Roman" w:eastAsia="宋体"/>
                <w:color w:val="000000" w:themeColor="text1"/>
                <w:spacing w:val="0"/>
                <w:sz w:val="24"/>
                <w:highlight w:val="none"/>
                <w14:textFill>
                  <w14:solidFill>
                    <w14:schemeClr w14:val="tx1"/>
                  </w14:solidFill>
                </w14:textFill>
              </w:rPr>
              <w:t>锋单</w:t>
            </w:r>
            <w:r>
              <w:rPr>
                <w:rFonts w:ascii="Times New Roman" w:hAnsi="Times New Roman" w:eastAsia="宋体"/>
                <w:color w:val="000000" w:themeColor="text1"/>
                <w:spacing w:val="0"/>
                <w:sz w:val="24"/>
                <w:highlight w:val="none"/>
                <w14:textFill>
                  <w14:solidFill>
                    <w14:schemeClr w14:val="tx1"/>
                  </w14:solidFill>
                </w14:textFill>
              </w:rPr>
              <w:t>回路线路（</w:t>
            </w:r>
            <w:r>
              <w:rPr>
                <w:rFonts w:hint="eastAsia" w:ascii="Times New Roman" w:hAnsi="Times New Roman" w:eastAsia="宋体"/>
                <w:color w:val="000000" w:themeColor="text1"/>
                <w:spacing w:val="0"/>
                <w:sz w:val="24"/>
                <w:highlight w:val="none"/>
                <w14:textFill>
                  <w14:solidFill>
                    <w14:schemeClr w14:val="tx1"/>
                  </w14:solidFill>
                </w14:textFill>
              </w:rPr>
              <w:t>29</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30</w:t>
            </w:r>
            <w:r>
              <w:rPr>
                <w:rFonts w:ascii="Times New Roman" w:hAnsi="Times New Roman" w:eastAsia="宋体"/>
                <w:color w:val="000000" w:themeColor="text1"/>
                <w:spacing w:val="0"/>
                <w:sz w:val="24"/>
                <w:highlight w:val="none"/>
                <w14:textFill>
                  <w14:solidFill>
                    <w14:schemeClr w14:val="tx1"/>
                  </w14:solidFill>
                </w14:textFill>
              </w:rPr>
              <w:t>#）运行产生的噪声源强见表4-</w:t>
            </w:r>
            <w:r>
              <w:rPr>
                <w:rFonts w:hint="eastAsia" w:ascii="Times New Roman" w:hAnsi="Times New Roman" w:eastAsia="宋体"/>
                <w:color w:val="000000" w:themeColor="text1"/>
                <w:spacing w:val="0"/>
                <w:sz w:val="24"/>
                <w:highlight w:val="none"/>
                <w14:textFill>
                  <w14:solidFill>
                    <w14:schemeClr w14:val="tx1"/>
                  </w14:solidFill>
                </w14:textFill>
              </w:rPr>
              <w:t>1</w:t>
            </w:r>
            <w:r>
              <w:rPr>
                <w:rFonts w:hint="eastAsia"/>
                <w:color w:val="000000" w:themeColor="text1"/>
                <w:spacing w:val="0"/>
                <w:sz w:val="24"/>
                <w:highlight w:val="none"/>
                <w:lang w:val="en-US" w:eastAsia="zh-CN"/>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w:t>
            </w:r>
          </w:p>
          <w:p w14:paraId="43F22905">
            <w:pPr>
              <w:keepLines/>
              <w:adjustRightInd w:val="0"/>
              <w:snapToGrid w:val="0"/>
              <w:jc w:val="center"/>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ascii="Times New Roman" w:hAnsi="Times New Roman" w:eastAsia="宋体"/>
                <w:b/>
                <w:bCs/>
                <w:color w:val="000000" w:themeColor="text1"/>
                <w:spacing w:val="0"/>
                <w:sz w:val="24"/>
                <w:highlight w:val="none"/>
                <w14:textFill>
                  <w14:solidFill>
                    <w14:schemeClr w14:val="tx1"/>
                  </w14:solidFill>
                </w14:textFill>
              </w:rPr>
              <w:t>1</w:t>
            </w:r>
            <w:r>
              <w:rPr>
                <w:rFonts w:hint="eastAsia"/>
                <w:b/>
                <w:bCs/>
                <w:color w:val="000000" w:themeColor="text1"/>
                <w:spacing w:val="0"/>
                <w:sz w:val="24"/>
                <w:highlight w:val="none"/>
                <w:lang w:val="en-US" w:eastAsia="zh-CN"/>
                <w14:textFill>
                  <w14:solidFill>
                    <w14:schemeClr w14:val="tx1"/>
                  </w14:solidFill>
                </w14:textFill>
              </w:rPr>
              <w:t>3</w:t>
            </w:r>
            <w:r>
              <w:rPr>
                <w:rFonts w:ascii="Times New Roman" w:hAnsi="Times New Roman" w:eastAsia="宋体"/>
                <w:b/>
                <w:bCs/>
                <w:color w:val="000000" w:themeColor="text1"/>
                <w:spacing w:val="0"/>
                <w:sz w:val="24"/>
                <w:highlight w:val="none"/>
                <w14:textFill>
                  <w14:solidFill>
                    <w14:schemeClr w14:val="tx1"/>
                  </w14:solidFill>
                </w14:textFill>
              </w:rPr>
              <w:t xml:space="preserve"> </w:t>
            </w:r>
            <w:r>
              <w:rPr>
                <w:rFonts w:ascii="Times New Roman" w:hAnsi="Times New Roman" w:eastAsia="宋体"/>
                <w:b/>
                <w:bCs/>
                <w:color w:val="000000" w:themeColor="text1"/>
                <w:spacing w:val="0"/>
                <w:kern w:val="0"/>
                <w:sz w:val="24"/>
                <w:highlight w:val="none"/>
                <w14:textFill>
                  <w14:solidFill>
                    <w14:schemeClr w14:val="tx1"/>
                  </w14:solidFill>
                </w14:textFill>
              </w:rPr>
              <w:t xml:space="preserve"> 110千伏汉</w:t>
            </w:r>
            <w:r>
              <w:rPr>
                <w:rFonts w:hint="eastAsia" w:ascii="Times New Roman" w:hAnsi="Times New Roman" w:eastAsia="宋体"/>
                <w:b/>
                <w:bCs/>
                <w:color w:val="000000" w:themeColor="text1"/>
                <w:spacing w:val="0"/>
                <w:kern w:val="0"/>
                <w:sz w:val="24"/>
                <w:highlight w:val="none"/>
                <w14:textFill>
                  <w14:solidFill>
                    <w14:schemeClr w14:val="tx1"/>
                  </w14:solidFill>
                </w14:textFill>
              </w:rPr>
              <w:t>锋单</w:t>
            </w:r>
            <w:r>
              <w:rPr>
                <w:rFonts w:ascii="Times New Roman" w:hAnsi="Times New Roman" w:eastAsia="宋体"/>
                <w:b/>
                <w:bCs/>
                <w:color w:val="000000" w:themeColor="text1"/>
                <w:spacing w:val="0"/>
                <w:kern w:val="0"/>
                <w:sz w:val="24"/>
                <w:highlight w:val="none"/>
                <w14:textFill>
                  <w14:solidFill>
                    <w14:schemeClr w14:val="tx1"/>
                  </w14:solidFill>
                </w14:textFill>
              </w:rPr>
              <w:t>回路（</w:t>
            </w:r>
            <w:r>
              <w:rPr>
                <w:rFonts w:hint="eastAsia" w:ascii="Times New Roman" w:hAnsi="Times New Roman" w:eastAsia="宋体"/>
                <w:b/>
                <w:bCs/>
                <w:color w:val="000000" w:themeColor="text1"/>
                <w:spacing w:val="0"/>
                <w:kern w:val="0"/>
                <w:sz w:val="24"/>
                <w:highlight w:val="none"/>
                <w14:textFill>
                  <w14:solidFill>
                    <w14:schemeClr w14:val="tx1"/>
                  </w14:solidFill>
                </w14:textFill>
              </w:rPr>
              <w:t>29</w:t>
            </w:r>
            <w:r>
              <w:rPr>
                <w:rFonts w:ascii="Times New Roman" w:hAnsi="Times New Roman" w:eastAsia="宋体"/>
                <w:b/>
                <w:bCs/>
                <w:color w:val="000000" w:themeColor="text1"/>
                <w:spacing w:val="0"/>
                <w:kern w:val="0"/>
                <w:sz w:val="24"/>
                <w:highlight w:val="none"/>
                <w14:textFill>
                  <w14:solidFill>
                    <w14:schemeClr w14:val="tx1"/>
                  </w14:solidFill>
                </w14:textFill>
              </w:rPr>
              <w:t>#-</w:t>
            </w:r>
            <w:r>
              <w:rPr>
                <w:rFonts w:hint="eastAsia" w:ascii="Times New Roman" w:hAnsi="Times New Roman" w:eastAsia="宋体"/>
                <w:b/>
                <w:bCs/>
                <w:color w:val="000000" w:themeColor="text1"/>
                <w:spacing w:val="0"/>
                <w:kern w:val="0"/>
                <w:sz w:val="24"/>
                <w:highlight w:val="none"/>
                <w14:textFill>
                  <w14:solidFill>
                    <w14:schemeClr w14:val="tx1"/>
                  </w14:solidFill>
                </w14:textFill>
              </w:rPr>
              <w:t>30</w:t>
            </w:r>
            <w:r>
              <w:rPr>
                <w:rFonts w:ascii="Times New Roman" w:hAnsi="Times New Roman" w:eastAsia="宋体"/>
                <w:b/>
                <w:bCs/>
                <w:color w:val="000000" w:themeColor="text1"/>
                <w:spacing w:val="0"/>
                <w:kern w:val="0"/>
                <w:sz w:val="24"/>
                <w:highlight w:val="none"/>
                <w14:textFill>
                  <w14:solidFill>
                    <w14:schemeClr w14:val="tx1"/>
                  </w14:solidFill>
                </w14:textFill>
              </w:rPr>
              <w:t>#杆塔间、线高1</w:t>
            </w:r>
            <w:r>
              <w:rPr>
                <w:rFonts w:hint="eastAsia" w:ascii="Times New Roman" w:hAnsi="Times New Roman" w:eastAsia="宋体"/>
                <w:b/>
                <w:bCs/>
                <w:color w:val="000000" w:themeColor="text1"/>
                <w:spacing w:val="0"/>
                <w:kern w:val="0"/>
                <w:sz w:val="24"/>
                <w:highlight w:val="none"/>
                <w14:textFill>
                  <w14:solidFill>
                    <w14:schemeClr w14:val="tx1"/>
                  </w14:solidFill>
                </w14:textFill>
              </w:rPr>
              <w:t>2</w:t>
            </w:r>
            <w:r>
              <w:rPr>
                <w:rFonts w:ascii="Times New Roman" w:hAnsi="Times New Roman" w:eastAsia="宋体"/>
                <w:b/>
                <w:bCs/>
                <w:color w:val="000000" w:themeColor="text1"/>
                <w:spacing w:val="0"/>
                <w:kern w:val="0"/>
                <w:sz w:val="24"/>
                <w:highlight w:val="none"/>
                <w14:textFill>
                  <w14:solidFill>
                    <w14:schemeClr w14:val="tx1"/>
                  </w14:solidFill>
                </w14:textFill>
              </w:rPr>
              <w:t>m、档距</w:t>
            </w:r>
            <w:r>
              <w:rPr>
                <w:rFonts w:hint="eastAsia" w:ascii="Times New Roman" w:hAnsi="Times New Roman" w:eastAsia="宋体"/>
                <w:b/>
                <w:bCs/>
                <w:color w:val="000000" w:themeColor="text1"/>
                <w:spacing w:val="0"/>
                <w:kern w:val="0"/>
                <w:sz w:val="24"/>
                <w:highlight w:val="none"/>
                <w14:textFill>
                  <w14:solidFill>
                    <w14:schemeClr w14:val="tx1"/>
                  </w14:solidFill>
                </w14:textFill>
              </w:rPr>
              <w:t>427</w:t>
            </w:r>
            <w:r>
              <w:rPr>
                <w:rFonts w:ascii="Times New Roman" w:hAnsi="Times New Roman" w:eastAsia="宋体"/>
                <w:b/>
                <w:bCs/>
                <w:color w:val="000000" w:themeColor="text1"/>
                <w:spacing w:val="0"/>
                <w:kern w:val="0"/>
                <w:sz w:val="24"/>
                <w:highlight w:val="none"/>
                <w14:textFill>
                  <w14:solidFill>
                    <w14:schemeClr w14:val="tx1"/>
                  </w14:solidFill>
                </w14:textFill>
              </w:rPr>
              <w:t>m）</w:t>
            </w:r>
          </w:p>
          <w:p w14:paraId="3C1C76FA">
            <w:pPr>
              <w:keepLines/>
              <w:adjustRightInd w:val="0"/>
              <w:snapToGrid w:val="0"/>
              <w:jc w:val="center"/>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声环境</w:t>
            </w:r>
            <w:r>
              <w:rPr>
                <w:rFonts w:ascii="Times New Roman" w:hAnsi="Times New Roman" w:eastAsia="宋体"/>
                <w:b/>
                <w:bCs/>
                <w:color w:val="000000" w:themeColor="text1"/>
                <w:spacing w:val="0"/>
                <w:sz w:val="24"/>
                <w:highlight w:val="none"/>
                <w14:textFill>
                  <w14:solidFill>
                    <w14:schemeClr w14:val="tx1"/>
                  </w14:solidFill>
                </w14:textFill>
              </w:rPr>
              <w:t>监</w:t>
            </w:r>
            <w:r>
              <w:rPr>
                <w:rFonts w:ascii="Times New Roman" w:hAnsi="Times New Roman" w:eastAsia="宋体"/>
                <w:b/>
                <w:bCs/>
                <w:color w:val="000000" w:themeColor="text1"/>
                <w:spacing w:val="0"/>
                <w:kern w:val="0"/>
                <w:sz w:val="24"/>
                <w:highlight w:val="none"/>
                <w14:textFill>
                  <w14:solidFill>
                    <w14:schemeClr w14:val="tx1"/>
                  </w14:solidFill>
                </w14:textFill>
              </w:rPr>
              <w:t>测结果</w:t>
            </w:r>
          </w:p>
          <w:tbl>
            <w:tblPr>
              <w:tblStyle w:val="26"/>
              <w:tblW w:w="48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4622"/>
              <w:gridCol w:w="1247"/>
              <w:gridCol w:w="862"/>
              <w:gridCol w:w="864"/>
            </w:tblGrid>
            <w:tr w14:paraId="3B210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5" w:type="dxa"/>
                  <w:tcBorders>
                    <w:tl2br w:val="nil"/>
                    <w:tr2bl w:val="nil"/>
                  </w:tcBorders>
                  <w:vAlign w:val="center"/>
                </w:tcPr>
                <w:p w14:paraId="2B0D2200">
                  <w:pPr>
                    <w:keepLines/>
                    <w:ind w:left="-254" w:leftChars="-121" w:right="-2" w:firstLine="211" w:firstLineChars="10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测点</w:t>
                  </w:r>
                </w:p>
                <w:p w14:paraId="31DE10EC">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编号</w:t>
                  </w:r>
                </w:p>
              </w:tc>
              <w:tc>
                <w:tcPr>
                  <w:tcW w:w="4560" w:type="dxa"/>
                  <w:tcBorders>
                    <w:tl2br w:val="nil"/>
                    <w:tr2bl w:val="nil"/>
                  </w:tcBorders>
                  <w:vAlign w:val="center"/>
                </w:tcPr>
                <w:p w14:paraId="2F3C0D0B">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监测点位</w:t>
                  </w:r>
                </w:p>
              </w:tc>
              <w:tc>
                <w:tcPr>
                  <w:tcW w:w="1230" w:type="dxa"/>
                  <w:tcBorders>
                    <w:tl2br w:val="nil"/>
                    <w:tr2bl w:val="nil"/>
                  </w:tcBorders>
                  <w:vAlign w:val="center"/>
                </w:tcPr>
                <w:p w14:paraId="2DCD3AA3">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测点高度（m）</w:t>
                  </w:r>
                </w:p>
              </w:tc>
              <w:tc>
                <w:tcPr>
                  <w:tcW w:w="850" w:type="dxa"/>
                  <w:tcBorders>
                    <w:tl2br w:val="nil"/>
                    <w:tr2bl w:val="nil"/>
                  </w:tcBorders>
                  <w:vAlign w:val="center"/>
                </w:tcPr>
                <w:p w14:paraId="354F3850">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昼间</w:t>
                  </w:r>
                </w:p>
                <w:p w14:paraId="3B301846">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dB(A)</w:t>
                  </w:r>
                </w:p>
              </w:tc>
              <w:tc>
                <w:tcPr>
                  <w:tcW w:w="852" w:type="dxa"/>
                  <w:tcBorders>
                    <w:tl2br w:val="nil"/>
                    <w:tr2bl w:val="nil"/>
                  </w:tcBorders>
                  <w:vAlign w:val="center"/>
                </w:tcPr>
                <w:p w14:paraId="3F200CA6">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夜间</w:t>
                  </w:r>
                </w:p>
                <w:p w14:paraId="4B920044">
                  <w:pPr>
                    <w:keepLines/>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dB(A)</w:t>
                  </w:r>
                </w:p>
              </w:tc>
            </w:tr>
            <w:tr w14:paraId="03602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5" w:type="dxa"/>
                  <w:tcBorders>
                    <w:tl2br w:val="nil"/>
                    <w:tr2bl w:val="nil"/>
                  </w:tcBorders>
                  <w:vAlign w:val="center"/>
                </w:tcPr>
                <w:p w14:paraId="7C2B78D9">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w:t>
                  </w:r>
                </w:p>
              </w:tc>
              <w:tc>
                <w:tcPr>
                  <w:tcW w:w="4560" w:type="dxa"/>
                  <w:tcBorders>
                    <w:tl2br w:val="nil"/>
                    <w:tr2bl w:val="nil"/>
                  </w:tcBorders>
                  <w:vAlign w:val="center"/>
                </w:tcPr>
                <w:p w14:paraId="2AC8171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导线弧垂最大位置处中相导线对地投影点</w:t>
                  </w:r>
                  <w:r>
                    <w:rPr>
                      <w:rFonts w:ascii="Times New Roman" w:hAnsi="Times New Roman" w:eastAsia="宋体"/>
                      <w:color w:val="000000" w:themeColor="text1"/>
                      <w:spacing w:val="0"/>
                      <w:szCs w:val="21"/>
                      <w:highlight w:val="none"/>
                      <w14:textFill>
                        <w14:solidFill>
                          <w14:schemeClr w14:val="tx1"/>
                        </w14:solidFill>
                      </w14:textFill>
                    </w:rPr>
                    <w:t>0m</w:t>
                  </w:r>
                </w:p>
              </w:tc>
              <w:tc>
                <w:tcPr>
                  <w:tcW w:w="1230" w:type="dxa"/>
                  <w:tcBorders>
                    <w:tl2br w:val="nil"/>
                    <w:tr2bl w:val="nil"/>
                  </w:tcBorders>
                  <w:vAlign w:val="center"/>
                </w:tcPr>
                <w:p w14:paraId="592B9E2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850" w:type="dxa"/>
                  <w:tcBorders>
                    <w:tl2br w:val="nil"/>
                    <w:tr2bl w:val="nil"/>
                  </w:tcBorders>
                  <w:vAlign w:val="center"/>
                </w:tcPr>
                <w:p w14:paraId="795F509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43</w:t>
                  </w:r>
                </w:p>
              </w:tc>
              <w:tc>
                <w:tcPr>
                  <w:tcW w:w="852" w:type="dxa"/>
                  <w:tcBorders>
                    <w:tl2br w:val="nil"/>
                    <w:tr2bl w:val="nil"/>
                  </w:tcBorders>
                  <w:vAlign w:val="center"/>
                </w:tcPr>
                <w:p w14:paraId="58A314C2">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42</w:t>
                  </w:r>
                </w:p>
              </w:tc>
            </w:tr>
            <w:tr w14:paraId="6ADDE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5" w:type="dxa"/>
                  <w:tcBorders>
                    <w:tl2br w:val="nil"/>
                    <w:tr2bl w:val="nil"/>
                  </w:tcBorders>
                  <w:vAlign w:val="center"/>
                </w:tcPr>
                <w:p w14:paraId="1B83AC9A">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2</w:t>
                  </w:r>
                </w:p>
              </w:tc>
              <w:tc>
                <w:tcPr>
                  <w:tcW w:w="4560" w:type="dxa"/>
                  <w:tcBorders>
                    <w:tl2br w:val="nil"/>
                    <w:tr2bl w:val="nil"/>
                  </w:tcBorders>
                  <w:vAlign w:val="center"/>
                </w:tcPr>
                <w:p w14:paraId="25814BD1">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导线弧垂最大位置处中相导线对地投影西3</w:t>
                  </w:r>
                  <w:r>
                    <w:rPr>
                      <w:rFonts w:ascii="Times New Roman" w:hAnsi="Times New Roman" w:eastAsia="宋体"/>
                      <w:color w:val="000000" w:themeColor="text1"/>
                      <w:spacing w:val="0"/>
                      <w:szCs w:val="21"/>
                      <w:highlight w:val="none"/>
                      <w14:textFill>
                        <w14:solidFill>
                          <w14:schemeClr w14:val="tx1"/>
                        </w14:solidFill>
                      </w14:textFill>
                    </w:rPr>
                    <w:t>m</w:t>
                  </w:r>
                  <w:r>
                    <w:rPr>
                      <w:rFonts w:hint="eastAsia" w:ascii="Times New Roman" w:hAnsi="Times New Roman" w:eastAsia="宋体"/>
                      <w:color w:val="000000" w:themeColor="text1"/>
                      <w:spacing w:val="0"/>
                      <w:szCs w:val="21"/>
                      <w:highlight w:val="none"/>
                      <w14:textFill>
                        <w14:solidFill>
                          <w14:schemeClr w14:val="tx1"/>
                        </w14:solidFill>
                      </w14:textFill>
                    </w:rPr>
                    <w:t>（边导线对地投影点0m处）</w:t>
                  </w:r>
                </w:p>
              </w:tc>
              <w:tc>
                <w:tcPr>
                  <w:tcW w:w="1230" w:type="dxa"/>
                  <w:tcBorders>
                    <w:tl2br w:val="nil"/>
                    <w:tr2bl w:val="nil"/>
                  </w:tcBorders>
                  <w:vAlign w:val="center"/>
                </w:tcPr>
                <w:p w14:paraId="6C46496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850" w:type="dxa"/>
                  <w:tcBorders>
                    <w:tl2br w:val="nil"/>
                    <w:tr2bl w:val="nil"/>
                  </w:tcBorders>
                  <w:vAlign w:val="center"/>
                </w:tcPr>
                <w:p w14:paraId="5F7B8C6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42</w:t>
                  </w:r>
                </w:p>
              </w:tc>
              <w:tc>
                <w:tcPr>
                  <w:tcW w:w="852" w:type="dxa"/>
                  <w:tcBorders>
                    <w:tl2br w:val="nil"/>
                    <w:tr2bl w:val="nil"/>
                  </w:tcBorders>
                  <w:vAlign w:val="center"/>
                </w:tcPr>
                <w:p w14:paraId="21C7037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41</w:t>
                  </w:r>
                </w:p>
              </w:tc>
            </w:tr>
            <w:tr w14:paraId="25EEE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5" w:type="dxa"/>
                  <w:tcBorders>
                    <w:tl2br w:val="nil"/>
                    <w:tr2bl w:val="nil"/>
                  </w:tcBorders>
                  <w:vAlign w:val="center"/>
                </w:tcPr>
                <w:p w14:paraId="5DF65F66">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w:t>
                  </w:r>
                </w:p>
              </w:tc>
              <w:tc>
                <w:tcPr>
                  <w:tcW w:w="4560" w:type="dxa"/>
                  <w:tcBorders>
                    <w:tl2br w:val="nil"/>
                    <w:tr2bl w:val="nil"/>
                  </w:tcBorders>
                  <w:vAlign w:val="center"/>
                </w:tcPr>
                <w:p w14:paraId="4FB6BF5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导线弧垂最大处线路边导线对地投影点北5</w:t>
                  </w:r>
                  <w:r>
                    <w:rPr>
                      <w:rFonts w:ascii="Times New Roman" w:hAnsi="Times New Roman" w:eastAsia="宋体"/>
                      <w:color w:val="000000" w:themeColor="text1"/>
                      <w:spacing w:val="0"/>
                      <w:szCs w:val="21"/>
                      <w:highlight w:val="none"/>
                      <w14:textFill>
                        <w14:solidFill>
                          <w14:schemeClr w14:val="tx1"/>
                        </w14:solidFill>
                      </w14:textFill>
                    </w:rPr>
                    <w:t>m</w:t>
                  </w:r>
                </w:p>
              </w:tc>
              <w:tc>
                <w:tcPr>
                  <w:tcW w:w="1230" w:type="dxa"/>
                  <w:tcBorders>
                    <w:tl2br w:val="nil"/>
                    <w:tr2bl w:val="nil"/>
                  </w:tcBorders>
                  <w:vAlign w:val="center"/>
                </w:tcPr>
                <w:p w14:paraId="30D867E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850" w:type="dxa"/>
                  <w:tcBorders>
                    <w:tl2br w:val="nil"/>
                    <w:tr2bl w:val="nil"/>
                  </w:tcBorders>
                  <w:vAlign w:val="center"/>
                </w:tcPr>
                <w:p w14:paraId="7916817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42</w:t>
                  </w:r>
                </w:p>
              </w:tc>
              <w:tc>
                <w:tcPr>
                  <w:tcW w:w="852" w:type="dxa"/>
                  <w:tcBorders>
                    <w:tl2br w:val="nil"/>
                    <w:tr2bl w:val="nil"/>
                  </w:tcBorders>
                  <w:vAlign w:val="center"/>
                </w:tcPr>
                <w:p w14:paraId="6F72E60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40</w:t>
                  </w:r>
                </w:p>
              </w:tc>
            </w:tr>
            <w:tr w14:paraId="67DF7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5" w:type="dxa"/>
                  <w:tcBorders>
                    <w:tl2br w:val="nil"/>
                    <w:tr2bl w:val="nil"/>
                  </w:tcBorders>
                  <w:vAlign w:val="center"/>
                </w:tcPr>
                <w:p w14:paraId="59BE9246">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w:t>
                  </w:r>
                </w:p>
              </w:tc>
              <w:tc>
                <w:tcPr>
                  <w:tcW w:w="4560" w:type="dxa"/>
                  <w:tcBorders>
                    <w:tl2br w:val="nil"/>
                    <w:tr2bl w:val="nil"/>
                  </w:tcBorders>
                  <w:vAlign w:val="center"/>
                </w:tcPr>
                <w:p w14:paraId="7EFE5FF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导线弧垂最大处线路边导线对地投影点北10</w:t>
                  </w:r>
                  <w:r>
                    <w:rPr>
                      <w:rFonts w:ascii="Times New Roman" w:hAnsi="Times New Roman" w:eastAsia="宋体"/>
                      <w:color w:val="000000" w:themeColor="text1"/>
                      <w:spacing w:val="0"/>
                      <w:szCs w:val="21"/>
                      <w:highlight w:val="none"/>
                      <w14:textFill>
                        <w14:solidFill>
                          <w14:schemeClr w14:val="tx1"/>
                        </w14:solidFill>
                      </w14:textFill>
                    </w:rPr>
                    <w:t>m</w:t>
                  </w:r>
                </w:p>
              </w:tc>
              <w:tc>
                <w:tcPr>
                  <w:tcW w:w="1230" w:type="dxa"/>
                  <w:tcBorders>
                    <w:tl2br w:val="nil"/>
                    <w:tr2bl w:val="nil"/>
                  </w:tcBorders>
                  <w:vAlign w:val="center"/>
                </w:tcPr>
                <w:p w14:paraId="7FB587E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850" w:type="dxa"/>
                  <w:tcBorders>
                    <w:tl2br w:val="nil"/>
                    <w:tr2bl w:val="nil"/>
                  </w:tcBorders>
                  <w:vAlign w:val="center"/>
                </w:tcPr>
                <w:p w14:paraId="722CD4F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42</w:t>
                  </w:r>
                </w:p>
              </w:tc>
              <w:tc>
                <w:tcPr>
                  <w:tcW w:w="852" w:type="dxa"/>
                  <w:tcBorders>
                    <w:tl2br w:val="nil"/>
                    <w:tr2bl w:val="nil"/>
                  </w:tcBorders>
                  <w:vAlign w:val="center"/>
                </w:tcPr>
                <w:p w14:paraId="3CF39672">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40</w:t>
                  </w:r>
                </w:p>
              </w:tc>
            </w:tr>
            <w:tr w14:paraId="7FCF1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5" w:type="dxa"/>
                  <w:tcBorders>
                    <w:tl2br w:val="nil"/>
                    <w:tr2bl w:val="nil"/>
                  </w:tcBorders>
                  <w:vAlign w:val="center"/>
                </w:tcPr>
                <w:p w14:paraId="02FBD671">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w:t>
                  </w:r>
                </w:p>
              </w:tc>
              <w:tc>
                <w:tcPr>
                  <w:tcW w:w="4560" w:type="dxa"/>
                  <w:tcBorders>
                    <w:tl2br w:val="nil"/>
                    <w:tr2bl w:val="nil"/>
                  </w:tcBorders>
                  <w:vAlign w:val="center"/>
                </w:tcPr>
                <w:p w14:paraId="125E66D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导线弧垂最大处线路边导线对地投影点北15</w:t>
                  </w:r>
                  <w:r>
                    <w:rPr>
                      <w:rFonts w:ascii="Times New Roman" w:hAnsi="Times New Roman" w:eastAsia="宋体"/>
                      <w:color w:val="000000" w:themeColor="text1"/>
                      <w:spacing w:val="0"/>
                      <w:szCs w:val="21"/>
                      <w:highlight w:val="none"/>
                      <w14:textFill>
                        <w14:solidFill>
                          <w14:schemeClr w14:val="tx1"/>
                        </w14:solidFill>
                      </w14:textFill>
                    </w:rPr>
                    <w:t>m</w:t>
                  </w:r>
                </w:p>
              </w:tc>
              <w:tc>
                <w:tcPr>
                  <w:tcW w:w="1230" w:type="dxa"/>
                  <w:tcBorders>
                    <w:tl2br w:val="nil"/>
                    <w:tr2bl w:val="nil"/>
                  </w:tcBorders>
                  <w:vAlign w:val="center"/>
                </w:tcPr>
                <w:p w14:paraId="4A9B61D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850" w:type="dxa"/>
                  <w:tcBorders>
                    <w:tl2br w:val="nil"/>
                    <w:tr2bl w:val="nil"/>
                  </w:tcBorders>
                  <w:vAlign w:val="center"/>
                </w:tcPr>
                <w:p w14:paraId="4605D7B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42</w:t>
                  </w:r>
                </w:p>
              </w:tc>
              <w:tc>
                <w:tcPr>
                  <w:tcW w:w="852" w:type="dxa"/>
                  <w:tcBorders>
                    <w:tl2br w:val="nil"/>
                    <w:tr2bl w:val="nil"/>
                  </w:tcBorders>
                  <w:vAlign w:val="center"/>
                </w:tcPr>
                <w:p w14:paraId="69305F9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41</w:t>
                  </w:r>
                </w:p>
              </w:tc>
            </w:tr>
            <w:tr w14:paraId="6702A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5" w:type="dxa"/>
                  <w:tcBorders>
                    <w:tl2br w:val="nil"/>
                    <w:tr2bl w:val="nil"/>
                  </w:tcBorders>
                  <w:vAlign w:val="center"/>
                </w:tcPr>
                <w:p w14:paraId="46729860">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w:t>
                  </w:r>
                </w:p>
              </w:tc>
              <w:tc>
                <w:tcPr>
                  <w:tcW w:w="4560" w:type="dxa"/>
                  <w:tcBorders>
                    <w:tl2br w:val="nil"/>
                    <w:tr2bl w:val="nil"/>
                  </w:tcBorders>
                  <w:vAlign w:val="center"/>
                </w:tcPr>
                <w:p w14:paraId="354C78C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导线弧垂最大处线路边导线对地投影点北20</w:t>
                  </w:r>
                  <w:r>
                    <w:rPr>
                      <w:rFonts w:ascii="Times New Roman" w:hAnsi="Times New Roman" w:eastAsia="宋体"/>
                      <w:color w:val="000000" w:themeColor="text1"/>
                      <w:spacing w:val="0"/>
                      <w:szCs w:val="21"/>
                      <w:highlight w:val="none"/>
                      <w14:textFill>
                        <w14:solidFill>
                          <w14:schemeClr w14:val="tx1"/>
                        </w14:solidFill>
                      </w14:textFill>
                    </w:rPr>
                    <w:t>m</w:t>
                  </w:r>
                </w:p>
              </w:tc>
              <w:tc>
                <w:tcPr>
                  <w:tcW w:w="1230" w:type="dxa"/>
                  <w:tcBorders>
                    <w:tl2br w:val="nil"/>
                    <w:tr2bl w:val="nil"/>
                  </w:tcBorders>
                  <w:vAlign w:val="center"/>
                </w:tcPr>
                <w:p w14:paraId="51C19B2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850" w:type="dxa"/>
                  <w:tcBorders>
                    <w:tl2br w:val="nil"/>
                    <w:tr2bl w:val="nil"/>
                  </w:tcBorders>
                  <w:vAlign w:val="center"/>
                </w:tcPr>
                <w:p w14:paraId="0B6AA1A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40</w:t>
                  </w:r>
                </w:p>
              </w:tc>
              <w:tc>
                <w:tcPr>
                  <w:tcW w:w="852" w:type="dxa"/>
                  <w:tcBorders>
                    <w:tl2br w:val="nil"/>
                    <w:tr2bl w:val="nil"/>
                  </w:tcBorders>
                  <w:vAlign w:val="center"/>
                </w:tcPr>
                <w:p w14:paraId="14C8662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39</w:t>
                  </w:r>
                </w:p>
              </w:tc>
            </w:tr>
            <w:tr w14:paraId="1FD85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5" w:type="dxa"/>
                  <w:tcBorders>
                    <w:tl2br w:val="nil"/>
                    <w:tr2bl w:val="nil"/>
                  </w:tcBorders>
                  <w:vAlign w:val="center"/>
                </w:tcPr>
                <w:p w14:paraId="6BCE835E">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7</w:t>
                  </w:r>
                </w:p>
              </w:tc>
              <w:tc>
                <w:tcPr>
                  <w:tcW w:w="4560" w:type="dxa"/>
                  <w:tcBorders>
                    <w:tl2br w:val="nil"/>
                    <w:tr2bl w:val="nil"/>
                  </w:tcBorders>
                  <w:vAlign w:val="center"/>
                </w:tcPr>
                <w:p w14:paraId="6C92A67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导线弧垂最大处线路边导线对地投影点北25</w:t>
                  </w:r>
                  <w:r>
                    <w:rPr>
                      <w:rFonts w:ascii="Times New Roman" w:hAnsi="Times New Roman" w:eastAsia="宋体"/>
                      <w:color w:val="000000" w:themeColor="text1"/>
                      <w:spacing w:val="0"/>
                      <w:szCs w:val="21"/>
                      <w:highlight w:val="none"/>
                      <w14:textFill>
                        <w14:solidFill>
                          <w14:schemeClr w14:val="tx1"/>
                        </w14:solidFill>
                      </w14:textFill>
                    </w:rPr>
                    <w:t>m</w:t>
                  </w:r>
                </w:p>
              </w:tc>
              <w:tc>
                <w:tcPr>
                  <w:tcW w:w="1230" w:type="dxa"/>
                  <w:tcBorders>
                    <w:tl2br w:val="nil"/>
                    <w:tr2bl w:val="nil"/>
                  </w:tcBorders>
                  <w:vAlign w:val="center"/>
                </w:tcPr>
                <w:p w14:paraId="5108B357">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850" w:type="dxa"/>
                  <w:tcBorders>
                    <w:tl2br w:val="nil"/>
                    <w:tr2bl w:val="nil"/>
                  </w:tcBorders>
                  <w:vAlign w:val="center"/>
                </w:tcPr>
                <w:p w14:paraId="55D4EC8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40</w:t>
                  </w:r>
                </w:p>
              </w:tc>
              <w:tc>
                <w:tcPr>
                  <w:tcW w:w="852" w:type="dxa"/>
                  <w:tcBorders>
                    <w:tl2br w:val="nil"/>
                    <w:tr2bl w:val="nil"/>
                  </w:tcBorders>
                  <w:vAlign w:val="center"/>
                </w:tcPr>
                <w:p w14:paraId="6483657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39</w:t>
                  </w:r>
                </w:p>
              </w:tc>
            </w:tr>
            <w:tr w14:paraId="088D8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55" w:type="dxa"/>
                  <w:tcBorders>
                    <w:tl2br w:val="nil"/>
                    <w:tr2bl w:val="nil"/>
                  </w:tcBorders>
                  <w:vAlign w:val="center"/>
                </w:tcPr>
                <w:p w14:paraId="4ACDA581">
                  <w:pPr>
                    <w:keepLines/>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w:t>
                  </w:r>
                </w:p>
              </w:tc>
              <w:tc>
                <w:tcPr>
                  <w:tcW w:w="4560" w:type="dxa"/>
                  <w:tcBorders>
                    <w:tl2br w:val="nil"/>
                    <w:tr2bl w:val="nil"/>
                  </w:tcBorders>
                  <w:vAlign w:val="center"/>
                </w:tcPr>
                <w:p w14:paraId="4E53221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导线弧垂最大处线路边导线对地投影点北30</w:t>
                  </w:r>
                  <w:r>
                    <w:rPr>
                      <w:rFonts w:ascii="Times New Roman" w:hAnsi="Times New Roman" w:eastAsia="宋体"/>
                      <w:color w:val="000000" w:themeColor="text1"/>
                      <w:spacing w:val="0"/>
                      <w:szCs w:val="21"/>
                      <w:highlight w:val="none"/>
                      <w14:textFill>
                        <w14:solidFill>
                          <w14:schemeClr w14:val="tx1"/>
                        </w14:solidFill>
                      </w14:textFill>
                    </w:rPr>
                    <w:t>m</w:t>
                  </w:r>
                </w:p>
              </w:tc>
              <w:tc>
                <w:tcPr>
                  <w:tcW w:w="1230" w:type="dxa"/>
                  <w:tcBorders>
                    <w:tl2br w:val="nil"/>
                    <w:tr2bl w:val="nil"/>
                  </w:tcBorders>
                  <w:vAlign w:val="center"/>
                </w:tcPr>
                <w:p w14:paraId="665009E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1.5</w:t>
                  </w:r>
                </w:p>
              </w:tc>
              <w:tc>
                <w:tcPr>
                  <w:tcW w:w="850" w:type="dxa"/>
                  <w:tcBorders>
                    <w:tl2br w:val="nil"/>
                    <w:tr2bl w:val="nil"/>
                  </w:tcBorders>
                  <w:vAlign w:val="center"/>
                </w:tcPr>
                <w:p w14:paraId="279991B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39</w:t>
                  </w:r>
                </w:p>
              </w:tc>
              <w:tc>
                <w:tcPr>
                  <w:tcW w:w="852" w:type="dxa"/>
                  <w:tcBorders>
                    <w:tl2br w:val="nil"/>
                    <w:tr2bl w:val="nil"/>
                  </w:tcBorders>
                  <w:vAlign w:val="center"/>
                </w:tcPr>
                <w:p w14:paraId="4977809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38</w:t>
                  </w:r>
                </w:p>
              </w:tc>
            </w:tr>
          </w:tbl>
          <w:p w14:paraId="38B8DBA7">
            <w:pPr>
              <w:spacing w:line="360" w:lineRule="auto"/>
              <w:ind w:firstLine="411" w:firstLineChars="196"/>
              <w:outlineLvl w:val="9"/>
              <w:rPr>
                <w:rFonts w:ascii="Times New Roman" w:hAnsi="Times New Roman" w:eastAsia="宋体"/>
                <w:color w:val="000000" w:themeColor="text1"/>
                <w:spacing w:val="0"/>
                <w:highlight w:val="none"/>
                <w14:textFill>
                  <w14:solidFill>
                    <w14:schemeClr w14:val="tx1"/>
                  </w14:solidFill>
                </w14:textFill>
              </w:rPr>
            </w:pPr>
          </w:p>
          <w:p w14:paraId="26CF65C5">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 xml:space="preserve">7）噪声预测分析 </w:t>
            </w:r>
          </w:p>
          <w:p w14:paraId="7D7FF0B5">
            <w:pPr>
              <w:adjustRightInd w:val="0"/>
              <w:snapToGrid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由表4-</w:t>
            </w:r>
            <w:r>
              <w:rPr>
                <w:rFonts w:hint="eastAsia" w:ascii="Times New Roman" w:hAnsi="Times New Roman" w:eastAsia="宋体"/>
                <w:color w:val="000000" w:themeColor="text1"/>
                <w:spacing w:val="0"/>
                <w:sz w:val="24"/>
                <w:highlight w:val="none"/>
                <w14:textFill>
                  <w14:solidFill>
                    <w14:schemeClr w14:val="tx1"/>
                  </w14:solidFill>
                </w14:textFill>
              </w:rPr>
              <w:t>1</w:t>
            </w:r>
            <w:r>
              <w:rPr>
                <w:rFonts w:hint="eastAsia"/>
                <w:color w:val="000000" w:themeColor="text1"/>
                <w:spacing w:val="0"/>
                <w:sz w:val="24"/>
                <w:highlight w:val="none"/>
                <w:lang w:val="en-US" w:eastAsia="zh-CN"/>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可以看出，</w:t>
            </w:r>
            <w:r>
              <w:rPr>
                <w:rFonts w:hint="eastAsia" w:ascii="Times New Roman" w:hAnsi="Times New Roman" w:eastAsia="宋体"/>
                <w:color w:val="000000" w:themeColor="text1"/>
                <w:spacing w:val="0"/>
                <w:sz w:val="24"/>
                <w:highlight w:val="none"/>
                <w14:textFill>
                  <w14:solidFill>
                    <w14:schemeClr w14:val="tx1"/>
                  </w14:solidFill>
                </w14:textFill>
              </w:rPr>
              <w:t>110kV汉锋单回路断面</w:t>
            </w:r>
            <w:r>
              <w:rPr>
                <w:rFonts w:ascii="Times New Roman" w:hAnsi="Times New Roman" w:eastAsia="宋体"/>
                <w:color w:val="000000" w:themeColor="text1"/>
                <w:spacing w:val="0"/>
                <w:sz w:val="24"/>
                <w:highlight w:val="none"/>
                <w14:textFill>
                  <w14:solidFill>
                    <w14:schemeClr w14:val="tx1"/>
                  </w14:solidFill>
                </w14:textFill>
              </w:rPr>
              <w:t>上的环境噪声昼间</w:t>
            </w:r>
            <w:r>
              <w:rPr>
                <w:rFonts w:hint="eastAsia" w:ascii="Times New Roman" w:hAnsi="Times New Roman" w:eastAsia="宋体"/>
                <w:color w:val="000000" w:themeColor="text1"/>
                <w:spacing w:val="0"/>
                <w:sz w:val="24"/>
                <w:highlight w:val="none"/>
                <w14:textFill>
                  <w14:solidFill>
                    <w14:schemeClr w14:val="tx1"/>
                  </w14:solidFill>
                </w14:textFill>
              </w:rPr>
              <w:t>最大值</w:t>
            </w:r>
            <w:r>
              <w:rPr>
                <w:rFonts w:ascii="Times New Roman" w:hAnsi="Times New Roman" w:eastAsia="宋体"/>
                <w:color w:val="000000" w:themeColor="text1"/>
                <w:spacing w:val="0"/>
                <w:sz w:val="24"/>
                <w:highlight w:val="none"/>
                <w14:textFill>
                  <w14:solidFill>
                    <w14:schemeClr w14:val="tx1"/>
                  </w14:solidFill>
                </w14:textFill>
              </w:rPr>
              <w:t>为</w:t>
            </w:r>
            <w:r>
              <w:rPr>
                <w:rFonts w:hint="eastAsia" w:ascii="Times New Roman" w:hAnsi="Times New Roman" w:eastAsia="宋体"/>
                <w:color w:val="000000" w:themeColor="text1"/>
                <w:spacing w:val="0"/>
                <w:sz w:val="24"/>
                <w:highlight w:val="none"/>
                <w14:textFill>
                  <w14:solidFill>
                    <w14:schemeClr w14:val="tx1"/>
                  </w14:solidFill>
                </w14:textFill>
              </w:rPr>
              <w:t>43</w:t>
            </w:r>
            <w:r>
              <w:rPr>
                <w:rFonts w:ascii="Times New Roman" w:hAnsi="Times New Roman" w:eastAsia="宋体"/>
                <w:color w:val="000000" w:themeColor="text1"/>
                <w:spacing w:val="0"/>
                <w:sz w:val="24"/>
                <w:highlight w:val="none"/>
                <w14:textFill>
                  <w14:solidFill>
                    <w14:schemeClr w14:val="tx1"/>
                  </w14:solidFill>
                </w14:textFill>
              </w:rPr>
              <w:t>dB(A)、夜间</w:t>
            </w:r>
            <w:r>
              <w:rPr>
                <w:rFonts w:hint="eastAsia" w:ascii="Times New Roman" w:hAnsi="Times New Roman" w:eastAsia="宋体"/>
                <w:color w:val="000000" w:themeColor="text1"/>
                <w:spacing w:val="0"/>
                <w:sz w:val="24"/>
                <w:highlight w:val="none"/>
                <w14:textFill>
                  <w14:solidFill>
                    <w14:schemeClr w14:val="tx1"/>
                  </w14:solidFill>
                </w14:textFill>
              </w:rPr>
              <w:t>最大值</w:t>
            </w:r>
            <w:r>
              <w:rPr>
                <w:rFonts w:ascii="Times New Roman" w:hAnsi="Times New Roman" w:eastAsia="宋体"/>
                <w:color w:val="000000" w:themeColor="text1"/>
                <w:spacing w:val="0"/>
                <w:sz w:val="24"/>
                <w:highlight w:val="none"/>
                <w14:textFill>
                  <w14:solidFill>
                    <w14:schemeClr w14:val="tx1"/>
                  </w14:solidFill>
                </w14:textFill>
              </w:rPr>
              <w:t>为</w:t>
            </w:r>
            <w:r>
              <w:rPr>
                <w:rFonts w:hint="eastAsia" w:ascii="Times New Roman" w:hAnsi="Times New Roman" w:eastAsia="宋体"/>
                <w:color w:val="000000" w:themeColor="text1"/>
                <w:spacing w:val="0"/>
                <w:sz w:val="24"/>
                <w:highlight w:val="none"/>
                <w14:textFill>
                  <w14:solidFill>
                    <w14:schemeClr w14:val="tx1"/>
                  </w14:solidFill>
                </w14:textFill>
              </w:rPr>
              <w:t>42</w:t>
            </w:r>
            <w:r>
              <w:rPr>
                <w:rFonts w:ascii="Times New Roman" w:hAnsi="Times New Roman" w:eastAsia="宋体"/>
                <w:color w:val="000000" w:themeColor="text1"/>
                <w:spacing w:val="0"/>
                <w:sz w:val="24"/>
                <w:highlight w:val="none"/>
                <w14:textFill>
                  <w14:solidFill>
                    <w14:schemeClr w14:val="tx1"/>
                  </w14:solidFill>
                </w14:textFill>
              </w:rPr>
              <w:t>dB(A)。</w:t>
            </w:r>
          </w:p>
          <w:p w14:paraId="30424E29">
            <w:pPr>
              <w:adjustRightInd w:val="0"/>
              <w:snapToGrid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根据无限长线声源的几何发散衰减计算公式，本次评价以环境影响最不利原则，选取</w:t>
            </w:r>
            <w:r>
              <w:rPr>
                <w:rFonts w:hint="eastAsia" w:ascii="Times New Roman" w:hAnsi="Times New Roman" w:eastAsia="宋体"/>
                <w:color w:val="000000" w:themeColor="text1"/>
                <w:spacing w:val="0"/>
                <w:sz w:val="24"/>
                <w:highlight w:val="none"/>
                <w14:textFill>
                  <w14:solidFill>
                    <w14:schemeClr w14:val="tx1"/>
                  </w14:solidFill>
                </w14:textFill>
              </w:rPr>
              <w:t>类比</w:t>
            </w:r>
            <w:r>
              <w:rPr>
                <w:rFonts w:ascii="Times New Roman" w:hAnsi="Times New Roman" w:eastAsia="宋体"/>
                <w:color w:val="000000" w:themeColor="text1"/>
                <w:spacing w:val="0"/>
                <w:sz w:val="24"/>
                <w:highlight w:val="none"/>
                <w14:textFill>
                  <w14:solidFill>
                    <w14:schemeClr w14:val="tx1"/>
                  </w14:solidFill>
                </w14:textFill>
              </w:rPr>
              <w:t>线路</w:t>
            </w:r>
            <w:r>
              <w:rPr>
                <w:rFonts w:hint="eastAsia" w:ascii="Times New Roman" w:hAnsi="Times New Roman" w:eastAsia="宋体"/>
                <w:color w:val="000000" w:themeColor="text1"/>
                <w:spacing w:val="0"/>
                <w:sz w:val="24"/>
                <w:highlight w:val="none"/>
                <w14:textFill>
                  <w14:solidFill>
                    <w14:schemeClr w14:val="tx1"/>
                  </w14:solidFill>
                </w14:textFill>
              </w:rPr>
              <w:t>现状监测最大值（未扣除区域背景值）作为</w:t>
            </w:r>
            <w:r>
              <w:rPr>
                <w:rFonts w:ascii="Times New Roman" w:hAnsi="Times New Roman" w:eastAsia="宋体"/>
                <w:color w:val="000000" w:themeColor="text1"/>
                <w:spacing w:val="0"/>
                <w:sz w:val="24"/>
                <w:highlight w:val="none"/>
                <w14:textFill>
                  <w14:solidFill>
                    <w14:schemeClr w14:val="tx1"/>
                  </w14:solidFill>
                </w14:textFill>
              </w:rPr>
              <w:t>贡献值进行评价，即Lp(r)为</w:t>
            </w:r>
            <w:r>
              <w:rPr>
                <w:rFonts w:hint="eastAsia" w:ascii="Times New Roman" w:hAnsi="Times New Roman" w:eastAsia="宋体"/>
                <w:color w:val="000000" w:themeColor="text1"/>
                <w:spacing w:val="0"/>
                <w:sz w:val="24"/>
                <w:highlight w:val="none"/>
                <w14:textFill>
                  <w14:solidFill>
                    <w14:schemeClr w14:val="tx1"/>
                  </w14:solidFill>
                </w14:textFill>
              </w:rPr>
              <w:t>43</w:t>
            </w:r>
            <w:r>
              <w:rPr>
                <w:rFonts w:ascii="Times New Roman" w:hAnsi="Times New Roman" w:eastAsia="宋体"/>
                <w:color w:val="000000" w:themeColor="text1"/>
                <w:spacing w:val="0"/>
                <w:sz w:val="24"/>
                <w:highlight w:val="none"/>
                <w14:textFill>
                  <w14:solidFill>
                    <w14:schemeClr w14:val="tx1"/>
                  </w14:solidFill>
                </w14:textFill>
              </w:rPr>
              <w:t>dB(A)，参数r为</w:t>
            </w:r>
            <w:r>
              <w:rPr>
                <w:rFonts w:hint="eastAsia"/>
                <w:color w:val="000000" w:themeColor="text1"/>
                <w:spacing w:val="0"/>
                <w:sz w:val="24"/>
                <w:highlight w:val="none"/>
                <w:lang w:val="en-US" w:eastAsia="zh-CN"/>
                <w14:textFill>
                  <w14:solidFill>
                    <w14:schemeClr w14:val="tx1"/>
                  </w14:solidFill>
                </w14:textFill>
              </w:rPr>
              <w:t>8.5</w:t>
            </w:r>
            <w:r>
              <w:rPr>
                <w:rFonts w:ascii="Times New Roman" w:hAnsi="Times New Roman" w:eastAsia="宋体"/>
                <w:color w:val="000000" w:themeColor="text1"/>
                <w:spacing w:val="0"/>
                <w:sz w:val="24"/>
                <w:highlight w:val="none"/>
                <w14:textFill>
                  <w14:solidFill>
                    <w14:schemeClr w14:val="tx1"/>
                  </w14:solidFill>
                </w14:textFill>
              </w:rPr>
              <w:t>m，r0为</w:t>
            </w:r>
            <w:r>
              <w:rPr>
                <w:rFonts w:hint="eastAsia"/>
                <w:color w:val="000000" w:themeColor="text1"/>
                <w:spacing w:val="0"/>
                <w:sz w:val="24"/>
                <w:highlight w:val="none"/>
                <w:lang w:val="en-US" w:eastAsia="zh-CN"/>
                <w14:textFill>
                  <w14:solidFill>
                    <w14:schemeClr w14:val="tx1"/>
                  </w14:solidFill>
                </w14:textFill>
              </w:rPr>
              <w:t>10.5</w:t>
            </w:r>
            <w:r>
              <w:rPr>
                <w:rFonts w:ascii="Times New Roman" w:hAnsi="Times New Roman" w:eastAsia="宋体"/>
                <w:color w:val="000000" w:themeColor="text1"/>
                <w:spacing w:val="0"/>
                <w:sz w:val="24"/>
                <w:highlight w:val="none"/>
                <w14:textFill>
                  <w14:solidFill>
                    <w14:schemeClr w14:val="tx1"/>
                  </w14:solidFill>
                </w14:textFill>
              </w:rPr>
              <w:t>m，可得出</w:t>
            </w:r>
            <w:r>
              <w:rPr>
                <w:rFonts w:hint="eastAsia" w:ascii="Times New Roman" w:hAnsi="Times New Roman" w:eastAsia="宋体"/>
                <w:color w:val="000000" w:themeColor="text1"/>
                <w:spacing w:val="0"/>
                <w:sz w:val="24"/>
                <w:highlight w:val="none"/>
                <w14:textFill>
                  <w14:solidFill>
                    <w14:schemeClr w14:val="tx1"/>
                  </w14:solidFill>
                </w14:textFill>
              </w:rPr>
              <w:t>类比单</w:t>
            </w:r>
            <w:r>
              <w:rPr>
                <w:rFonts w:ascii="Times New Roman" w:hAnsi="Times New Roman" w:eastAsia="宋体"/>
                <w:color w:val="000000" w:themeColor="text1"/>
                <w:spacing w:val="0"/>
                <w:sz w:val="24"/>
                <w:highlight w:val="none"/>
                <w14:textFill>
                  <w14:solidFill>
                    <w14:schemeClr w14:val="tx1"/>
                  </w14:solidFill>
                </w14:textFill>
              </w:rPr>
              <w:t>回路线路导线对地高度为</w:t>
            </w:r>
            <w:r>
              <w:rPr>
                <w:rFonts w:hint="eastAsia"/>
                <w:color w:val="000000" w:themeColor="text1"/>
                <w:spacing w:val="0"/>
                <w:sz w:val="24"/>
                <w:highlight w:val="none"/>
                <w:lang w:val="en-US" w:eastAsia="zh-CN"/>
                <w14:textFill>
                  <w14:solidFill>
                    <w14:schemeClr w14:val="tx1"/>
                  </w14:solidFill>
                </w14:textFill>
              </w:rPr>
              <w:t>10</w:t>
            </w:r>
            <w:r>
              <w:rPr>
                <w:rFonts w:ascii="Times New Roman" w:hAnsi="Times New Roman" w:eastAsia="宋体"/>
                <w:color w:val="000000" w:themeColor="text1"/>
                <w:spacing w:val="0"/>
                <w:sz w:val="24"/>
                <w:highlight w:val="none"/>
                <w14:textFill>
                  <w14:solidFill>
                    <w14:schemeClr w14:val="tx1"/>
                  </w14:solidFill>
                </w14:textFill>
              </w:rPr>
              <w:t>m时，线下噪声贡献值为</w:t>
            </w:r>
            <w:r>
              <w:rPr>
                <w:rFonts w:hint="eastAsia" w:ascii="Times New Roman" w:hAnsi="Times New Roman" w:eastAsia="宋体"/>
                <w:color w:val="000000" w:themeColor="text1"/>
                <w:spacing w:val="0"/>
                <w:sz w:val="24"/>
                <w:highlight w:val="none"/>
                <w14:textFill>
                  <w14:solidFill>
                    <w14:schemeClr w14:val="tx1"/>
                  </w14:solidFill>
                </w14:textFill>
              </w:rPr>
              <w:t>4</w:t>
            </w:r>
            <w:r>
              <w:rPr>
                <w:rFonts w:hint="eastAsia"/>
                <w:color w:val="000000" w:themeColor="text1"/>
                <w:spacing w:val="0"/>
                <w:sz w:val="24"/>
                <w:highlight w:val="none"/>
                <w:lang w:val="en-US" w:eastAsia="zh-CN"/>
                <w14:textFill>
                  <w14:solidFill>
                    <w14:schemeClr w14:val="tx1"/>
                  </w14:solidFill>
                </w14:textFill>
              </w:rPr>
              <w:t>4</w:t>
            </w:r>
            <w:r>
              <w:rPr>
                <w:rFonts w:ascii="Times New Roman" w:hAnsi="Times New Roman" w:eastAsia="宋体"/>
                <w:color w:val="000000" w:themeColor="text1"/>
                <w:spacing w:val="0"/>
                <w:sz w:val="24"/>
                <w:highlight w:val="none"/>
                <w14:textFill>
                  <w14:solidFill>
                    <w14:schemeClr w14:val="tx1"/>
                  </w14:solidFill>
                </w14:textFill>
              </w:rPr>
              <w:t>dB(A)。本工程</w:t>
            </w:r>
            <w:r>
              <w:rPr>
                <w:rFonts w:hint="eastAsia" w:ascii="Times New Roman" w:hAnsi="Times New Roman" w:eastAsia="宋体"/>
                <w:color w:val="000000" w:themeColor="text1"/>
                <w:spacing w:val="0"/>
                <w:sz w:val="24"/>
                <w:highlight w:val="none"/>
                <w14:textFill>
                  <w14:solidFill>
                    <w14:schemeClr w14:val="tx1"/>
                  </w14:solidFill>
                </w14:textFill>
              </w:rPr>
              <w:t>单回路段</w:t>
            </w:r>
            <w:r>
              <w:rPr>
                <w:rFonts w:ascii="Times New Roman" w:hAnsi="Times New Roman" w:eastAsia="宋体"/>
                <w:color w:val="000000" w:themeColor="text1"/>
                <w:spacing w:val="0"/>
                <w:sz w:val="24"/>
                <w:highlight w:val="none"/>
                <w14:textFill>
                  <w14:solidFill>
                    <w14:schemeClr w14:val="tx1"/>
                  </w14:solidFill>
                </w14:textFill>
              </w:rPr>
              <w:t>与类比工程的电压等级、架设方式</w:t>
            </w:r>
            <w:r>
              <w:rPr>
                <w:rFonts w:hint="eastAsia" w:ascii="Times New Roman" w:hAnsi="Times New Roman" w:eastAsia="宋体"/>
                <w:color w:val="000000" w:themeColor="text1"/>
                <w:spacing w:val="0"/>
                <w:sz w:val="24"/>
                <w:highlight w:val="none"/>
                <w14:textFill>
                  <w14:solidFill>
                    <w14:schemeClr w14:val="tx1"/>
                  </w14:solidFill>
                </w14:textFill>
              </w:rPr>
              <w:t>相同</w:t>
            </w:r>
            <w:r>
              <w:rPr>
                <w:rFonts w:ascii="Times New Roman" w:hAnsi="Times New Roman" w:eastAsia="宋体"/>
                <w:color w:val="000000" w:themeColor="text1"/>
                <w:spacing w:val="0"/>
                <w:sz w:val="24"/>
                <w:highlight w:val="none"/>
                <w14:textFill>
                  <w14:solidFill>
                    <w14:schemeClr w14:val="tx1"/>
                  </w14:solidFill>
                </w14:textFill>
              </w:rPr>
              <w:t>、导线型号</w:t>
            </w:r>
            <w:r>
              <w:rPr>
                <w:rFonts w:hint="eastAsia" w:ascii="Times New Roman" w:hAnsi="Times New Roman" w:eastAsia="宋体"/>
                <w:color w:val="000000" w:themeColor="text1"/>
                <w:spacing w:val="0"/>
                <w:sz w:val="24"/>
                <w:highlight w:val="none"/>
                <w14:textFill>
                  <w14:solidFill>
                    <w14:schemeClr w14:val="tx1"/>
                  </w14:solidFill>
                </w14:textFill>
              </w:rPr>
              <w:t>相似</w:t>
            </w:r>
            <w:r>
              <w:rPr>
                <w:rFonts w:ascii="Times New Roman" w:hAnsi="Times New Roman" w:eastAsia="宋体"/>
                <w:color w:val="000000" w:themeColor="text1"/>
                <w:spacing w:val="0"/>
                <w:sz w:val="24"/>
                <w:highlight w:val="none"/>
                <w14:textFill>
                  <w14:solidFill>
                    <w14:schemeClr w14:val="tx1"/>
                  </w14:solidFill>
                </w14:textFill>
              </w:rPr>
              <w:t>，且工程所在地环境条件相似，由此可知，本项目</w:t>
            </w:r>
            <w:r>
              <w:rPr>
                <w:rFonts w:hint="eastAsia" w:ascii="Times New Roman" w:hAnsi="Times New Roman" w:eastAsia="宋体"/>
                <w:color w:val="000000" w:themeColor="text1"/>
                <w:spacing w:val="0"/>
                <w:sz w:val="24"/>
                <w:highlight w:val="none"/>
                <w14:textFill>
                  <w14:solidFill>
                    <w14:schemeClr w14:val="tx1"/>
                  </w14:solidFill>
                </w14:textFill>
              </w:rPr>
              <w:t>单回路段</w:t>
            </w:r>
            <w:r>
              <w:rPr>
                <w:rFonts w:ascii="Times New Roman" w:hAnsi="Times New Roman" w:eastAsia="宋体"/>
                <w:color w:val="000000" w:themeColor="text1"/>
                <w:spacing w:val="0"/>
                <w:sz w:val="24"/>
                <w:highlight w:val="none"/>
                <w14:textFill>
                  <w14:solidFill>
                    <w14:schemeClr w14:val="tx1"/>
                  </w14:solidFill>
                </w14:textFill>
              </w:rPr>
              <w:t>经过非居民区时，导线对地高度为</w:t>
            </w:r>
            <w:r>
              <w:rPr>
                <w:rFonts w:hint="eastAsia"/>
                <w:color w:val="000000" w:themeColor="text1"/>
                <w:spacing w:val="0"/>
                <w:sz w:val="24"/>
                <w:highlight w:val="none"/>
                <w:lang w:val="en-US" w:eastAsia="zh-CN"/>
                <w14:textFill>
                  <w14:solidFill>
                    <w14:schemeClr w14:val="tx1"/>
                  </w14:solidFill>
                </w14:textFill>
              </w:rPr>
              <w:t>10</w:t>
            </w:r>
            <w:r>
              <w:rPr>
                <w:rFonts w:ascii="Times New Roman" w:hAnsi="Times New Roman" w:eastAsia="宋体"/>
                <w:color w:val="000000" w:themeColor="text1"/>
                <w:spacing w:val="0"/>
                <w:sz w:val="24"/>
                <w:highlight w:val="none"/>
                <w14:textFill>
                  <w14:solidFill>
                    <w14:schemeClr w14:val="tx1"/>
                  </w14:solidFill>
                </w14:textFill>
              </w:rPr>
              <w:t>m时，线路噪声贡献值也满足《声环境质量标准》（GB3096-2008）中</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1</w:t>
            </w:r>
            <w:r>
              <w:rPr>
                <w:rFonts w:ascii="Times New Roman" w:hAnsi="Times New Roman" w:eastAsia="宋体"/>
                <w:color w:val="000000" w:themeColor="text1"/>
                <w:spacing w:val="0"/>
                <w:sz w:val="24"/>
                <w:highlight w:val="none"/>
                <w14:textFill>
                  <w14:solidFill>
                    <w14:schemeClr w14:val="tx1"/>
                  </w14:solidFill>
                </w14:textFill>
              </w:rPr>
              <w:t>类标准要求。</w:t>
            </w:r>
          </w:p>
          <w:p w14:paraId="7ABD3EDA">
            <w:pPr>
              <w:spacing w:line="360" w:lineRule="auto"/>
              <w:ind w:firstLine="472" w:firstLineChars="196"/>
              <w:jc w:val="left"/>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4</w:t>
            </w:r>
            <w:r>
              <w:rPr>
                <w:rFonts w:ascii="Times New Roman" w:hAnsi="Times New Roman" w:eastAsia="宋体"/>
                <w:b/>
                <w:bCs/>
                <w:color w:val="000000" w:themeColor="text1"/>
                <w:spacing w:val="0"/>
                <w:sz w:val="24"/>
                <w:highlight w:val="none"/>
                <w14:textFill>
                  <w14:solidFill>
                    <w14:schemeClr w14:val="tx1"/>
                  </w14:solidFill>
                </w14:textFill>
              </w:rPr>
              <w:t>、地表水环境影响分析</w:t>
            </w:r>
          </w:p>
          <w:p w14:paraId="492127BB">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本项目运行期生活</w:t>
            </w:r>
            <w:r>
              <w:rPr>
                <w:rFonts w:hint="eastAsia" w:ascii="Times New Roman" w:hAnsi="Times New Roman" w:eastAsia="宋体"/>
                <w:color w:val="000000" w:themeColor="text1"/>
                <w:spacing w:val="0"/>
                <w:sz w:val="24"/>
                <w:highlight w:val="none"/>
                <w14:textFill>
                  <w14:solidFill>
                    <w14:schemeClr w14:val="tx1"/>
                  </w14:solidFill>
                </w14:textFill>
              </w:rPr>
              <w:t>污水经化粪池沉淀处理后</w:t>
            </w:r>
            <w:r>
              <w:rPr>
                <w:rFonts w:hint="eastAsia"/>
                <w:color w:val="000000" w:themeColor="text1"/>
                <w:spacing w:val="0"/>
                <w:sz w:val="24"/>
                <w:highlight w:val="none"/>
                <w:lang w:val="en-US" w:eastAsia="zh-CN"/>
                <w14:textFill>
                  <w14:solidFill>
                    <w14:schemeClr w14:val="tx1"/>
                  </w14:solidFill>
                </w14:textFill>
              </w:rPr>
              <w:t>委托环卫部门定期清掏</w:t>
            </w:r>
            <w:r>
              <w:rPr>
                <w:rFonts w:ascii="Times New Roman" w:hAnsi="Times New Roman" w:eastAsia="宋体"/>
                <w:color w:val="000000" w:themeColor="text1"/>
                <w:spacing w:val="0"/>
                <w:sz w:val="24"/>
                <w:highlight w:val="none"/>
                <w14:textFill>
                  <w14:solidFill>
                    <w14:schemeClr w14:val="tx1"/>
                  </w14:solidFill>
                </w14:textFill>
              </w:rPr>
              <w:t>。本项目输电线路工程在运行期不产生废水</w:t>
            </w:r>
            <w:r>
              <w:rPr>
                <w:rFonts w:hint="eastAsia" w:ascii="Times New Roman" w:hAnsi="Times New Roman" w:eastAsia="宋体"/>
                <w:color w:val="000000" w:themeColor="text1"/>
                <w:spacing w:val="0"/>
                <w:sz w:val="24"/>
                <w:highlight w:val="none"/>
                <w14:textFill>
                  <w14:solidFill>
                    <w14:schemeClr w14:val="tx1"/>
                  </w14:solidFill>
                </w14:textFill>
              </w:rPr>
              <w:t>，生活污水产生量不增加。</w:t>
            </w:r>
          </w:p>
          <w:p w14:paraId="17FE1890">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综上所述，本项目对周围水环境</w:t>
            </w:r>
            <w:r>
              <w:rPr>
                <w:rFonts w:hint="eastAsia" w:ascii="Times New Roman" w:hAnsi="Times New Roman" w:eastAsia="宋体"/>
                <w:color w:val="000000" w:themeColor="text1"/>
                <w:spacing w:val="0"/>
                <w:sz w:val="24"/>
                <w:highlight w:val="none"/>
                <w14:textFill>
                  <w14:solidFill>
                    <w14:schemeClr w14:val="tx1"/>
                  </w14:solidFill>
                </w14:textFill>
              </w:rPr>
              <w:t>无影响</w:t>
            </w:r>
            <w:r>
              <w:rPr>
                <w:rFonts w:ascii="Times New Roman" w:hAnsi="Times New Roman" w:eastAsia="宋体"/>
                <w:color w:val="000000" w:themeColor="text1"/>
                <w:spacing w:val="0"/>
                <w:sz w:val="24"/>
                <w:highlight w:val="none"/>
                <w14:textFill>
                  <w14:solidFill>
                    <w14:schemeClr w14:val="tx1"/>
                  </w14:solidFill>
                </w14:textFill>
              </w:rPr>
              <w:t>。</w:t>
            </w:r>
          </w:p>
          <w:p w14:paraId="0A0107CF">
            <w:pPr>
              <w:spacing w:line="360" w:lineRule="auto"/>
              <w:ind w:firstLine="482" w:firstLineChars="200"/>
              <w:jc w:val="left"/>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5</w:t>
            </w:r>
            <w:r>
              <w:rPr>
                <w:rFonts w:ascii="Times New Roman" w:hAnsi="Times New Roman" w:eastAsia="宋体"/>
                <w:b/>
                <w:bCs/>
                <w:color w:val="000000" w:themeColor="text1"/>
                <w:spacing w:val="0"/>
                <w:sz w:val="24"/>
                <w:highlight w:val="none"/>
                <w14:textFill>
                  <w14:solidFill>
                    <w14:schemeClr w14:val="tx1"/>
                  </w14:solidFill>
                </w14:textFill>
              </w:rPr>
              <w:t>、固体废物影响分析</w:t>
            </w:r>
          </w:p>
          <w:p w14:paraId="64954C37">
            <w:pPr>
              <w:pStyle w:val="7"/>
              <w:spacing w:after="0" w:line="360" w:lineRule="auto"/>
              <w:ind w:left="0" w:leftChars="0"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本项目变电站为智能化变电站，运行期无人</w:t>
            </w:r>
            <w:r>
              <w:rPr>
                <w:rFonts w:hint="eastAsia"/>
                <w:color w:val="000000" w:themeColor="text1"/>
                <w:spacing w:val="0"/>
                <w:sz w:val="24"/>
                <w:highlight w:val="none"/>
                <w:lang w:val="en-US" w:eastAsia="zh-CN"/>
                <w14:textFill>
                  <w14:solidFill>
                    <w14:schemeClr w14:val="tx1"/>
                  </w14:solidFill>
                </w14:textFill>
              </w:rPr>
              <w:t>值班门卫值守，门卫少量</w:t>
            </w:r>
            <w:r>
              <w:rPr>
                <w:rFonts w:ascii="Times New Roman" w:hAnsi="Times New Roman" w:eastAsia="宋体"/>
                <w:color w:val="000000" w:themeColor="text1"/>
                <w:spacing w:val="0"/>
                <w:sz w:val="24"/>
                <w:highlight w:val="none"/>
                <w14:textFill>
                  <w14:solidFill>
                    <w14:schemeClr w14:val="tx1"/>
                  </w14:solidFill>
                </w14:textFill>
              </w:rPr>
              <w:t>生活</w:t>
            </w:r>
            <w:r>
              <w:rPr>
                <w:rFonts w:hint="eastAsia" w:ascii="Times New Roman" w:hAnsi="Times New Roman" w:eastAsia="宋体"/>
                <w:color w:val="000000" w:themeColor="text1"/>
                <w:spacing w:val="0"/>
                <w:sz w:val="24"/>
                <w:highlight w:val="none"/>
                <w14:textFill>
                  <w14:solidFill>
                    <w14:schemeClr w14:val="tx1"/>
                  </w14:solidFill>
                </w14:textFill>
              </w:rPr>
              <w:t>垃圾经站内垃圾桶分类集中收集，定期清运至附近垃圾收集点，由环卫部门统一清运处置</w:t>
            </w:r>
            <w:r>
              <w:rPr>
                <w:rFonts w:ascii="Times New Roman" w:hAnsi="Times New Roman" w:eastAsia="宋体"/>
                <w:color w:val="000000" w:themeColor="text1"/>
                <w:spacing w:val="0"/>
                <w:sz w:val="24"/>
                <w:highlight w:val="none"/>
                <w14:textFill>
                  <w14:solidFill>
                    <w14:schemeClr w14:val="tx1"/>
                  </w14:solidFill>
                </w14:textFill>
              </w:rPr>
              <w:t xml:space="preserve">。 </w:t>
            </w:r>
          </w:p>
          <w:p w14:paraId="4E99C6C7">
            <w:pPr>
              <w:pStyle w:val="7"/>
              <w:spacing w:after="0" w:line="360" w:lineRule="auto"/>
              <w:ind w:left="0" w:leftChars="0"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本项目变电站主变压器下方设有事故油坑，铺有卵石层，若主变压器在事故状态下排油或漏油，将经排油</w:t>
            </w:r>
            <w:r>
              <w:rPr>
                <w:rFonts w:hint="eastAsia" w:ascii="Times New Roman" w:hAnsi="Times New Roman" w:eastAsia="宋体"/>
                <w:color w:val="000000" w:themeColor="text1"/>
                <w:spacing w:val="0"/>
                <w:sz w:val="24"/>
                <w:highlight w:val="none"/>
                <w14:textFill>
                  <w14:solidFill>
                    <w14:schemeClr w14:val="tx1"/>
                  </w14:solidFill>
                </w14:textFill>
              </w:rPr>
              <w:t>管</w:t>
            </w:r>
            <w:r>
              <w:rPr>
                <w:rFonts w:ascii="Times New Roman" w:hAnsi="Times New Roman" w:eastAsia="宋体"/>
                <w:color w:val="000000" w:themeColor="text1"/>
                <w:spacing w:val="0"/>
                <w:sz w:val="24"/>
                <w:highlight w:val="none"/>
                <w14:textFill>
                  <w14:solidFill>
                    <w14:schemeClr w14:val="tx1"/>
                  </w14:solidFill>
                </w14:textFill>
              </w:rPr>
              <w:t>到达事故油池，事故油交有危险废物处理资质的单位回收处置。</w:t>
            </w:r>
          </w:p>
          <w:p w14:paraId="7C6B903D">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变电站内变压器为了绝缘和冷却的需要装有变压器油，正常运行工况条件下，无废变压器油产生，变压器故障时或维护等过程中可能产生废变压器油。对照《国家危险废物名录》（202</w:t>
            </w:r>
            <w:r>
              <w:rPr>
                <w:rFonts w:hint="eastAsia" w:ascii="Times New Roman" w:hAnsi="Times New Roman" w:eastAsia="宋体"/>
                <w:color w:val="000000" w:themeColor="text1"/>
                <w:spacing w:val="0"/>
                <w:sz w:val="24"/>
                <w:highlight w:val="none"/>
                <w14:textFill>
                  <w14:solidFill>
                    <w14:schemeClr w14:val="tx1"/>
                  </w14:solidFill>
                </w14:textFill>
              </w:rPr>
              <w:t>5</w:t>
            </w:r>
            <w:r>
              <w:rPr>
                <w:rFonts w:ascii="Times New Roman" w:hAnsi="Times New Roman" w:eastAsia="宋体"/>
                <w:color w:val="000000" w:themeColor="text1"/>
                <w:spacing w:val="0"/>
                <w:sz w:val="24"/>
                <w:highlight w:val="none"/>
                <w14:textFill>
                  <w14:solidFill>
                    <w14:schemeClr w14:val="tx1"/>
                  </w14:solidFill>
                </w14:textFill>
              </w:rPr>
              <w:t xml:space="preserve">年版）废变压器油属于危险废物，废物类别为 HW08，废物代码为 900-220-08。废变压器油应交由有相应资质的危废处理单位处置。 </w:t>
            </w:r>
          </w:p>
          <w:p w14:paraId="45896D18">
            <w:pPr>
              <w:pStyle w:val="7"/>
              <w:spacing w:after="0" w:line="360" w:lineRule="auto"/>
              <w:ind w:left="0" w:leftChars="0"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变电站设有铅蓄电池，当铅蓄电池因发生故障或其他原因无法继续使用需要更换时会产生废弃的铅蓄电池。对照《国家危险废物名录》（202</w:t>
            </w:r>
            <w:r>
              <w:rPr>
                <w:rFonts w:hint="eastAsia" w:ascii="Times New Roman" w:hAnsi="Times New Roman" w:eastAsia="宋体"/>
                <w:color w:val="000000" w:themeColor="text1"/>
                <w:spacing w:val="0"/>
                <w:sz w:val="24"/>
                <w:highlight w:val="none"/>
                <w14:textFill>
                  <w14:solidFill>
                    <w14:schemeClr w14:val="tx1"/>
                  </w14:solidFill>
                </w14:textFill>
              </w:rPr>
              <w:t>5</w:t>
            </w:r>
            <w:r>
              <w:rPr>
                <w:rFonts w:ascii="Times New Roman" w:hAnsi="Times New Roman" w:eastAsia="宋体"/>
                <w:color w:val="000000" w:themeColor="text1"/>
                <w:spacing w:val="0"/>
                <w:sz w:val="24"/>
                <w:highlight w:val="none"/>
                <w14:textFill>
                  <w14:solidFill>
                    <w14:schemeClr w14:val="tx1"/>
                  </w14:solidFill>
                </w14:textFill>
              </w:rPr>
              <w:t>年版）废弃的铅蓄电池属于危险废物，废物类别为 HW31，废物代码为 900-052-31。废弃的铅蓄电池（一般8~12年更换一次）交有危险废物处理资质的单位置换后直接回收，不在站内贮存。</w:t>
            </w:r>
          </w:p>
          <w:p w14:paraId="442B1227">
            <w:pPr>
              <w:pStyle w:val="7"/>
              <w:spacing w:after="0" w:line="360" w:lineRule="auto"/>
              <w:ind w:left="0" w:leftChars="0"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输电线路在运行期间只定期进行巡视和检修。巡检人员所产生的垃圾很少，且严格要求其随身带走，不在当地遗留，因此不会产生固体废物影响。</w:t>
            </w:r>
          </w:p>
          <w:p w14:paraId="4364333E">
            <w:pPr>
              <w:pStyle w:val="7"/>
              <w:spacing w:after="0" w:line="360" w:lineRule="auto"/>
              <w:ind w:left="0" w:leftChars="0"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综上所述，本项目运行后产生的固体废物妥善处理处置后不会污染环境。</w:t>
            </w:r>
          </w:p>
          <w:p w14:paraId="760E9987">
            <w:pPr>
              <w:pStyle w:val="21"/>
              <w:spacing w:line="360" w:lineRule="auto"/>
              <w:ind w:firstLine="482"/>
              <w:jc w:val="left"/>
              <w:outlineLvl w:val="9"/>
              <w:rPr>
                <w:rFonts w:ascii="Times New Roman" w:hAnsi="Times New Roman" w:eastAsia="宋体"/>
                <w:b/>
                <w:color w:val="000000" w:themeColor="text1"/>
                <w:spacing w:val="0"/>
                <w:sz w:val="24"/>
                <w:highlight w:val="none"/>
                <w14:textFill>
                  <w14:solidFill>
                    <w14:schemeClr w14:val="tx1"/>
                  </w14:solidFill>
                </w14:textFill>
              </w:rPr>
            </w:pPr>
            <w:r>
              <w:rPr>
                <w:rFonts w:hint="eastAsia" w:ascii="Times New Roman" w:hAnsi="Times New Roman" w:eastAsia="宋体"/>
                <w:b/>
                <w:color w:val="000000" w:themeColor="text1"/>
                <w:spacing w:val="0"/>
                <w:sz w:val="24"/>
                <w:highlight w:val="none"/>
                <w:lang w:val="en-US" w:eastAsia="zh-CN"/>
                <w14:textFill>
                  <w14:solidFill>
                    <w14:schemeClr w14:val="tx1"/>
                  </w14:solidFill>
                </w14:textFill>
              </w:rPr>
              <w:t>6</w:t>
            </w:r>
            <w:r>
              <w:rPr>
                <w:rFonts w:ascii="Times New Roman" w:hAnsi="Times New Roman" w:eastAsia="宋体"/>
                <w:b/>
                <w:color w:val="000000" w:themeColor="text1"/>
                <w:spacing w:val="0"/>
                <w:sz w:val="24"/>
                <w:highlight w:val="none"/>
                <w14:textFill>
                  <w14:solidFill>
                    <w14:schemeClr w14:val="tx1"/>
                  </w14:solidFill>
                </w14:textFill>
              </w:rPr>
              <w:t>、环境风险分析</w:t>
            </w:r>
          </w:p>
          <w:p w14:paraId="01C94FEB">
            <w:pPr>
              <w:spacing w:line="360" w:lineRule="auto"/>
              <w:ind w:firstLine="482"/>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变电站的主变压器为了绝缘和冷却的需要，其外壳内装有大量的变压器油，在正常运行状态下无变压器油外排。变电站的主变压器为油浸变压器，主变压器下设事故油坑，铺设鹅卵层，四周设有排油</w:t>
            </w:r>
            <w:r>
              <w:rPr>
                <w:rFonts w:hint="eastAsia" w:ascii="Times New Roman" w:hAnsi="Times New Roman" w:eastAsia="宋体"/>
                <w:color w:val="000000" w:themeColor="text1"/>
                <w:spacing w:val="0"/>
                <w:sz w:val="24"/>
                <w:highlight w:val="none"/>
                <w14:textFill>
                  <w14:solidFill>
                    <w14:schemeClr w14:val="tx1"/>
                  </w14:solidFill>
                </w14:textFill>
              </w:rPr>
              <w:t>管</w:t>
            </w:r>
            <w:r>
              <w:rPr>
                <w:rFonts w:ascii="Times New Roman" w:hAnsi="Times New Roman" w:eastAsia="宋体"/>
                <w:color w:val="000000" w:themeColor="text1"/>
                <w:spacing w:val="0"/>
                <w:sz w:val="24"/>
                <w:highlight w:val="none"/>
                <w14:textFill>
                  <w14:solidFill>
                    <w14:schemeClr w14:val="tx1"/>
                  </w14:solidFill>
                </w14:textFill>
              </w:rPr>
              <w:t>与事故油池相连。变压器发生事故时，所有的漏油将渗过卵石层到达事故油坑并通过排油</w:t>
            </w:r>
            <w:r>
              <w:rPr>
                <w:rFonts w:hint="eastAsia" w:ascii="Times New Roman" w:hAnsi="Times New Roman" w:eastAsia="宋体"/>
                <w:color w:val="000000" w:themeColor="text1"/>
                <w:spacing w:val="0"/>
                <w:sz w:val="24"/>
                <w:highlight w:val="none"/>
                <w14:textFill>
                  <w14:solidFill>
                    <w14:schemeClr w14:val="tx1"/>
                  </w14:solidFill>
                </w14:textFill>
              </w:rPr>
              <w:t>管</w:t>
            </w:r>
            <w:r>
              <w:rPr>
                <w:rFonts w:ascii="Times New Roman" w:hAnsi="Times New Roman" w:eastAsia="宋体"/>
                <w:color w:val="000000" w:themeColor="text1"/>
                <w:spacing w:val="0"/>
                <w:sz w:val="24"/>
                <w:highlight w:val="none"/>
                <w14:textFill>
                  <w14:solidFill>
                    <w14:schemeClr w14:val="tx1"/>
                  </w14:solidFill>
                </w14:textFill>
              </w:rPr>
              <w:t>最终进入事故油池，在此过程卵石层起到冷却油的作用，不易发生火灾。废变压器油经事故油池收集后，交有危险废物处理资质的单位回收处置。</w:t>
            </w:r>
          </w:p>
          <w:p w14:paraId="230BAC29">
            <w:pPr>
              <w:spacing w:line="360" w:lineRule="auto"/>
              <w:ind w:firstLine="482"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事故油坑及事故油池设置的合理性分析：</w:t>
            </w:r>
          </w:p>
          <w:p w14:paraId="11D866CF">
            <w:pPr>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事故油坑、排油</w:t>
            </w:r>
            <w:r>
              <w:rPr>
                <w:rFonts w:hint="eastAsia" w:ascii="Times New Roman" w:hAnsi="Times New Roman" w:eastAsia="宋体"/>
                <w:color w:val="000000" w:themeColor="text1"/>
                <w:spacing w:val="0"/>
                <w:sz w:val="24"/>
                <w:highlight w:val="none"/>
                <w14:textFill>
                  <w14:solidFill>
                    <w14:schemeClr w14:val="tx1"/>
                  </w14:solidFill>
                </w14:textFill>
              </w:rPr>
              <w:t>管</w:t>
            </w:r>
            <w:r>
              <w:rPr>
                <w:rFonts w:ascii="Times New Roman" w:hAnsi="Times New Roman" w:eastAsia="宋体"/>
                <w:color w:val="000000" w:themeColor="text1"/>
                <w:spacing w:val="0"/>
                <w:sz w:val="24"/>
                <w:highlight w:val="none"/>
                <w14:textFill>
                  <w14:solidFill>
                    <w14:schemeClr w14:val="tx1"/>
                  </w14:solidFill>
                </w14:textFill>
              </w:rPr>
              <w:t>及事故油池四壁及底面均采取防渗措施，防止废油渗漏产生环境污染事故。本项目在每台主变下均设置有事故油坑，新建</w:t>
            </w:r>
            <w:r>
              <w:rPr>
                <w:rFonts w:hint="eastAsia" w:ascii="Times New Roman" w:hAnsi="Times New Roman" w:eastAsia="宋体"/>
                <w:color w:val="000000" w:themeColor="text1"/>
                <w:spacing w:val="0"/>
                <w:sz w:val="24"/>
                <w:highlight w:val="none"/>
                <w:lang w:eastAsia="zh-CN"/>
                <w14:textFill>
                  <w14:solidFill>
                    <w14:schemeClr w14:val="tx1"/>
                  </w14:solidFill>
                </w14:textFill>
              </w:rPr>
              <w:t>25m</w:t>
            </w:r>
            <w:r>
              <w:rPr>
                <w:rFonts w:hint="eastAsia" w:ascii="Times New Roman" w:hAnsi="Times New Roman" w:eastAsia="宋体"/>
                <w:color w:val="000000" w:themeColor="text1"/>
                <w:spacing w:val="0"/>
                <w:sz w:val="24"/>
                <w:highlight w:val="none"/>
                <w:vertAlign w:val="superscript"/>
                <w:lang w:eastAsia="zh-CN"/>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事故油池1座，</w:t>
            </w:r>
            <w:r>
              <w:rPr>
                <w:rFonts w:ascii="Times New Roman" w:hAnsi="Times New Roman" w:eastAsia="宋体"/>
                <w:color w:val="000000" w:themeColor="text1"/>
                <w:spacing w:val="0"/>
                <w:kern w:val="0"/>
                <w:sz w:val="24"/>
                <w:highlight w:val="none"/>
                <w14:textFill>
                  <w14:solidFill>
                    <w14:schemeClr w14:val="tx1"/>
                  </w14:solidFill>
                </w14:textFill>
              </w:rPr>
              <w:t>单台主变绝缘油最大质量约为21.8t（密度约为0.89t/m</w:t>
            </w:r>
            <w:r>
              <w:rPr>
                <w:rFonts w:ascii="Times New Roman" w:hAnsi="Times New Roman" w:eastAsia="宋体"/>
                <w:color w:val="000000" w:themeColor="text1"/>
                <w:spacing w:val="0"/>
                <w:kern w:val="0"/>
                <w:sz w:val="24"/>
                <w:highlight w:val="none"/>
                <w:vertAlign w:val="superscript"/>
                <w14:textFill>
                  <w14:solidFill>
                    <w14:schemeClr w14:val="tx1"/>
                  </w14:solidFill>
                </w14:textFill>
              </w:rPr>
              <w:t>3</w:t>
            </w:r>
            <w:r>
              <w:rPr>
                <w:rFonts w:ascii="Times New Roman" w:hAnsi="Times New Roman" w:eastAsia="宋体"/>
                <w:color w:val="000000" w:themeColor="text1"/>
                <w:spacing w:val="0"/>
                <w:kern w:val="0"/>
                <w:sz w:val="24"/>
                <w:highlight w:val="none"/>
                <w14:textFill>
                  <w14:solidFill>
                    <w14:schemeClr w14:val="tx1"/>
                  </w14:solidFill>
                </w14:textFill>
              </w:rPr>
              <w:t>），折算体积约为2</w:t>
            </w:r>
            <w:r>
              <w:rPr>
                <w:rFonts w:hint="eastAsia" w:ascii="Times New Roman" w:hAnsi="Times New Roman" w:eastAsia="宋体"/>
                <w:color w:val="000000" w:themeColor="text1"/>
                <w:spacing w:val="0"/>
                <w:kern w:val="0"/>
                <w:sz w:val="24"/>
                <w:highlight w:val="none"/>
                <w14:textFill>
                  <w14:solidFill>
                    <w14:schemeClr w14:val="tx1"/>
                  </w14:solidFill>
                </w14:textFill>
              </w:rPr>
              <w:t>4.5</w:t>
            </w:r>
            <w:r>
              <w:rPr>
                <w:rFonts w:ascii="Times New Roman" w:hAnsi="Times New Roman" w:eastAsia="宋体"/>
                <w:color w:val="000000" w:themeColor="text1"/>
                <w:spacing w:val="0"/>
                <w:kern w:val="0"/>
                <w:sz w:val="24"/>
                <w:highlight w:val="none"/>
                <w14:textFill>
                  <w14:solidFill>
                    <w14:schemeClr w14:val="tx1"/>
                  </w14:solidFill>
                </w14:textFill>
              </w:rPr>
              <w:t>m</w:t>
            </w:r>
            <w:r>
              <w:rPr>
                <w:rFonts w:ascii="Times New Roman" w:hAnsi="Times New Roman" w:eastAsia="宋体"/>
                <w:color w:val="000000" w:themeColor="text1"/>
                <w:spacing w:val="0"/>
                <w:kern w:val="0"/>
                <w:sz w:val="24"/>
                <w:highlight w:val="none"/>
                <w:vertAlign w:val="superscript"/>
                <w14:textFill>
                  <w14:solidFill>
                    <w14:schemeClr w14:val="tx1"/>
                  </w14:solidFill>
                </w14:textFill>
              </w:rPr>
              <w:t>3</w:t>
            </w:r>
            <w:r>
              <w:rPr>
                <w:rFonts w:ascii="Times New Roman" w:hAnsi="Times New Roman" w:eastAsia="宋体"/>
                <w:color w:val="000000" w:themeColor="text1"/>
                <w:spacing w:val="0"/>
                <w:kern w:val="0"/>
                <w:sz w:val="24"/>
                <w:highlight w:val="none"/>
                <w14:textFill>
                  <w14:solidFill>
                    <w14:schemeClr w14:val="tx1"/>
                  </w14:solidFill>
                </w14:textFill>
              </w:rPr>
              <w:t>。事故油池</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可</w:t>
            </w:r>
            <w:r>
              <w:rPr>
                <w:rFonts w:ascii="Times New Roman" w:hAnsi="Times New Roman" w:eastAsia="宋体"/>
                <w:color w:val="000000" w:themeColor="text1"/>
                <w:spacing w:val="0"/>
                <w:kern w:val="0"/>
                <w:sz w:val="24"/>
                <w:highlight w:val="none"/>
                <w14:textFill>
                  <w14:solidFill>
                    <w14:schemeClr w14:val="tx1"/>
                  </w14:solidFill>
                </w14:textFill>
              </w:rPr>
              <w:t>满足变电站单台主变最大油量的100%容量，</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事故油坑的容量约为10m</w:t>
            </w:r>
            <w:r>
              <w:rPr>
                <w:rFonts w:hint="eastAsia" w:ascii="Times New Roman" w:hAnsi="Times New Roman" w:eastAsia="宋体"/>
                <w:color w:val="000000" w:themeColor="text1"/>
                <w:spacing w:val="0"/>
                <w:kern w:val="0"/>
                <w:sz w:val="24"/>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，可满足20%的要求，</w:t>
            </w:r>
            <w:r>
              <w:rPr>
                <w:rFonts w:ascii="Times New Roman" w:hAnsi="Times New Roman" w:eastAsia="宋体"/>
                <w:color w:val="000000" w:themeColor="text1"/>
                <w:spacing w:val="0"/>
                <w:kern w:val="0"/>
                <w:sz w:val="24"/>
                <w:highlight w:val="none"/>
                <w14:textFill>
                  <w14:solidFill>
                    <w14:schemeClr w14:val="tx1"/>
                  </w14:solidFill>
                </w14:textFill>
              </w:rPr>
              <w:t>因此事故油坑、事故油池容积能够满足相关要求，</w:t>
            </w:r>
            <w:r>
              <w:rPr>
                <w:rFonts w:ascii="Times New Roman" w:hAnsi="Times New Roman" w:eastAsia="宋体"/>
                <w:color w:val="000000" w:themeColor="text1"/>
                <w:spacing w:val="0"/>
                <w:sz w:val="24"/>
                <w:highlight w:val="none"/>
                <w14:textFill>
                  <w14:solidFill>
                    <w14:schemeClr w14:val="tx1"/>
                  </w14:solidFill>
                </w14:textFill>
              </w:rPr>
              <w:t>可以确保废变压器油的收集和不外泄。</w:t>
            </w:r>
          </w:p>
          <w:p w14:paraId="35ECC960">
            <w:pPr>
              <w:pStyle w:val="25"/>
              <w:snapToGrid w:val="0"/>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建设单位应定期对电气设备检修、维护，确保变电站内电气设备安全运行，杜绝事故的发生。针对变电站站内可能发生的突发环境事件，建设单位按照国家有关规定制定突发环境事件应急预案，并定期进行演练。</w:t>
            </w:r>
          </w:p>
          <w:p w14:paraId="57F627DD">
            <w:pPr>
              <w:pStyle w:val="25"/>
              <w:snapToGrid w:val="0"/>
              <w:spacing w:line="360" w:lineRule="auto"/>
              <w:ind w:firstLine="480" w:firstLineChars="200"/>
              <w:jc w:val="left"/>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综上所述，本项目变电站运行后采取有效的污染防治措施并配备必要的安全解救设备和工具，潜在的环境风险较小。</w:t>
            </w:r>
          </w:p>
        </w:tc>
      </w:tr>
      <w:tr w14:paraId="69C52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756" w:type="dxa"/>
            <w:vAlign w:val="center"/>
          </w:tcPr>
          <w:p w14:paraId="32568C48">
            <w:pPr>
              <w:pStyle w:val="23"/>
              <w:adjustRightInd w:val="0"/>
              <w:snapToGrid w:val="0"/>
              <w:spacing w:before="0" w:beforeAutospacing="0" w:after="0" w:afterAutospacing="0"/>
              <w:jc w:val="center"/>
              <w:outlineLvl w:val="9"/>
              <w:rPr>
                <w:rFonts w:ascii="Times New Roman" w:hAnsi="Times New Roman" w:eastAsia="宋体"/>
                <w:bCs/>
                <w:color w:val="000000" w:themeColor="text1"/>
                <w:spacing w:val="0"/>
                <w:kern w:val="2"/>
                <w:sz w:val="21"/>
                <w:szCs w:val="21"/>
                <w:highlight w:val="none"/>
                <w14:textFill>
                  <w14:solidFill>
                    <w14:schemeClr w14:val="tx1"/>
                  </w14:solidFill>
                </w14:textFill>
              </w:rPr>
            </w:pPr>
            <w:r>
              <w:rPr>
                <w:rFonts w:ascii="Times New Roman" w:hAnsi="Times New Roman" w:eastAsia="宋体"/>
                <w:bCs/>
                <w:color w:val="000000" w:themeColor="text1"/>
                <w:spacing w:val="0"/>
                <w:kern w:val="2"/>
                <w:highlight w:val="none"/>
                <w14:textFill>
                  <w14:solidFill>
                    <w14:schemeClr w14:val="tx1"/>
                  </w14:solidFill>
                </w14:textFill>
              </w:rPr>
              <w:t>选址选线环境合理性分析</w:t>
            </w:r>
          </w:p>
        </w:tc>
        <w:tc>
          <w:tcPr>
            <w:tcW w:w="8673" w:type="dxa"/>
            <w:tcBorders>
              <w:bottom w:val="single" w:color="auto" w:sz="4" w:space="0"/>
              <w:right w:val="single" w:color="auto" w:sz="4" w:space="0"/>
            </w:tcBorders>
          </w:tcPr>
          <w:p w14:paraId="3D506638">
            <w:pPr>
              <w:autoSpaceDE w:val="0"/>
              <w:autoSpaceDN w:val="0"/>
              <w:spacing w:line="360" w:lineRule="auto"/>
              <w:ind w:firstLine="482" w:firstLineChars="200"/>
              <w:jc w:val="left"/>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4"/>
                <w:highlight w:val="none"/>
                <w14:textFill>
                  <w14:solidFill>
                    <w14:schemeClr w14:val="tx1"/>
                  </w14:solidFill>
                </w14:textFill>
              </w:rPr>
              <w:t>1、</w:t>
            </w:r>
            <w:r>
              <w:rPr>
                <w:rFonts w:ascii="Times New Roman" w:hAnsi="Times New Roman" w:eastAsia="宋体"/>
                <w:b/>
                <w:bCs/>
                <w:color w:val="000000" w:themeColor="text1"/>
                <w:spacing w:val="0"/>
                <w:sz w:val="24"/>
                <w:highlight w:val="none"/>
                <w14:textFill>
                  <w14:solidFill>
                    <w14:schemeClr w14:val="tx1"/>
                  </w14:solidFill>
                </w14:textFill>
              </w:rPr>
              <w:t>与《输变电建设项目环境保护技术要求》选线选址的相符性分析</w:t>
            </w:r>
          </w:p>
          <w:p w14:paraId="506E57CC">
            <w:pPr>
              <w:spacing w:line="360" w:lineRule="auto"/>
              <w:ind w:firstLine="470" w:firstLineChars="196"/>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lang w:val="zh-CN"/>
                <w14:textFill>
                  <w14:solidFill>
                    <w14:schemeClr w14:val="tx1"/>
                  </w14:solidFill>
                </w14:textFill>
              </w:rPr>
              <w:t>根据《输变电建设项目环境保护技术要求》（HJ1113-2020），</w:t>
            </w:r>
            <w:r>
              <w:rPr>
                <w:rFonts w:ascii="Times New Roman" w:hAnsi="Times New Roman" w:eastAsia="宋体"/>
                <w:color w:val="000000" w:themeColor="text1"/>
                <w:spacing w:val="0"/>
                <w:kern w:val="0"/>
                <w:sz w:val="24"/>
                <w:highlight w:val="none"/>
                <w14:textFill>
                  <w14:solidFill>
                    <w14:schemeClr w14:val="tx1"/>
                  </w14:solidFill>
                </w14:textFill>
              </w:rPr>
              <w:t>本项目与HJ1113-2020选址选线要求相符性分析详见表4-</w:t>
            </w:r>
            <w:r>
              <w:rPr>
                <w:rFonts w:hint="eastAsia" w:ascii="Times New Roman" w:hAnsi="Times New Roman" w:eastAsia="宋体"/>
                <w:color w:val="000000" w:themeColor="text1"/>
                <w:spacing w:val="0"/>
                <w:kern w:val="0"/>
                <w:sz w:val="24"/>
                <w:highlight w:val="none"/>
                <w14:textFill>
                  <w14:solidFill>
                    <w14:schemeClr w14:val="tx1"/>
                  </w14:solidFill>
                </w14:textFill>
              </w:rPr>
              <w:t>1</w:t>
            </w:r>
            <w:r>
              <w:rPr>
                <w:rFonts w:hint="eastAsia"/>
                <w:color w:val="000000" w:themeColor="text1"/>
                <w:spacing w:val="0"/>
                <w:kern w:val="0"/>
                <w:sz w:val="24"/>
                <w:highlight w:val="none"/>
                <w:lang w:val="en-US" w:eastAsia="zh-CN"/>
                <w14:textFill>
                  <w14:solidFill>
                    <w14:schemeClr w14:val="tx1"/>
                  </w14:solidFill>
                </w14:textFill>
              </w:rPr>
              <w:t>4</w:t>
            </w:r>
            <w:r>
              <w:rPr>
                <w:rFonts w:ascii="Times New Roman" w:hAnsi="Times New Roman" w:eastAsia="宋体"/>
                <w:color w:val="000000" w:themeColor="text1"/>
                <w:spacing w:val="0"/>
                <w:kern w:val="0"/>
                <w:sz w:val="24"/>
                <w:highlight w:val="none"/>
                <w14:textFill>
                  <w14:solidFill>
                    <w14:schemeClr w14:val="tx1"/>
                  </w14:solidFill>
                </w14:textFill>
              </w:rPr>
              <w:t>。</w:t>
            </w:r>
          </w:p>
          <w:p w14:paraId="342B04B4">
            <w:pPr>
              <w:autoSpaceDE w:val="0"/>
              <w:autoSpaceDN w:val="0"/>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ascii="Times New Roman" w:hAnsi="Times New Roman" w:eastAsia="宋体"/>
                <w:b/>
                <w:bCs/>
                <w:color w:val="000000" w:themeColor="text1"/>
                <w:spacing w:val="0"/>
                <w:sz w:val="24"/>
                <w:highlight w:val="none"/>
                <w14:textFill>
                  <w14:solidFill>
                    <w14:schemeClr w14:val="tx1"/>
                  </w14:solidFill>
                </w14:textFill>
              </w:rPr>
              <w:t>1</w:t>
            </w:r>
            <w:r>
              <w:rPr>
                <w:rFonts w:hint="eastAsia"/>
                <w:b/>
                <w:bCs/>
                <w:color w:val="000000" w:themeColor="text1"/>
                <w:spacing w:val="0"/>
                <w:sz w:val="24"/>
                <w:highlight w:val="none"/>
                <w:lang w:val="en-US" w:eastAsia="zh-CN"/>
                <w14:textFill>
                  <w14:solidFill>
                    <w14:schemeClr w14:val="tx1"/>
                  </w14:solidFill>
                </w14:textFill>
              </w:rPr>
              <w:t>4</w:t>
            </w:r>
            <w:r>
              <w:rPr>
                <w:rFonts w:ascii="Times New Roman" w:hAnsi="Times New Roman" w:eastAsia="宋体"/>
                <w:b/>
                <w:bCs/>
                <w:color w:val="000000" w:themeColor="text1"/>
                <w:spacing w:val="0"/>
                <w:sz w:val="24"/>
                <w:highlight w:val="none"/>
                <w14:textFill>
                  <w14:solidFill>
                    <w14:schemeClr w14:val="tx1"/>
                  </w14:solidFill>
                </w14:textFill>
              </w:rPr>
              <w:t xml:space="preserve">  本项目与（HJ1113-2020）输变电项目选址选线要求相符性分析</w:t>
            </w:r>
          </w:p>
          <w:tbl>
            <w:tblPr>
              <w:tblStyle w:val="26"/>
              <w:tblW w:w="8318" w:type="dxa"/>
              <w:tblInd w:w="9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3948"/>
              <w:gridCol w:w="2922"/>
              <w:gridCol w:w="915"/>
            </w:tblGrid>
            <w:tr w14:paraId="604A6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481" w:type="dxa"/>
                  <w:gridSpan w:val="2"/>
                  <w:vAlign w:val="center"/>
                </w:tcPr>
                <w:p w14:paraId="71602DD4">
                  <w:pPr>
                    <w:autoSpaceDE w:val="0"/>
                    <w:autoSpaceDN w:val="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（HJ1113-2020）输变电项目选址选线要求</w:t>
                  </w:r>
                </w:p>
              </w:tc>
              <w:tc>
                <w:tcPr>
                  <w:tcW w:w="2922" w:type="dxa"/>
                  <w:vAlign w:val="center"/>
                </w:tcPr>
                <w:p w14:paraId="11CAFFF3">
                  <w:pPr>
                    <w:autoSpaceDE w:val="0"/>
                    <w:autoSpaceDN w:val="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本项目对应情况</w:t>
                  </w:r>
                </w:p>
              </w:tc>
              <w:tc>
                <w:tcPr>
                  <w:tcW w:w="915" w:type="dxa"/>
                  <w:vAlign w:val="center"/>
                </w:tcPr>
                <w:p w14:paraId="33C9D057">
                  <w:pPr>
                    <w:autoSpaceDE w:val="0"/>
                    <w:autoSpaceDN w:val="0"/>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相符性</w:t>
                  </w:r>
                </w:p>
              </w:tc>
            </w:tr>
            <w:tr w14:paraId="1844C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20C06AAB">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w:t>
                  </w:r>
                </w:p>
              </w:tc>
              <w:tc>
                <w:tcPr>
                  <w:tcW w:w="3948" w:type="dxa"/>
                  <w:vAlign w:val="center"/>
                </w:tcPr>
                <w:p w14:paraId="10C8F18C">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2922" w:type="dxa"/>
                  <w:vAlign w:val="center"/>
                </w:tcPr>
                <w:p w14:paraId="07E75005">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本项目不涉及自然保护区、饮用水水源保护区等环境敏感区。</w:t>
                  </w:r>
                </w:p>
              </w:tc>
              <w:tc>
                <w:tcPr>
                  <w:tcW w:w="915" w:type="dxa"/>
                  <w:vAlign w:val="center"/>
                </w:tcPr>
                <w:p w14:paraId="4FF58038">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符合</w:t>
                  </w:r>
                </w:p>
              </w:tc>
            </w:tr>
            <w:tr w14:paraId="391E0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22350C3F">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2</w:t>
                  </w:r>
                </w:p>
              </w:tc>
              <w:tc>
                <w:tcPr>
                  <w:tcW w:w="3948" w:type="dxa"/>
                  <w:vAlign w:val="center"/>
                </w:tcPr>
                <w:p w14:paraId="68238BC0">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变电工程在选址时应按终期规模综合考虑进出线走廊规划，避免进出线进入自然保护区、饮用水水源保护区等环境敏感区。</w:t>
                  </w:r>
                </w:p>
              </w:tc>
              <w:tc>
                <w:tcPr>
                  <w:tcW w:w="2922" w:type="dxa"/>
                  <w:vAlign w:val="center"/>
                </w:tcPr>
                <w:p w14:paraId="36B52DCD">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变电站位于</w:t>
                  </w: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固原市黄铎堡镇</w:t>
                  </w:r>
                  <w:r>
                    <w:rPr>
                      <w:rFonts w:ascii="Times New Roman" w:hAnsi="Times New Roman" w:eastAsia="宋体"/>
                      <w:color w:val="000000" w:themeColor="text1"/>
                      <w:spacing w:val="0"/>
                      <w:szCs w:val="21"/>
                      <w:highlight w:val="none"/>
                      <w14:textFill>
                        <w14:solidFill>
                          <w14:schemeClr w14:val="tx1"/>
                        </w14:solidFill>
                      </w14:textFill>
                    </w:rPr>
                    <w:t>，变电站选址已考虑出线走廊规划，变电站进出线没有进入自然保护区、饮用水水源保护区等环境敏感区。</w:t>
                  </w:r>
                </w:p>
              </w:tc>
              <w:tc>
                <w:tcPr>
                  <w:tcW w:w="915" w:type="dxa"/>
                  <w:vAlign w:val="center"/>
                </w:tcPr>
                <w:p w14:paraId="5FAADE46">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符合</w:t>
                  </w:r>
                </w:p>
              </w:tc>
            </w:tr>
            <w:tr w14:paraId="3B2A6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4F9565B6">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w:t>
                  </w:r>
                </w:p>
              </w:tc>
              <w:tc>
                <w:tcPr>
                  <w:tcW w:w="3948" w:type="dxa"/>
                  <w:vAlign w:val="center"/>
                </w:tcPr>
                <w:p w14:paraId="316BD0E2">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户外变电工程及规划架空进出线选址选线时，应关注以居住、医疗卫生、文化教育、科研、行政办公等为主要功能的区域，采取综合措施，减少电磁和声环境影响。</w:t>
                  </w:r>
                </w:p>
              </w:tc>
              <w:tc>
                <w:tcPr>
                  <w:tcW w:w="2922" w:type="dxa"/>
                  <w:vAlign w:val="center"/>
                </w:tcPr>
                <w:p w14:paraId="103938CF">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本项目为</w:t>
                  </w:r>
                  <w:r>
                    <w:rPr>
                      <w:rFonts w:hint="eastAsia"/>
                      <w:color w:val="000000" w:themeColor="text1"/>
                      <w:spacing w:val="0"/>
                      <w:szCs w:val="21"/>
                      <w:highlight w:val="none"/>
                      <w:lang w:val="en-US" w:eastAsia="zh-CN"/>
                      <w14:textFill>
                        <w14:solidFill>
                          <w14:schemeClr w14:val="tx1"/>
                        </w14:solidFill>
                      </w14:textFill>
                    </w:rPr>
                    <w:t>户外</w:t>
                  </w:r>
                  <w:r>
                    <w:rPr>
                      <w:rFonts w:ascii="Times New Roman" w:hAnsi="Times New Roman" w:eastAsia="宋体"/>
                      <w:color w:val="000000" w:themeColor="text1"/>
                      <w:spacing w:val="0"/>
                      <w:szCs w:val="21"/>
                      <w:highlight w:val="none"/>
                      <w14:textFill>
                        <w14:solidFill>
                          <w14:schemeClr w14:val="tx1"/>
                        </w14:solidFill>
                      </w14:textFill>
                    </w:rPr>
                    <w:t>变电站，变电站进出线不涉及居住、医疗卫生、文化教育等为主要功能的区域。</w:t>
                  </w:r>
                </w:p>
              </w:tc>
              <w:tc>
                <w:tcPr>
                  <w:tcW w:w="915" w:type="dxa"/>
                  <w:vAlign w:val="center"/>
                </w:tcPr>
                <w:p w14:paraId="7E451458">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符合</w:t>
                  </w:r>
                </w:p>
              </w:tc>
            </w:tr>
            <w:tr w14:paraId="3998D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64EBA26C">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4</w:t>
                  </w:r>
                </w:p>
              </w:tc>
              <w:tc>
                <w:tcPr>
                  <w:tcW w:w="3948" w:type="dxa"/>
                  <w:vAlign w:val="center"/>
                </w:tcPr>
                <w:p w14:paraId="3EC2F0C9">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同一走廊内的多回输电线路，宜采取同塔多回架设、并行架设等形式，减少新开辟走廊，优化线路走廊间距，降低环境影响。</w:t>
                  </w:r>
                </w:p>
              </w:tc>
              <w:tc>
                <w:tcPr>
                  <w:tcW w:w="2922" w:type="dxa"/>
                  <w:vAlign w:val="center"/>
                </w:tcPr>
                <w:p w14:paraId="579C29E8">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本项目线路为地下电缆</w:t>
                  </w:r>
                  <w:r>
                    <w:rPr>
                      <w:rFonts w:hint="eastAsia" w:ascii="Times New Roman" w:hAnsi="Times New Roman" w:eastAsia="宋体"/>
                      <w:color w:val="000000" w:themeColor="text1"/>
                      <w:spacing w:val="0"/>
                      <w:szCs w:val="21"/>
                      <w:highlight w:val="none"/>
                      <w14:textFill>
                        <w14:solidFill>
                          <w14:schemeClr w14:val="tx1"/>
                        </w14:solidFill>
                      </w14:textFill>
                    </w:rPr>
                    <w:t>及架空线路</w:t>
                  </w:r>
                  <w:r>
                    <w:rPr>
                      <w:rFonts w:ascii="Times New Roman" w:hAnsi="Times New Roman" w:eastAsia="宋体"/>
                      <w:color w:val="000000" w:themeColor="text1"/>
                      <w:spacing w:val="0"/>
                      <w:szCs w:val="21"/>
                      <w:highlight w:val="none"/>
                      <w14:textFill>
                        <w14:solidFill>
                          <w14:schemeClr w14:val="tx1"/>
                        </w14:solidFill>
                      </w14:textFill>
                    </w:rPr>
                    <w:t>，</w:t>
                  </w:r>
                  <w:r>
                    <w:rPr>
                      <w:rFonts w:hint="eastAsia" w:ascii="Times New Roman" w:hAnsi="Times New Roman" w:eastAsia="宋体"/>
                      <w:color w:val="000000" w:themeColor="text1"/>
                      <w:spacing w:val="0"/>
                      <w:szCs w:val="21"/>
                      <w:highlight w:val="none"/>
                      <w14:textFill>
                        <w14:solidFill>
                          <w14:schemeClr w14:val="tx1"/>
                        </w14:solidFill>
                      </w14:textFill>
                    </w:rPr>
                    <w:t>大部分采用同塔双回架设及单回架设</w:t>
                  </w:r>
                  <w:r>
                    <w:rPr>
                      <w:rFonts w:ascii="Times New Roman" w:hAnsi="Times New Roman" w:eastAsia="宋体"/>
                      <w:color w:val="000000" w:themeColor="text1"/>
                      <w:spacing w:val="0"/>
                      <w:szCs w:val="21"/>
                      <w:highlight w:val="none"/>
                      <w14:textFill>
                        <w14:solidFill>
                          <w14:schemeClr w14:val="tx1"/>
                        </w14:solidFill>
                      </w14:textFill>
                    </w:rPr>
                    <w:t>，减少了线路走廊开辟及周围环境的影响。</w:t>
                  </w:r>
                </w:p>
              </w:tc>
              <w:tc>
                <w:tcPr>
                  <w:tcW w:w="915" w:type="dxa"/>
                  <w:vAlign w:val="center"/>
                </w:tcPr>
                <w:p w14:paraId="1D008FC9">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符合</w:t>
                  </w:r>
                </w:p>
              </w:tc>
            </w:tr>
            <w:tr w14:paraId="7F36E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37A64ABD">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5</w:t>
                  </w:r>
                </w:p>
              </w:tc>
              <w:tc>
                <w:tcPr>
                  <w:tcW w:w="3948" w:type="dxa"/>
                  <w:vAlign w:val="center"/>
                </w:tcPr>
                <w:p w14:paraId="018DF57A">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原则上避免在 0 类声环境功能区建设变电工程。</w:t>
                  </w:r>
                </w:p>
              </w:tc>
              <w:tc>
                <w:tcPr>
                  <w:tcW w:w="2922" w:type="dxa"/>
                  <w:vAlign w:val="center"/>
                </w:tcPr>
                <w:p w14:paraId="3E0F015E">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本项目新建变电站位于</w:t>
                  </w:r>
                  <w:r>
                    <w:rPr>
                      <w:rFonts w:hint="eastAsia"/>
                      <w:color w:val="000000" w:themeColor="text1"/>
                      <w:spacing w:val="0"/>
                      <w:szCs w:val="21"/>
                      <w:highlight w:val="none"/>
                      <w:lang w:val="en-US" w:eastAsia="zh-CN"/>
                      <w14:textFill>
                        <w14:solidFill>
                          <w14:schemeClr w14:val="tx1"/>
                        </w14:solidFill>
                      </w14:textFill>
                    </w:rPr>
                    <w:t>乡村区域，属于3096规定的1类、2类声功能区</w:t>
                  </w:r>
                  <w:r>
                    <w:rPr>
                      <w:rFonts w:ascii="Times New Roman" w:hAnsi="Times New Roman" w:eastAsia="宋体"/>
                      <w:color w:val="000000" w:themeColor="text1"/>
                      <w:spacing w:val="0"/>
                      <w:szCs w:val="21"/>
                      <w:highlight w:val="none"/>
                      <w14:textFill>
                        <w14:solidFill>
                          <w14:schemeClr w14:val="tx1"/>
                        </w14:solidFill>
                      </w14:textFill>
                    </w:rPr>
                    <w:t>，不涉及0类声环境功能区。</w:t>
                  </w:r>
                </w:p>
              </w:tc>
              <w:tc>
                <w:tcPr>
                  <w:tcW w:w="915" w:type="dxa"/>
                  <w:vAlign w:val="center"/>
                </w:tcPr>
                <w:p w14:paraId="60B447E4">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符合</w:t>
                  </w:r>
                </w:p>
              </w:tc>
            </w:tr>
            <w:tr w14:paraId="3FE9F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7902742A">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6</w:t>
                  </w:r>
                </w:p>
              </w:tc>
              <w:tc>
                <w:tcPr>
                  <w:tcW w:w="3948" w:type="dxa"/>
                  <w:vAlign w:val="center"/>
                </w:tcPr>
                <w:p w14:paraId="6E2F602C">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变电工程选址时，应综合考虑减少土地占用、植被砍伐和弃土弃渣等，以减少对生态环境的不利影响。</w:t>
                  </w:r>
                </w:p>
              </w:tc>
              <w:tc>
                <w:tcPr>
                  <w:tcW w:w="2922" w:type="dxa"/>
                  <w:vAlign w:val="center"/>
                </w:tcPr>
                <w:p w14:paraId="2A896E00">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本项目新建变电站</w:t>
                  </w:r>
                  <w:r>
                    <w:rPr>
                      <w:rFonts w:hint="default" w:ascii="Times New Roman" w:hAnsi="Times New Roman" w:cs="Times New Roman"/>
                      <w:color w:val="000000" w:themeColor="text1"/>
                      <w:szCs w:val="21"/>
                      <w:highlight w:val="none"/>
                      <w14:textFill>
                        <w14:solidFill>
                          <w14:schemeClr w14:val="tx1"/>
                        </w14:solidFill>
                      </w14:textFill>
                    </w:rPr>
                    <w:t>采用HGIS</w:t>
                  </w:r>
                  <w:r>
                    <w:rPr>
                      <w:rFonts w:hint="eastAsia" w:ascii="Times New Roman" w:hAnsi="Times New Roman" w:cs="Times New Roman"/>
                      <w:color w:val="000000" w:themeColor="text1"/>
                      <w:szCs w:val="21"/>
                      <w:highlight w:val="none"/>
                      <w:lang w:val="en-US" w:eastAsia="zh-CN"/>
                      <w14:textFill>
                        <w14:solidFill>
                          <w14:schemeClr w14:val="tx1"/>
                        </w14:solidFill>
                      </w14:textFill>
                    </w:rPr>
                    <w:t>布置型式</w:t>
                  </w:r>
                  <w:r>
                    <w:rPr>
                      <w:rFonts w:hint="default" w:ascii="Times New Roman" w:hAnsi="Times New Roman" w:cs="Times New Roman"/>
                      <w:color w:val="000000" w:themeColor="text1"/>
                      <w:szCs w:val="21"/>
                      <w:highlight w:val="none"/>
                      <w14:textFill>
                        <w14:solidFill>
                          <w14:schemeClr w14:val="tx1"/>
                        </w14:solidFill>
                      </w14:textFill>
                    </w:rPr>
                    <w:t>，减少了占地面积</w:t>
                  </w:r>
                  <w:r>
                    <w:rPr>
                      <w:rFonts w:hint="eastAsia"/>
                      <w:color w:val="000000" w:themeColor="text1"/>
                      <w:spacing w:val="0"/>
                      <w:szCs w:val="21"/>
                      <w:highlight w:val="none"/>
                      <w:lang w:eastAsia="zh-CN"/>
                      <w14:textFill>
                        <w14:solidFill>
                          <w14:schemeClr w14:val="tx1"/>
                        </w14:solidFill>
                      </w14:textFill>
                    </w:rPr>
                    <w:t>，</w:t>
                  </w:r>
                  <w:r>
                    <w:rPr>
                      <w:rFonts w:hint="eastAsia"/>
                      <w:color w:val="000000" w:themeColor="text1"/>
                      <w:spacing w:val="0"/>
                      <w:szCs w:val="21"/>
                      <w:highlight w:val="none"/>
                      <w:lang w:val="en-US" w:eastAsia="zh-CN"/>
                      <w14:textFill>
                        <w14:solidFill>
                          <w14:schemeClr w14:val="tx1"/>
                        </w14:solidFill>
                      </w14:textFill>
                    </w:rPr>
                    <w:t>总体</w:t>
                  </w:r>
                  <w:r>
                    <w:rPr>
                      <w:rFonts w:ascii="Times New Roman" w:hAnsi="Times New Roman" w:eastAsia="宋体"/>
                      <w:color w:val="000000" w:themeColor="text1"/>
                      <w:spacing w:val="0"/>
                      <w:szCs w:val="21"/>
                      <w:highlight w:val="none"/>
                      <w14:textFill>
                        <w14:solidFill>
                          <w14:schemeClr w14:val="tx1"/>
                        </w14:solidFill>
                      </w14:textFill>
                    </w:rPr>
                    <w:t>占地面积较小，占地类型为</w:t>
                  </w:r>
                  <w:r>
                    <w:rPr>
                      <w:rFonts w:hint="eastAsia"/>
                      <w:color w:val="000000" w:themeColor="text1"/>
                      <w:spacing w:val="0"/>
                      <w:szCs w:val="21"/>
                      <w:highlight w:val="none"/>
                      <w:lang w:val="en-US" w:eastAsia="zh-CN"/>
                      <w14:textFill>
                        <w14:solidFill>
                          <w14:schemeClr w14:val="tx1"/>
                        </w14:solidFill>
                      </w14:textFill>
                    </w:rPr>
                    <w:t>旱地、农村道路</w:t>
                  </w:r>
                  <w:r>
                    <w:rPr>
                      <w:rFonts w:hint="eastAsia" w:ascii="Times New Roman" w:hAnsi="Times New Roman" w:eastAsia="宋体"/>
                      <w:color w:val="000000" w:themeColor="text1"/>
                      <w:spacing w:val="0"/>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占地范围内植被覆盖度低，</w:t>
                  </w:r>
                  <w:r>
                    <w:rPr>
                      <w:rFonts w:ascii="Times New Roman" w:hAnsi="Times New Roman" w:eastAsia="宋体"/>
                      <w:color w:val="000000" w:themeColor="text1"/>
                      <w:spacing w:val="0"/>
                      <w:szCs w:val="21"/>
                      <w:highlight w:val="none"/>
                      <w14:textFill>
                        <w14:solidFill>
                          <w14:schemeClr w14:val="tx1"/>
                        </w14:solidFill>
                      </w14:textFill>
                    </w:rPr>
                    <w:t>减少了对生态环境的影响。</w:t>
                  </w:r>
                </w:p>
              </w:tc>
              <w:tc>
                <w:tcPr>
                  <w:tcW w:w="915" w:type="dxa"/>
                  <w:vAlign w:val="center"/>
                </w:tcPr>
                <w:p w14:paraId="754DACC5">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符合</w:t>
                  </w:r>
                </w:p>
              </w:tc>
            </w:tr>
            <w:tr w14:paraId="33506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0E0DE301">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7</w:t>
                  </w:r>
                </w:p>
              </w:tc>
              <w:tc>
                <w:tcPr>
                  <w:tcW w:w="3948" w:type="dxa"/>
                  <w:vAlign w:val="center"/>
                </w:tcPr>
                <w:p w14:paraId="45CA63A5">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输电线路宜避让集中林区，以减少林木砍伐，保护生态环境。</w:t>
                  </w:r>
                </w:p>
              </w:tc>
              <w:tc>
                <w:tcPr>
                  <w:tcW w:w="2922" w:type="dxa"/>
                  <w:vAlign w:val="center"/>
                </w:tcPr>
                <w:p w14:paraId="005D9952">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本项目</w:t>
                  </w:r>
                  <w:r>
                    <w:rPr>
                      <w:rFonts w:hint="eastAsia" w:ascii="Times New Roman" w:hAnsi="Times New Roman" w:eastAsia="宋体"/>
                      <w:color w:val="000000" w:themeColor="text1"/>
                      <w:spacing w:val="0"/>
                      <w:szCs w:val="21"/>
                      <w:highlight w:val="none"/>
                      <w14:textFill>
                        <w14:solidFill>
                          <w14:schemeClr w14:val="tx1"/>
                        </w14:solidFill>
                      </w14:textFill>
                    </w:rPr>
                    <w:t>不</w:t>
                  </w:r>
                  <w:r>
                    <w:rPr>
                      <w:rFonts w:ascii="Times New Roman" w:hAnsi="Times New Roman" w:eastAsia="宋体"/>
                      <w:color w:val="000000" w:themeColor="text1"/>
                      <w:spacing w:val="0"/>
                      <w:szCs w:val="21"/>
                      <w:highlight w:val="none"/>
                      <w14:textFill>
                        <w14:solidFill>
                          <w14:schemeClr w14:val="tx1"/>
                        </w14:solidFill>
                      </w14:textFill>
                    </w:rPr>
                    <w:t>涉及</w:t>
                  </w:r>
                  <w:r>
                    <w:rPr>
                      <w:rFonts w:hint="eastAsia" w:ascii="Times New Roman" w:hAnsi="Times New Roman" w:eastAsia="宋体"/>
                      <w:color w:val="000000" w:themeColor="text1"/>
                      <w:spacing w:val="0"/>
                      <w:szCs w:val="21"/>
                      <w:highlight w:val="none"/>
                      <w14:textFill>
                        <w14:solidFill>
                          <w14:schemeClr w14:val="tx1"/>
                        </w14:solidFill>
                      </w14:textFill>
                    </w:rPr>
                    <w:t>集中林区</w:t>
                  </w:r>
                  <w:r>
                    <w:rPr>
                      <w:rFonts w:ascii="Times New Roman" w:hAnsi="Times New Roman" w:eastAsia="宋体"/>
                      <w:color w:val="000000" w:themeColor="text1"/>
                      <w:spacing w:val="0"/>
                      <w:szCs w:val="21"/>
                      <w:highlight w:val="none"/>
                      <w14:textFill>
                        <w14:solidFill>
                          <w14:schemeClr w14:val="tx1"/>
                        </w14:solidFill>
                      </w14:textFill>
                    </w:rPr>
                    <w:t>，</w:t>
                  </w:r>
                  <w:r>
                    <w:rPr>
                      <w:rFonts w:hint="eastAsia"/>
                      <w:color w:val="000000" w:themeColor="text1"/>
                      <w:spacing w:val="0"/>
                      <w:szCs w:val="21"/>
                      <w:highlight w:val="none"/>
                      <w:lang w:val="en-US" w:eastAsia="zh-CN"/>
                      <w14:textFill>
                        <w14:solidFill>
                          <w14:schemeClr w14:val="tx1"/>
                        </w14:solidFill>
                      </w14:textFill>
                    </w:rPr>
                    <w:t>不涉及占用林地</w:t>
                  </w:r>
                  <w:r>
                    <w:rPr>
                      <w:rFonts w:ascii="Times New Roman" w:hAnsi="Times New Roman" w:eastAsia="宋体"/>
                      <w:color w:val="000000" w:themeColor="text1"/>
                      <w:spacing w:val="0"/>
                      <w:szCs w:val="21"/>
                      <w:highlight w:val="none"/>
                      <w14:textFill>
                        <w14:solidFill>
                          <w14:schemeClr w14:val="tx1"/>
                        </w14:solidFill>
                      </w14:textFill>
                    </w:rPr>
                    <w:t>。</w:t>
                  </w:r>
                </w:p>
              </w:tc>
              <w:tc>
                <w:tcPr>
                  <w:tcW w:w="915" w:type="dxa"/>
                  <w:vAlign w:val="center"/>
                </w:tcPr>
                <w:p w14:paraId="21CF933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符合</w:t>
                  </w:r>
                </w:p>
              </w:tc>
            </w:tr>
            <w:tr w14:paraId="05F2D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2F1A073B">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8</w:t>
                  </w:r>
                </w:p>
              </w:tc>
              <w:tc>
                <w:tcPr>
                  <w:tcW w:w="3948" w:type="dxa"/>
                  <w:vAlign w:val="center"/>
                </w:tcPr>
                <w:p w14:paraId="149430BD">
                  <w:p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进入自然保护区的输电线路，应按照HJ19的要求开展生态现状调查，避让保护对象的集中分布区。</w:t>
                  </w:r>
                </w:p>
              </w:tc>
              <w:tc>
                <w:tcPr>
                  <w:tcW w:w="2922" w:type="dxa"/>
                  <w:vAlign w:val="center"/>
                </w:tcPr>
                <w:p w14:paraId="141E6F05">
                  <w:pP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本项目工程所在位置不涉及自然保护区</w:t>
                  </w:r>
                  <w:r>
                    <w:rPr>
                      <w:rFonts w:hint="eastAsia"/>
                      <w:color w:val="000000" w:themeColor="text1"/>
                      <w:spacing w:val="0"/>
                      <w:szCs w:val="21"/>
                      <w:highlight w:val="none"/>
                      <w:lang w:eastAsia="zh-CN"/>
                      <w14:textFill>
                        <w14:solidFill>
                          <w14:schemeClr w14:val="tx1"/>
                        </w14:solidFill>
                      </w14:textFill>
                    </w:rPr>
                    <w:t>。</w:t>
                  </w:r>
                </w:p>
              </w:tc>
              <w:tc>
                <w:tcPr>
                  <w:tcW w:w="915" w:type="dxa"/>
                  <w:vAlign w:val="center"/>
                </w:tcPr>
                <w:p w14:paraId="6E95DAAC">
                  <w:pPr>
                    <w:autoSpaceDE w:val="0"/>
                    <w:autoSpaceDN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符合</w:t>
                  </w:r>
                </w:p>
              </w:tc>
            </w:tr>
          </w:tbl>
          <w:p w14:paraId="50981F2C">
            <w:pPr>
              <w:pStyle w:val="7"/>
              <w:ind w:left="0" w:leftChars="0" w:firstLine="0"/>
              <w:outlineLvl w:val="9"/>
              <w:rPr>
                <w:rFonts w:ascii="Times New Roman" w:hAnsi="Times New Roman" w:eastAsia="宋体"/>
                <w:color w:val="000000" w:themeColor="text1"/>
                <w:spacing w:val="0"/>
                <w:sz w:val="24"/>
                <w:highlight w:val="none"/>
                <w14:textFill>
                  <w14:solidFill>
                    <w14:schemeClr w14:val="tx1"/>
                  </w14:solidFill>
                </w14:textFill>
              </w:rPr>
            </w:pPr>
          </w:p>
          <w:p w14:paraId="76F0A9F5">
            <w:pPr>
              <w:tabs>
                <w:tab w:val="left" w:pos="1470"/>
              </w:tabs>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综上所述，本项目选址选线</w:t>
            </w:r>
            <w:r>
              <w:rPr>
                <w:rFonts w:hint="eastAsia"/>
                <w:color w:val="000000" w:themeColor="text1"/>
                <w:spacing w:val="0"/>
                <w:sz w:val="24"/>
                <w:highlight w:val="none"/>
                <w:lang w:val="en-US" w:eastAsia="zh-CN"/>
                <w14:textFill>
                  <w14:solidFill>
                    <w14:schemeClr w14:val="tx1"/>
                  </w14:solidFill>
                </w14:textFill>
              </w:rPr>
              <w:t>不涉及</w:t>
            </w:r>
            <w:r>
              <w:rPr>
                <w:rFonts w:ascii="Times New Roman" w:hAnsi="Times New Roman" w:eastAsia="宋体"/>
                <w:color w:val="000000" w:themeColor="text1"/>
                <w:spacing w:val="0"/>
                <w:sz w:val="24"/>
                <w:highlight w:val="none"/>
                <w14:textFill>
                  <w14:solidFill>
                    <w14:schemeClr w14:val="tx1"/>
                  </w14:solidFill>
                </w14:textFill>
              </w:rPr>
              <w:t>生态保护红线、自然保护区、饮用水水源保护区等环境敏感区，避开了居住</w:t>
            </w:r>
            <w:r>
              <w:rPr>
                <w:rFonts w:hint="eastAsia" w:ascii="Times New Roman" w:hAnsi="Times New Roman" w:eastAsia="宋体"/>
                <w:color w:val="000000" w:themeColor="text1"/>
                <w:spacing w:val="0"/>
                <w:sz w:val="24"/>
                <w:highlight w:val="none"/>
                <w14:textFill>
                  <w14:solidFill>
                    <w14:schemeClr w14:val="tx1"/>
                  </w14:solidFill>
                </w14:textFill>
              </w:rPr>
              <w:t>集中区</w:t>
            </w:r>
            <w:r>
              <w:rPr>
                <w:rFonts w:ascii="Times New Roman" w:hAnsi="Times New Roman" w:eastAsia="宋体"/>
                <w:color w:val="000000" w:themeColor="text1"/>
                <w:spacing w:val="0"/>
                <w:sz w:val="24"/>
                <w:highlight w:val="none"/>
                <w14:textFill>
                  <w14:solidFill>
                    <w14:schemeClr w14:val="tx1"/>
                  </w14:solidFill>
                </w14:textFill>
              </w:rPr>
              <w:t>、医疗卫生、文化教育、科研、行政办公等为主要功能的区域。本项目变电站在选址时已按照终期规模综合考虑进出线走廊规划，进出线不会进入自然保护区、饮用水水源保护区等环境敏感区；变电站</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未在0</w:t>
            </w:r>
            <w:r>
              <w:rPr>
                <w:rFonts w:ascii="Times New Roman" w:hAnsi="Times New Roman" w:eastAsia="宋体"/>
                <w:color w:val="000000" w:themeColor="text1"/>
                <w:spacing w:val="0"/>
                <w:sz w:val="24"/>
                <w:highlight w:val="none"/>
                <w14:textFill>
                  <w14:solidFill>
                    <w14:schemeClr w14:val="tx1"/>
                  </w14:solidFill>
                </w14:textFill>
              </w:rPr>
              <w:t>类声环境功能区建设；本项目线路优化设计，</w:t>
            </w:r>
            <w:r>
              <w:rPr>
                <w:rFonts w:hint="eastAsia" w:ascii="Times New Roman" w:hAnsi="Times New Roman" w:eastAsia="宋体"/>
                <w:color w:val="000000" w:themeColor="text1"/>
                <w:spacing w:val="0"/>
                <w:sz w:val="24"/>
                <w:highlight w:val="none"/>
                <w14:textFill>
                  <w14:solidFill>
                    <w14:schemeClr w14:val="tx1"/>
                  </w14:solidFill>
                </w14:textFill>
              </w:rPr>
              <w:t>部分</w:t>
            </w:r>
            <w:r>
              <w:rPr>
                <w:rFonts w:ascii="Times New Roman" w:hAnsi="Times New Roman" w:eastAsia="宋体"/>
                <w:color w:val="000000" w:themeColor="text1"/>
                <w:spacing w:val="0"/>
                <w:sz w:val="24"/>
                <w:highlight w:val="none"/>
                <w14:textFill>
                  <w14:solidFill>
                    <w14:schemeClr w14:val="tx1"/>
                  </w14:solidFill>
                </w14:textFill>
              </w:rPr>
              <w:t>采用</w:t>
            </w:r>
            <w:r>
              <w:rPr>
                <w:rFonts w:hint="eastAsia" w:ascii="Times New Roman" w:hAnsi="Times New Roman" w:eastAsia="宋体"/>
                <w:color w:val="000000" w:themeColor="text1"/>
                <w:spacing w:val="0"/>
                <w:sz w:val="24"/>
                <w:highlight w:val="none"/>
                <w14:textFill>
                  <w14:solidFill>
                    <w14:schemeClr w14:val="tx1"/>
                  </w14:solidFill>
                </w14:textFill>
              </w:rPr>
              <w:t>地下电缆</w:t>
            </w:r>
            <w:r>
              <w:rPr>
                <w:rFonts w:ascii="Times New Roman" w:hAnsi="Times New Roman" w:eastAsia="宋体"/>
                <w:color w:val="000000" w:themeColor="text1"/>
                <w:spacing w:val="0"/>
                <w:sz w:val="24"/>
                <w:highlight w:val="none"/>
                <w14:textFill>
                  <w14:solidFill>
                    <w14:schemeClr w14:val="tx1"/>
                  </w14:solidFill>
                </w14:textFill>
              </w:rPr>
              <w:t>，减少了土地占用、植被破坏、土石方产生量，土壤扰动相对较小。</w:t>
            </w:r>
            <w:r>
              <w:rPr>
                <w:rFonts w:ascii="Times New Roman" w:hAnsi="Times New Roman" w:eastAsia="宋体"/>
                <w:bCs/>
                <w:color w:val="000000" w:themeColor="text1"/>
                <w:spacing w:val="0"/>
                <w:sz w:val="24"/>
                <w:highlight w:val="none"/>
                <w14:textFill>
                  <w14:solidFill>
                    <w14:schemeClr w14:val="tx1"/>
                  </w14:solidFill>
                </w14:textFill>
              </w:rPr>
              <w:t>本项目为</w:t>
            </w:r>
            <w:r>
              <w:rPr>
                <w:rFonts w:hint="eastAsia" w:ascii="Times New Roman" w:hAnsi="Times New Roman" w:eastAsia="宋体"/>
                <w:bCs/>
                <w:color w:val="000000" w:themeColor="text1"/>
                <w:spacing w:val="0"/>
                <w:sz w:val="24"/>
                <w:highlight w:val="none"/>
                <w14:textFill>
                  <w14:solidFill>
                    <w14:schemeClr w14:val="tx1"/>
                  </w14:solidFill>
                </w14:textFill>
              </w:rPr>
              <w:t>输变电工程项目，</w:t>
            </w:r>
            <w:r>
              <w:rPr>
                <w:rFonts w:ascii="Times New Roman" w:hAnsi="Times New Roman" w:eastAsia="宋体"/>
                <w:color w:val="000000" w:themeColor="text1"/>
                <w:spacing w:val="0"/>
                <w:sz w:val="24"/>
                <w:highlight w:val="none"/>
                <w14:textFill>
                  <w14:solidFill>
                    <w14:schemeClr w14:val="tx1"/>
                  </w14:solidFill>
                </w14:textFill>
              </w:rPr>
              <w:t>运行期产生的污染物较少，在落实本项目环境影响评价报告表提出的各项污染防治措施后，对周围环境的影响很小。站址方案已取得</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相关部门的同意</w:t>
            </w:r>
            <w:r>
              <w:rPr>
                <w:rFonts w:ascii="Times New Roman" w:hAnsi="Times New Roman" w:eastAsia="宋体"/>
                <w:color w:val="000000" w:themeColor="text1"/>
                <w:spacing w:val="0"/>
                <w:sz w:val="24"/>
                <w:highlight w:val="none"/>
                <w14:textFill>
                  <w14:solidFill>
                    <w14:schemeClr w14:val="tx1"/>
                  </w14:solidFill>
                </w14:textFill>
              </w:rPr>
              <w:t>，符合地方规划要求，不存在环境制约因素。</w:t>
            </w:r>
          </w:p>
          <w:p w14:paraId="09B50715">
            <w:pPr>
              <w:autoSpaceDE w:val="0"/>
              <w:autoSpaceDN w:val="0"/>
              <w:spacing w:line="360" w:lineRule="auto"/>
              <w:jc w:val="left"/>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2、线路路径协议情况</w:t>
            </w:r>
          </w:p>
          <w:p w14:paraId="00DD537A">
            <w:pPr>
              <w:pStyle w:val="25"/>
              <w:ind w:firstLine="24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本项目已取得线路沿线相关部门的选线意见，见表4-</w:t>
            </w:r>
            <w:r>
              <w:rPr>
                <w:rFonts w:hint="eastAsia" w:ascii="Times New Roman" w:hAnsi="Times New Roman" w:eastAsia="宋体"/>
                <w:color w:val="000000" w:themeColor="text1"/>
                <w:spacing w:val="0"/>
                <w:sz w:val="24"/>
                <w:highlight w:val="none"/>
                <w14:textFill>
                  <w14:solidFill>
                    <w14:schemeClr w14:val="tx1"/>
                  </w14:solidFill>
                </w14:textFill>
              </w:rPr>
              <w:t>1</w:t>
            </w:r>
            <w:r>
              <w:rPr>
                <w:rFonts w:hint="eastAsia" w:ascii="Times New Roman" w:hAnsi="Times New Roman"/>
                <w:color w:val="000000" w:themeColor="text1"/>
                <w:spacing w:val="0"/>
                <w:sz w:val="24"/>
                <w:highlight w:val="none"/>
                <w:lang w:val="en-US" w:eastAsia="zh-CN"/>
                <w14:textFill>
                  <w14:solidFill>
                    <w14:schemeClr w14:val="tx1"/>
                  </w14:solidFill>
                </w14:textFill>
              </w:rPr>
              <w:t>5</w:t>
            </w:r>
            <w:r>
              <w:rPr>
                <w:rFonts w:ascii="Times New Roman" w:hAnsi="Times New Roman" w:eastAsia="宋体"/>
                <w:color w:val="000000" w:themeColor="text1"/>
                <w:spacing w:val="0"/>
                <w:sz w:val="24"/>
                <w:highlight w:val="none"/>
                <w14:textFill>
                  <w14:solidFill>
                    <w14:schemeClr w14:val="tx1"/>
                  </w14:solidFill>
                </w14:textFill>
              </w:rPr>
              <w:t>。</w:t>
            </w:r>
          </w:p>
          <w:p w14:paraId="0CA5415A">
            <w:pPr>
              <w:jc w:val="center"/>
              <w:outlineLvl w:val="9"/>
              <w:rPr>
                <w:rFonts w:ascii="Times New Roman" w:hAnsi="Times New Roman" w:eastAsia="宋体"/>
                <w:b/>
                <w:bCs/>
                <w:color w:val="000000" w:themeColor="text1"/>
                <w:spacing w:val="0"/>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表4-</w:t>
            </w:r>
            <w:r>
              <w:rPr>
                <w:rFonts w:hint="eastAsia" w:ascii="Times New Roman" w:hAnsi="Times New Roman" w:eastAsia="宋体"/>
                <w:b/>
                <w:bCs/>
                <w:color w:val="000000" w:themeColor="text1"/>
                <w:spacing w:val="0"/>
                <w:sz w:val="24"/>
                <w:highlight w:val="none"/>
                <w14:textFill>
                  <w14:solidFill>
                    <w14:schemeClr w14:val="tx1"/>
                  </w14:solidFill>
                </w14:textFill>
              </w:rPr>
              <w:t>1</w:t>
            </w:r>
            <w:r>
              <w:rPr>
                <w:rFonts w:hint="eastAsia"/>
                <w:b/>
                <w:bCs/>
                <w:color w:val="000000" w:themeColor="text1"/>
                <w:spacing w:val="0"/>
                <w:sz w:val="24"/>
                <w:highlight w:val="none"/>
                <w:lang w:val="en-US" w:eastAsia="zh-CN"/>
                <w14:textFill>
                  <w14:solidFill>
                    <w14:schemeClr w14:val="tx1"/>
                  </w14:solidFill>
                </w14:textFill>
              </w:rPr>
              <w:t>5</w:t>
            </w:r>
            <w:r>
              <w:rPr>
                <w:rFonts w:ascii="Times New Roman" w:hAnsi="Times New Roman" w:eastAsia="宋体"/>
                <w:b/>
                <w:bCs/>
                <w:color w:val="000000" w:themeColor="text1"/>
                <w:spacing w:val="0"/>
                <w:sz w:val="24"/>
                <w:highlight w:val="none"/>
                <w14:textFill>
                  <w14:solidFill>
                    <w14:schemeClr w14:val="tx1"/>
                  </w14:solidFill>
                </w14:textFill>
              </w:rPr>
              <w:t xml:space="preserve">  工程选线意见一览表</w:t>
            </w:r>
          </w:p>
          <w:tbl>
            <w:tblPr>
              <w:tblStyle w:val="27"/>
              <w:tblW w:w="0" w:type="auto"/>
              <w:tblInd w:w="10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3792"/>
              <w:gridCol w:w="2423"/>
            </w:tblGrid>
            <w:tr w14:paraId="656C0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40" w:type="dxa"/>
                  <w:tcBorders>
                    <w:tl2br w:val="nil"/>
                    <w:tr2bl w:val="nil"/>
                  </w:tcBorders>
                  <w:vAlign w:val="center"/>
                </w:tcPr>
                <w:p w14:paraId="3AC8C694">
                  <w:pPr>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部门</w:t>
                  </w:r>
                </w:p>
              </w:tc>
              <w:tc>
                <w:tcPr>
                  <w:tcW w:w="3792" w:type="dxa"/>
                  <w:tcBorders>
                    <w:tl2br w:val="nil"/>
                    <w:tr2bl w:val="nil"/>
                  </w:tcBorders>
                  <w:vAlign w:val="center"/>
                </w:tcPr>
                <w:p w14:paraId="4376EE09">
                  <w:pPr>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选线意见</w:t>
                  </w:r>
                </w:p>
              </w:tc>
              <w:tc>
                <w:tcPr>
                  <w:tcW w:w="2423" w:type="dxa"/>
                  <w:tcBorders>
                    <w:tl2br w:val="nil"/>
                    <w:tr2bl w:val="nil"/>
                  </w:tcBorders>
                  <w:vAlign w:val="center"/>
                </w:tcPr>
                <w:p w14:paraId="4496BA0B">
                  <w:pPr>
                    <w:jc w:val="center"/>
                    <w:outlineLvl w:val="9"/>
                    <w:rPr>
                      <w:rFonts w:ascii="Times New Roman" w:hAnsi="Times New Roman" w:eastAsia="宋体"/>
                      <w:b/>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Cs w:val="21"/>
                      <w:highlight w:val="none"/>
                      <w14:textFill>
                        <w14:solidFill>
                          <w14:schemeClr w14:val="tx1"/>
                        </w14:solidFill>
                      </w14:textFill>
                    </w:rPr>
                    <w:t>落实情况</w:t>
                  </w:r>
                </w:p>
              </w:tc>
            </w:tr>
            <w:tr w14:paraId="1069C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0" w:type="dxa"/>
                  <w:tcBorders>
                    <w:tl2br w:val="nil"/>
                    <w:tr2bl w:val="nil"/>
                  </w:tcBorders>
                  <w:vAlign w:val="center"/>
                </w:tcPr>
                <w:p w14:paraId="1A54219B">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固原市生态环境局</w:t>
                  </w:r>
                </w:p>
              </w:tc>
              <w:tc>
                <w:tcPr>
                  <w:tcW w:w="3792" w:type="dxa"/>
                  <w:tcBorders>
                    <w:tl2br w:val="nil"/>
                    <w:tr2bl w:val="nil"/>
                  </w:tcBorders>
                  <w:vAlign w:val="center"/>
                </w:tcPr>
                <w:p w14:paraId="26AB276E">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原则同意</w:t>
                  </w:r>
                </w:p>
              </w:tc>
              <w:tc>
                <w:tcPr>
                  <w:tcW w:w="2423" w:type="dxa"/>
                  <w:tcBorders>
                    <w:tl2br w:val="nil"/>
                    <w:tr2bl w:val="nil"/>
                  </w:tcBorders>
                  <w:vAlign w:val="center"/>
                </w:tcPr>
                <w:p w14:paraId="58F816B8">
                  <w:pPr>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p>
              </w:tc>
            </w:tr>
            <w:tr w14:paraId="785BE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0" w:type="dxa"/>
                  <w:tcBorders>
                    <w:tl2br w:val="nil"/>
                    <w:tr2bl w:val="nil"/>
                  </w:tcBorders>
                  <w:vAlign w:val="center"/>
                </w:tcPr>
                <w:p w14:paraId="7D067B25">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固原市原州区自然资源局</w:t>
                  </w:r>
                </w:p>
              </w:tc>
              <w:tc>
                <w:tcPr>
                  <w:tcW w:w="3792" w:type="dxa"/>
                  <w:tcBorders>
                    <w:tl2br w:val="nil"/>
                    <w:tr2bl w:val="nil"/>
                  </w:tcBorders>
                  <w:vAlign w:val="center"/>
                </w:tcPr>
                <w:p w14:paraId="7CAF36F8">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原则同意此路径，项目路径不涉及生态保护红线，但涉及永久基本农田，建议优化路径，少占永久基本农田。</w:t>
                  </w:r>
                </w:p>
              </w:tc>
              <w:tc>
                <w:tcPr>
                  <w:tcW w:w="2423" w:type="dxa"/>
                  <w:tcBorders>
                    <w:tl2br w:val="nil"/>
                    <w:tr2bl w:val="nil"/>
                  </w:tcBorders>
                  <w:vAlign w:val="center"/>
                </w:tcPr>
                <w:p w14:paraId="68DCC419">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已优化路径，正在办理永久进本农田不可避让</w:t>
                  </w:r>
                  <w:r>
                    <w:rPr>
                      <w:rFonts w:hint="eastAsia"/>
                      <w:color w:val="000000" w:themeColor="text1"/>
                      <w:spacing w:val="0"/>
                      <w:szCs w:val="21"/>
                      <w:highlight w:val="none"/>
                      <w:lang w:val="en-US" w:eastAsia="zh-CN"/>
                      <w14:textFill>
                        <w14:solidFill>
                          <w14:schemeClr w14:val="tx1"/>
                        </w14:solidFill>
                      </w14:textFill>
                    </w:rPr>
                    <w:t>占地</w:t>
                  </w: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手续。</w:t>
                  </w:r>
                </w:p>
              </w:tc>
            </w:tr>
            <w:tr w14:paraId="11531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40" w:type="dxa"/>
                  <w:tcBorders>
                    <w:tl2br w:val="nil"/>
                    <w:tr2bl w:val="nil"/>
                  </w:tcBorders>
                  <w:vAlign w:val="center"/>
                </w:tcPr>
                <w:p w14:paraId="785DA289">
                  <w:pPr>
                    <w:widowControl/>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固原市原州区林业和草原局</w:t>
                  </w:r>
                </w:p>
              </w:tc>
              <w:tc>
                <w:tcPr>
                  <w:tcW w:w="3792" w:type="dxa"/>
                  <w:tcBorders>
                    <w:tl2br w:val="nil"/>
                    <w:tr2bl w:val="nil"/>
                  </w:tcBorders>
                  <w:vAlign w:val="center"/>
                </w:tcPr>
                <w:p w14:paraId="490EE380">
                  <w:pPr>
                    <w:jc w:val="center"/>
                    <w:outlineLvl w:val="9"/>
                    <w:rPr>
                      <w:rFonts w:hint="default" w:ascii="Times New Roman" w:hAnsi="Times New Roman" w:eastAsia="宋体"/>
                      <w:color w:val="000000" w:themeColor="text1"/>
                      <w:spacing w:val="0"/>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原则同意，如占用林地和草地，需办理林地草原审批手续。</w:t>
                  </w:r>
                </w:p>
              </w:tc>
              <w:tc>
                <w:tcPr>
                  <w:tcW w:w="2423" w:type="dxa"/>
                  <w:tcBorders>
                    <w:tl2br w:val="nil"/>
                    <w:tr2bl w:val="nil"/>
                  </w:tcBorders>
                  <w:vAlign w:val="center"/>
                </w:tcPr>
                <w:p w14:paraId="70CD5C19">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不涉及</w:t>
                  </w: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w:t>
                  </w:r>
                </w:p>
              </w:tc>
            </w:tr>
            <w:tr w14:paraId="3E8DD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40" w:type="dxa"/>
                  <w:tcBorders>
                    <w:tl2br w:val="nil"/>
                    <w:tr2bl w:val="nil"/>
                  </w:tcBorders>
                  <w:vAlign w:val="center"/>
                </w:tcPr>
                <w:p w14:paraId="3C579C5F">
                  <w:pPr>
                    <w:widowControl/>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固原市原州区水务局</w:t>
                  </w:r>
                </w:p>
              </w:tc>
              <w:tc>
                <w:tcPr>
                  <w:tcW w:w="3792" w:type="dxa"/>
                  <w:tcBorders>
                    <w:tl2br w:val="nil"/>
                    <w:tr2bl w:val="nil"/>
                  </w:tcBorders>
                  <w:vAlign w:val="center"/>
                </w:tcPr>
                <w:p w14:paraId="0816BAC9">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原则同意，项目路径跨域水沟，建议编制防洪、水保方案等。</w:t>
                  </w:r>
                </w:p>
              </w:tc>
              <w:tc>
                <w:tcPr>
                  <w:tcW w:w="2423" w:type="dxa"/>
                  <w:tcBorders>
                    <w:tl2br w:val="nil"/>
                    <w:tr2bl w:val="nil"/>
                  </w:tcBorders>
                  <w:vAlign w:val="center"/>
                </w:tcPr>
                <w:p w14:paraId="6B08756D">
                  <w:pPr>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正在编制。</w:t>
                  </w:r>
                </w:p>
              </w:tc>
            </w:tr>
            <w:tr w14:paraId="15875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40" w:type="dxa"/>
                  <w:tcBorders>
                    <w:tl2br w:val="nil"/>
                    <w:tr2bl w:val="nil"/>
                  </w:tcBorders>
                  <w:vAlign w:val="center"/>
                </w:tcPr>
                <w:p w14:paraId="6187B2E0">
                  <w:pPr>
                    <w:widowControl/>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固原市原州区文物管理所</w:t>
                  </w:r>
                </w:p>
              </w:tc>
              <w:tc>
                <w:tcPr>
                  <w:tcW w:w="3792" w:type="dxa"/>
                  <w:tcBorders>
                    <w:tl2br w:val="nil"/>
                    <w:tr2bl w:val="nil"/>
                  </w:tcBorders>
                  <w:vAlign w:val="center"/>
                </w:tcPr>
                <w:p w14:paraId="2DE637E8">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线路经过原州区文物保护区域，调出后方可建设。</w:t>
                  </w:r>
                </w:p>
              </w:tc>
              <w:tc>
                <w:tcPr>
                  <w:tcW w:w="2423" w:type="dxa"/>
                  <w:tcBorders>
                    <w:tl2br w:val="nil"/>
                    <w:tr2bl w:val="nil"/>
                  </w:tcBorders>
                  <w:vAlign w:val="center"/>
                </w:tcPr>
                <w:p w14:paraId="73FB94C6">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0"/>
                      <w:szCs w:val="21"/>
                      <w:highlight w:val="none"/>
                      <w:lang w:val="en-US" w:eastAsia="zh-CN"/>
                      <w14:textFill>
                        <w14:solidFill>
                          <w14:schemeClr w14:val="tx1"/>
                        </w14:solidFill>
                      </w14:textFill>
                    </w:rPr>
                    <w:t>已调出，项目建设范围不涉及文物保护区域。</w:t>
                  </w:r>
                </w:p>
              </w:tc>
            </w:tr>
          </w:tbl>
          <w:p w14:paraId="10BE2604">
            <w:pPr>
              <w:pStyle w:val="25"/>
              <w:snapToGrid w:val="0"/>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p>
        </w:tc>
      </w:tr>
    </w:tbl>
    <w:p w14:paraId="4C5E8ED6">
      <w:pPr>
        <w:pStyle w:val="23"/>
        <w:jc w:val="center"/>
        <w:outlineLvl w:val="9"/>
        <w:rPr>
          <w:rFonts w:ascii="Times New Roman" w:hAnsi="Times New Roman" w:eastAsia="宋体"/>
          <w:snapToGrid w:val="0"/>
          <w:color w:val="000000" w:themeColor="text1"/>
          <w:spacing w:val="0"/>
          <w:sz w:val="30"/>
          <w:szCs w:val="30"/>
          <w:highlight w:val="none"/>
          <w14:textFill>
            <w14:solidFill>
              <w14:schemeClr w14:val="tx1"/>
            </w14:solidFill>
          </w14:textFill>
        </w:rPr>
        <w:sectPr>
          <w:pgSz w:w="11907" w:h="16840"/>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629A8148">
      <w:pPr>
        <w:pStyle w:val="23"/>
        <w:spacing w:before="0" w:beforeAutospacing="0" w:after="0" w:afterAutospacing="0" w:line="360" w:lineRule="auto"/>
        <w:jc w:val="center"/>
        <w:outlineLvl w:val="0"/>
        <w:rPr>
          <w:rFonts w:ascii="Times New Roman" w:hAnsi="Times New Roman" w:eastAsia="宋体"/>
          <w:snapToGrid w:val="0"/>
          <w:color w:val="000000" w:themeColor="text1"/>
          <w:spacing w:val="0"/>
          <w:sz w:val="30"/>
          <w:szCs w:val="30"/>
          <w:highlight w:val="none"/>
          <w14:textFill>
            <w14:solidFill>
              <w14:schemeClr w14:val="tx1"/>
            </w14:solidFill>
          </w14:textFill>
        </w:rPr>
      </w:pPr>
      <w:bookmarkStart w:id="11" w:name="_Toc18749"/>
      <w:r>
        <w:rPr>
          <w:rFonts w:ascii="Times New Roman" w:hAnsi="Times New Roman" w:eastAsia="宋体"/>
          <w:b/>
          <w:bCs/>
          <w:snapToGrid w:val="0"/>
          <w:color w:val="000000" w:themeColor="text1"/>
          <w:spacing w:val="0"/>
          <w:sz w:val="30"/>
          <w:szCs w:val="30"/>
          <w:highlight w:val="none"/>
          <w14:textFill>
            <w14:solidFill>
              <w14:schemeClr w14:val="tx1"/>
            </w14:solidFill>
          </w14:textFill>
        </w:rPr>
        <w:t>五、主要生态环境保护措施</w:t>
      </w:r>
      <w:bookmarkEnd w:id="11"/>
    </w:p>
    <w:tbl>
      <w:tblPr>
        <w:tblStyle w:val="26"/>
        <w:tblW w:w="94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636"/>
      </w:tblGrid>
      <w:tr w14:paraId="13907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780" w:type="dxa"/>
            <w:tcMar>
              <w:left w:w="28" w:type="dxa"/>
              <w:right w:w="28" w:type="dxa"/>
            </w:tcMar>
            <w:vAlign w:val="center"/>
          </w:tcPr>
          <w:p w14:paraId="5C5E8351">
            <w:pPr>
              <w:adjustRightInd w:val="0"/>
              <w:snapToGrid w:val="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施工期生态环境保护措施</w:t>
            </w:r>
          </w:p>
        </w:tc>
        <w:tc>
          <w:tcPr>
            <w:tcW w:w="8636" w:type="dxa"/>
          </w:tcPr>
          <w:p w14:paraId="30E0A44D">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1、生态保护措施</w:t>
            </w:r>
          </w:p>
          <w:p w14:paraId="350BEAB3">
            <w:pPr>
              <w:pStyle w:val="7"/>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（1）避让措施</w:t>
            </w:r>
          </w:p>
          <w:p w14:paraId="2537AED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ascii="Times New Roman" w:hAnsi="Times New Roman" w:eastAsia="宋体"/>
                <w:color w:val="000000" w:themeColor="text1"/>
                <w:spacing w:val="0"/>
                <w:kern w:val="0"/>
                <w:sz w:val="24"/>
                <w:highlight w:val="none"/>
                <w:lang w:bidi="ar"/>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t>①合理规划塔位、牵张场</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w:t>
            </w:r>
            <w:r>
              <w:rPr>
                <w:rFonts w:ascii="Times New Roman" w:hAnsi="Times New Roman" w:eastAsia="宋体"/>
                <w:color w:val="000000" w:themeColor="text1"/>
                <w:spacing w:val="0"/>
                <w:kern w:val="0"/>
                <w:sz w:val="24"/>
                <w:highlight w:val="none"/>
                <w:lang w:bidi="ar"/>
                <w14:textFill>
                  <w14:solidFill>
                    <w14:schemeClr w14:val="tx1"/>
                  </w14:solidFill>
                </w14:textFill>
              </w:rPr>
              <w:t>施工临时道路等临时场地，合理划定施工范围和人员、车辆路径，</w:t>
            </w:r>
            <w:r>
              <w:rPr>
                <w:rFonts w:ascii="Times New Roman" w:hAnsi="Times New Roman" w:eastAsia="宋体"/>
                <w:color w:val="000000" w:themeColor="text1"/>
                <w:spacing w:val="0"/>
                <w:sz w:val="24"/>
                <w:highlight w:val="none"/>
                <w14:textFill>
                  <w14:solidFill>
                    <w14:schemeClr w14:val="tx1"/>
                  </w14:solidFill>
                </w14:textFill>
              </w:rPr>
              <w:t>尽可能布置在植被稀少的区域，减少对周围生态环境影响</w:t>
            </w:r>
            <w:r>
              <w:rPr>
                <w:rFonts w:ascii="Times New Roman" w:hAnsi="Times New Roman" w:eastAsia="宋体"/>
                <w:color w:val="000000" w:themeColor="text1"/>
                <w:spacing w:val="0"/>
                <w:kern w:val="0"/>
                <w:sz w:val="24"/>
                <w:highlight w:val="none"/>
                <w:lang w:bidi="ar"/>
                <w14:textFill>
                  <w14:solidFill>
                    <w14:schemeClr w14:val="tx1"/>
                  </w14:solidFill>
                </w14:textFill>
              </w:rPr>
              <w:t>。</w:t>
            </w:r>
          </w:p>
          <w:p w14:paraId="643C4C52">
            <w:pPr>
              <w:pStyle w:val="7"/>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lang w:bidi="ar"/>
                <w14:textFill>
                  <w14:solidFill>
                    <w14:schemeClr w14:val="tx1"/>
                  </w14:solidFill>
                </w14:textFill>
              </w:rPr>
              <w:fldChar w:fldCharType="begin"/>
            </w:r>
            <w:r>
              <w:rPr>
                <w:rFonts w:ascii="Times New Roman" w:hAnsi="Times New Roman" w:eastAsia="宋体"/>
                <w:color w:val="000000" w:themeColor="text1"/>
                <w:spacing w:val="0"/>
                <w:kern w:val="0"/>
                <w:sz w:val="24"/>
                <w:highlight w:val="none"/>
                <w:lang w:bidi="ar"/>
                <w14:textFill>
                  <w14:solidFill>
                    <w14:schemeClr w14:val="tx1"/>
                  </w14:solidFill>
                </w14:textFill>
              </w:rPr>
              <w:instrText xml:space="preserve"> = 2 \* GB3 \* MERGEFORMAT </w:instrText>
            </w:r>
            <w:r>
              <w:rPr>
                <w:rFonts w:ascii="Times New Roman" w:hAnsi="Times New Roman" w:eastAsia="宋体"/>
                <w:color w:val="000000" w:themeColor="text1"/>
                <w:spacing w:val="0"/>
                <w:kern w:val="0"/>
                <w:sz w:val="24"/>
                <w:highlight w:val="none"/>
                <w:lang w:bidi="ar"/>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②</w:t>
            </w:r>
            <w:r>
              <w:rPr>
                <w:rFonts w:ascii="Times New Roman" w:hAnsi="Times New Roman" w:eastAsia="宋体"/>
                <w:color w:val="000000" w:themeColor="text1"/>
                <w:spacing w:val="0"/>
                <w:kern w:val="0"/>
                <w:sz w:val="24"/>
                <w:highlight w:val="none"/>
                <w:lang w:bidi="ar"/>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线路</w:t>
            </w:r>
            <w:r>
              <w:rPr>
                <w:rFonts w:hint="eastAsia" w:ascii="Times New Roman" w:hAnsi="Times New Roman" w:eastAsia="宋体"/>
                <w:color w:val="000000" w:themeColor="text1"/>
                <w:spacing w:val="0"/>
                <w:sz w:val="24"/>
                <w:highlight w:val="none"/>
                <w14:textFill>
                  <w14:solidFill>
                    <w14:schemeClr w14:val="tx1"/>
                  </w14:solidFill>
                </w14:textFill>
              </w:rPr>
              <w:t>部分</w:t>
            </w:r>
            <w:r>
              <w:rPr>
                <w:rFonts w:ascii="Times New Roman" w:hAnsi="Times New Roman" w:eastAsia="宋体"/>
                <w:color w:val="000000" w:themeColor="text1"/>
                <w:spacing w:val="0"/>
                <w:sz w:val="24"/>
                <w:highlight w:val="none"/>
                <w14:textFill>
                  <w14:solidFill>
                    <w14:schemeClr w14:val="tx1"/>
                  </w14:solidFill>
                </w14:textFill>
              </w:rPr>
              <w:t>采用钢管杆同塔双回路架设</w:t>
            </w:r>
            <w:r>
              <w:rPr>
                <w:rFonts w:hint="eastAsia" w:ascii="Times New Roman" w:hAnsi="Times New Roman" w:eastAsia="宋体"/>
                <w:color w:val="000000" w:themeColor="text1"/>
                <w:spacing w:val="0"/>
                <w:sz w:val="24"/>
                <w:highlight w:val="none"/>
                <w14:textFill>
                  <w14:solidFill>
                    <w14:schemeClr w14:val="tx1"/>
                  </w14:solidFill>
                </w14:textFill>
              </w:rPr>
              <w:t>及</w:t>
            </w:r>
            <w:r>
              <w:rPr>
                <w:rFonts w:ascii="Times New Roman" w:hAnsi="Times New Roman" w:eastAsia="宋体"/>
                <w:color w:val="000000" w:themeColor="text1"/>
                <w:spacing w:val="0"/>
                <w:sz w:val="24"/>
                <w:highlight w:val="none"/>
                <w14:textFill>
                  <w14:solidFill>
                    <w14:schemeClr w14:val="tx1"/>
                  </w14:solidFill>
                </w14:textFill>
              </w:rPr>
              <w:t>地下电缆敷设，减少了线路走廊的开辟，减少占地，减少了对生态环境影响。</w:t>
            </w:r>
          </w:p>
          <w:p w14:paraId="7848BF2D">
            <w:pPr>
              <w:pStyle w:val="25"/>
              <w:keepNext w:val="0"/>
              <w:keepLines w:val="0"/>
              <w:pageBreakBefore w:val="0"/>
              <w:kinsoku/>
              <w:wordWrap/>
              <w:overflowPunct/>
              <w:topLinePunct w:val="0"/>
              <w:autoSpaceDE/>
              <w:autoSpaceDN/>
              <w:bidi w:val="0"/>
              <w:adjustRightInd w:val="0"/>
              <w:snapToGrid w:val="0"/>
              <w:spacing w:before="0" w:after="0" w:line="360" w:lineRule="auto"/>
              <w:ind w:firstLine="480" w:firstLineChars="200"/>
              <w:jc w:val="left"/>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（2）减缓措施</w:t>
            </w:r>
          </w:p>
          <w:p w14:paraId="190D262E">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eastAsia"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①变电站、施工营地、站外供水及排水管线、10千伏临时施工电源线路等施工前先设置施工围挡，严格控制施工人员及施工车辆活动范围，减少对周围生态环境的影响。</w:t>
            </w:r>
          </w:p>
          <w:p w14:paraId="04E563F2">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②在变电站场地、进站道路、站外供水及排水管线、10千伏临时施工电源线路等各项基础施工中，严格按设计施工，减少基础开挖量，对临时堆放的土石方采取苫盖、拦挡等临时性防护措施，雨天及时排除场地积水，防止雨水冲刷和风力造成站区水土流失。</w:t>
            </w:r>
          </w:p>
          <w:p w14:paraId="6F37E087">
            <w:pPr>
              <w:spacing w:line="360" w:lineRule="auto"/>
              <w:ind w:firstLine="48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③变电站建成后，站内空闲场地铺设方砖，又可降低土壤的侵蚀。变电站内所有道路做硬化处理。</w:t>
            </w:r>
          </w:p>
          <w:p w14:paraId="4DAD7BED">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④架空线路</w:t>
            </w:r>
            <w:r>
              <w:rPr>
                <w:rFonts w:hint="eastAsia"/>
                <w:color w:val="000000" w:themeColor="text1"/>
                <w:spacing w:val="0"/>
                <w:sz w:val="24"/>
                <w:highlight w:val="none"/>
                <w:lang w:val="en-US" w:eastAsia="zh-CN"/>
                <w14:textFill>
                  <w14:solidFill>
                    <w14:schemeClr w14:val="tx1"/>
                  </w14:solidFill>
                </w14:textFill>
              </w:rPr>
              <w:t>新建塔基及拆除塔基施工时</w:t>
            </w:r>
            <w:r>
              <w:rPr>
                <w:rFonts w:ascii="Times New Roman" w:hAnsi="Times New Roman" w:eastAsia="宋体"/>
                <w:color w:val="000000" w:themeColor="text1"/>
                <w:spacing w:val="0"/>
                <w:sz w:val="24"/>
                <w:highlight w:val="none"/>
                <w14:textFill>
                  <w14:solidFill>
                    <w14:schemeClr w14:val="tx1"/>
                  </w14:solidFill>
                </w14:textFill>
              </w:rPr>
              <w:t>应设置施工围栏</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地下电缆线路应设置</w:t>
            </w:r>
            <w:r>
              <w:rPr>
                <w:rFonts w:hint="eastAsia" w:ascii="Times New Roman" w:hAnsi="Times New Roman" w:eastAsia="宋体"/>
                <w:color w:val="000000" w:themeColor="text1"/>
                <w:spacing w:val="0"/>
                <w:sz w:val="24"/>
                <w:highlight w:val="none"/>
                <w14:textFill>
                  <w14:solidFill>
                    <w14:schemeClr w14:val="tx1"/>
                  </w14:solidFill>
                </w14:textFill>
              </w:rPr>
              <w:t>施工</w:t>
            </w:r>
            <w:r>
              <w:rPr>
                <w:rFonts w:ascii="Times New Roman" w:hAnsi="Times New Roman" w:eastAsia="宋体"/>
                <w:color w:val="000000" w:themeColor="text1"/>
                <w:spacing w:val="0"/>
                <w:sz w:val="24"/>
                <w:highlight w:val="none"/>
                <w14:textFill>
                  <w14:solidFill>
                    <w14:schemeClr w14:val="tx1"/>
                  </w14:solidFill>
                </w14:textFill>
              </w:rPr>
              <w:t>围挡，防止扩大扰动面积，控制施工人员及施工车辆在</w:t>
            </w:r>
            <w:r>
              <w:rPr>
                <w:rFonts w:hint="eastAsia" w:ascii="Times New Roman" w:hAnsi="Times New Roman" w:eastAsia="宋体"/>
                <w:color w:val="000000" w:themeColor="text1"/>
                <w:spacing w:val="0"/>
                <w:sz w:val="24"/>
                <w:highlight w:val="none"/>
                <w14:textFill>
                  <w14:solidFill>
                    <w14:schemeClr w14:val="tx1"/>
                  </w14:solidFill>
                </w14:textFill>
              </w:rPr>
              <w:t>围栏、</w:t>
            </w:r>
            <w:r>
              <w:rPr>
                <w:rFonts w:ascii="Times New Roman" w:hAnsi="Times New Roman" w:eastAsia="宋体"/>
                <w:color w:val="000000" w:themeColor="text1"/>
                <w:spacing w:val="0"/>
                <w:sz w:val="24"/>
                <w:highlight w:val="none"/>
                <w14:textFill>
                  <w14:solidFill>
                    <w14:schemeClr w14:val="tx1"/>
                  </w14:solidFill>
                </w14:textFill>
              </w:rPr>
              <w:t>围挡内的活动，避免出现施工人员随意践踏土地的现象，施工车辆随意扩大施工作业范围的现象。</w:t>
            </w:r>
          </w:p>
          <w:p w14:paraId="137807B2">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5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⑤</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本项目施工材料运输，应尽可能利用现有道路，修建的少部分到达塔基的临时施工便道严格控制宽度，以减少新开辟施工便道对植被的破坏</w:t>
            </w:r>
            <w:r>
              <w:rPr>
                <w:rFonts w:hint="eastAsia" w:ascii="Times New Roman" w:hAnsi="Times New Roman" w:eastAsia="宋体"/>
                <w:color w:val="000000" w:themeColor="text1"/>
                <w:spacing w:val="0"/>
                <w:sz w:val="24"/>
                <w:highlight w:val="none"/>
                <w14:textFill>
                  <w14:solidFill>
                    <w14:schemeClr w14:val="tx1"/>
                  </w14:solidFill>
                </w14:textFill>
              </w:rPr>
              <w:t>。</w:t>
            </w:r>
          </w:p>
          <w:p w14:paraId="7ECBEDE9">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6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⑥</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本项目临时占地类型为</w:t>
            </w:r>
            <w:r>
              <w:rPr>
                <w:rFonts w:hint="eastAsia" w:ascii="Times New Roman" w:hAnsi="Times New Roman" w:eastAsia="宋体"/>
                <w:color w:val="000000" w:themeColor="text1"/>
                <w:spacing w:val="0"/>
                <w:sz w:val="24"/>
                <w:highlight w:val="none"/>
                <w14:textFill>
                  <w14:solidFill>
                    <w14:schemeClr w14:val="tx1"/>
                  </w14:solidFill>
                </w14:textFill>
              </w:rPr>
              <w:t>耕地</w:t>
            </w:r>
            <w:r>
              <w:rPr>
                <w:rFonts w:ascii="Times New Roman" w:hAnsi="Times New Roman" w:eastAsia="宋体"/>
                <w:color w:val="000000" w:themeColor="text1"/>
                <w:spacing w:val="0"/>
                <w:sz w:val="24"/>
                <w:highlight w:val="none"/>
                <w14:textFill>
                  <w14:solidFill>
                    <w14:schemeClr w14:val="tx1"/>
                  </w14:solidFill>
                </w14:textFill>
              </w:rPr>
              <w:t>时，施工结束后通过</w:t>
            </w:r>
            <w:r>
              <w:rPr>
                <w:rFonts w:hint="eastAsia" w:ascii="Times New Roman" w:hAnsi="Times New Roman" w:eastAsia="宋体"/>
                <w:color w:val="000000" w:themeColor="text1"/>
                <w:spacing w:val="0"/>
                <w:sz w:val="24"/>
                <w:highlight w:val="none"/>
                <w14:textFill>
                  <w14:solidFill>
                    <w14:schemeClr w14:val="tx1"/>
                  </w14:solidFill>
                </w14:textFill>
              </w:rPr>
              <w:t>及时清理现场，复耕恢复其原有土地功能</w:t>
            </w:r>
            <w:r>
              <w:rPr>
                <w:rFonts w:ascii="Times New Roman" w:hAnsi="Times New Roman" w:eastAsia="宋体"/>
                <w:color w:val="000000" w:themeColor="text1"/>
                <w:spacing w:val="0"/>
                <w:sz w:val="24"/>
                <w:highlight w:val="none"/>
                <w14:textFill>
                  <w14:solidFill>
                    <w14:schemeClr w14:val="tx1"/>
                  </w14:solidFill>
                </w14:textFill>
              </w:rPr>
              <w:t>。</w:t>
            </w:r>
          </w:p>
          <w:p w14:paraId="7072F0F6">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7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⑦</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线路基坑开挖完工后，尽快浇注商品混凝土，缩短土方裸露时间。土方施工避开雨天，遇有大风天气时暂停土石方的施工，对临时堆放的土石方采取遮盖、拦挡等临时性防护措施，以免造成更大面积的植被破坏和土壤表层的破坏。</w:t>
            </w:r>
          </w:p>
          <w:p w14:paraId="04930E2C">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8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⑧</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本项目施工时占用</w:t>
            </w:r>
            <w:r>
              <w:rPr>
                <w:rFonts w:hint="eastAsia" w:ascii="Times New Roman" w:hAnsi="Times New Roman" w:eastAsia="宋体"/>
                <w:color w:val="000000" w:themeColor="text1"/>
                <w:spacing w:val="0"/>
                <w:sz w:val="24"/>
                <w:highlight w:val="none"/>
                <w14:textFill>
                  <w14:solidFill>
                    <w14:schemeClr w14:val="tx1"/>
                  </w14:solidFill>
                </w14:textFill>
              </w:rPr>
              <w:t>耕地</w:t>
            </w:r>
            <w:r>
              <w:rPr>
                <w:rFonts w:ascii="Times New Roman" w:hAnsi="Times New Roman" w:eastAsia="宋体"/>
                <w:color w:val="000000" w:themeColor="text1"/>
                <w:spacing w:val="0"/>
                <w:sz w:val="24"/>
                <w:highlight w:val="none"/>
                <w14:textFill>
                  <w14:solidFill>
                    <w14:schemeClr w14:val="tx1"/>
                  </w14:solidFill>
                </w14:textFill>
              </w:rPr>
              <w:t>，应采取表土剥离、分类存放，施工结束后，变电站剥离的表土用于</w:t>
            </w:r>
            <w:r>
              <w:rPr>
                <w:rFonts w:hint="eastAsia" w:ascii="Times New Roman" w:hAnsi="Times New Roman" w:eastAsia="宋体"/>
                <w:color w:val="000000" w:themeColor="text1"/>
                <w:spacing w:val="0"/>
                <w:sz w:val="24"/>
                <w:highlight w:val="none"/>
                <w14:textFill>
                  <w14:solidFill>
                    <w14:schemeClr w14:val="tx1"/>
                  </w14:solidFill>
                </w14:textFill>
              </w:rPr>
              <w:t>施工营地</w:t>
            </w:r>
            <w:r>
              <w:rPr>
                <w:rFonts w:ascii="Times New Roman" w:hAnsi="Times New Roman" w:eastAsia="宋体"/>
                <w:color w:val="000000" w:themeColor="text1"/>
                <w:spacing w:val="0"/>
                <w:sz w:val="24"/>
                <w:highlight w:val="none"/>
                <w14:textFill>
                  <w14:solidFill>
                    <w14:schemeClr w14:val="tx1"/>
                  </w14:solidFill>
                </w14:textFill>
              </w:rPr>
              <w:t>临时占地土地平整恢复使用</w:t>
            </w:r>
            <w:r>
              <w:rPr>
                <w:rFonts w:hint="eastAsia" w:ascii="Times New Roman" w:hAnsi="Times New Roman" w:eastAsia="宋体"/>
                <w:color w:val="000000" w:themeColor="text1"/>
                <w:spacing w:val="0"/>
                <w:sz w:val="24"/>
                <w:highlight w:val="none"/>
                <w14:textFill>
                  <w14:solidFill>
                    <w14:schemeClr w14:val="tx1"/>
                  </w14:solidFill>
                </w14:textFill>
              </w:rPr>
              <w:t>，耕地进行复耕恢复</w:t>
            </w:r>
            <w:r>
              <w:rPr>
                <w:rFonts w:ascii="Times New Roman" w:hAnsi="Times New Roman" w:eastAsia="宋体"/>
                <w:color w:val="000000" w:themeColor="text1"/>
                <w:spacing w:val="0"/>
                <w:sz w:val="24"/>
                <w:highlight w:val="none"/>
                <w14:textFill>
                  <w14:solidFill>
                    <w14:schemeClr w14:val="tx1"/>
                  </w14:solidFill>
                </w14:textFill>
              </w:rPr>
              <w:t>。</w:t>
            </w:r>
          </w:p>
          <w:p w14:paraId="18936AC1">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9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⑨</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施工期，根据设计要求合理布设铁塔和材料堆放场等临时占地，尽可能布置在植被稀少的区域。</w:t>
            </w:r>
          </w:p>
          <w:p w14:paraId="6A6B2C0C">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10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⑩</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变电站、输电线路在施工过程中限制施工人员施工作业范围、作业时间，合理安排施工作业时间和施工工序，选择低噪声的施工机械，减少对野生动物的影响。</w:t>
            </w:r>
          </w:p>
          <w:p w14:paraId="2C85ABCA">
            <w:pPr>
              <w:pStyle w:val="25"/>
              <w:spacing w:line="2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（3）恢复措施</w:t>
            </w:r>
          </w:p>
          <w:p w14:paraId="1F1C3FA6">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①表土回填：施工占地开挖的土方按照土层顺序进行回填，剥离的表土，按表层土在上的顺序堆放至临时占地区域，便于后期植被恢复使用。</w:t>
            </w:r>
          </w:p>
          <w:p w14:paraId="19C27FED">
            <w:pPr>
              <w:pStyle w:val="7"/>
              <w:keepNext w:val="0"/>
              <w:keepLines w:val="0"/>
              <w:pageBreakBefore w:val="0"/>
              <w:kinsoku/>
              <w:wordWrap/>
              <w:overflowPunct/>
              <w:topLinePunct w:val="0"/>
              <w:autoSpaceDE/>
              <w:autoSpaceDN/>
              <w:bidi w:val="0"/>
              <w:adjustRightInd w:val="0"/>
              <w:snapToGrid w:val="0"/>
              <w:spacing w:after="0" w:line="360" w:lineRule="auto"/>
              <w:ind w:left="0" w:leftChars="0" w:right="0"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土地平整：项目建设过程中，所压占的土地，由于施工机械的碾压，及建材堆放等其他因素的影响，必造成原有土地形态发生改变，引起土地表层起伏不平，难以达到预期的土地利用方向。施工结束后，对项目扰动区域实施土地整治措施，整治方式为机械整治，整地深度为0.3m。</w:t>
            </w:r>
          </w:p>
          <w:p w14:paraId="55B2588D">
            <w:pPr>
              <w:pStyle w:val="7"/>
              <w:keepNext w:val="0"/>
              <w:keepLines w:val="0"/>
              <w:pageBreakBefore w:val="0"/>
              <w:kinsoku/>
              <w:wordWrap/>
              <w:overflowPunct/>
              <w:topLinePunct w:val="0"/>
              <w:autoSpaceDE/>
              <w:autoSpaceDN/>
              <w:bidi w:val="0"/>
              <w:adjustRightInd w:val="0"/>
              <w:snapToGrid w:val="0"/>
              <w:spacing w:after="0" w:line="360" w:lineRule="auto"/>
              <w:ind w:left="0" w:leftChars="0" w:right="0" w:firstLine="480" w:firstLineChars="200"/>
              <w:textAlignment w:val="auto"/>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③土地翻耕：在清除材料运输及施工过程中洒落的砂石、水泥等建筑垃圾，对粒径大于5.0cm的碎石块进行捡选去除，然后采用机械翻松土地，翻耕厚度不得小于 30cm。</w:t>
            </w:r>
          </w:p>
          <w:p w14:paraId="35FBEE91">
            <w:pPr>
              <w:pStyle w:val="7"/>
              <w:keepNext w:val="0"/>
              <w:keepLines w:val="0"/>
              <w:pageBreakBefore w:val="0"/>
              <w:kinsoku/>
              <w:wordWrap/>
              <w:overflowPunct/>
              <w:topLinePunct w:val="0"/>
              <w:autoSpaceDE/>
              <w:autoSpaceDN/>
              <w:bidi w:val="0"/>
              <w:adjustRightInd w:val="0"/>
              <w:snapToGrid w:val="0"/>
              <w:spacing w:after="0" w:line="360" w:lineRule="auto"/>
              <w:ind w:left="0" w:leftChars="0" w:right="0"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④</w:t>
            </w:r>
            <w:r>
              <w:rPr>
                <w:rFonts w:hint="eastAsia"/>
                <w:color w:val="000000" w:themeColor="text1"/>
                <w:spacing w:val="0"/>
                <w:sz w:val="24"/>
                <w:highlight w:val="none"/>
                <w:lang w:val="en-US" w:eastAsia="zh-CN"/>
                <w14:textFill>
                  <w14:solidFill>
                    <w14:schemeClr w14:val="tx1"/>
                  </w14:solidFill>
                </w14:textFill>
              </w:rPr>
              <w:t>耕地</w:t>
            </w:r>
            <w:r>
              <w:rPr>
                <w:rFonts w:ascii="Times New Roman" w:hAnsi="Times New Roman" w:eastAsia="宋体"/>
                <w:color w:val="000000" w:themeColor="text1"/>
                <w:spacing w:val="0"/>
                <w:sz w:val="24"/>
                <w:highlight w:val="none"/>
                <w14:textFill>
                  <w14:solidFill>
                    <w14:schemeClr w14:val="tx1"/>
                  </w14:solidFill>
                </w14:textFill>
              </w:rPr>
              <w:t>区域：本项目占用</w:t>
            </w:r>
            <w:r>
              <w:rPr>
                <w:rFonts w:hint="eastAsia"/>
                <w:color w:val="000000" w:themeColor="text1"/>
                <w:spacing w:val="0"/>
                <w:sz w:val="24"/>
                <w:highlight w:val="none"/>
                <w:lang w:val="en-US" w:eastAsia="zh-CN"/>
                <w14:textFill>
                  <w14:solidFill>
                    <w14:schemeClr w14:val="tx1"/>
                  </w14:solidFill>
                </w14:textFill>
              </w:rPr>
              <w:t>耕地</w:t>
            </w:r>
            <w:r>
              <w:rPr>
                <w:rFonts w:ascii="Times New Roman" w:hAnsi="Times New Roman" w:eastAsia="宋体"/>
                <w:color w:val="000000" w:themeColor="text1"/>
                <w:spacing w:val="0"/>
                <w:sz w:val="24"/>
                <w:highlight w:val="none"/>
                <w14:textFill>
                  <w14:solidFill>
                    <w14:schemeClr w14:val="tx1"/>
                  </w14:solidFill>
                </w14:textFill>
              </w:rPr>
              <w:t>区域，施工结束后结合土地整治对扰动区域进行</w:t>
            </w:r>
            <w:r>
              <w:rPr>
                <w:rFonts w:hint="eastAsia"/>
                <w:color w:val="000000" w:themeColor="text1"/>
                <w:spacing w:val="0"/>
                <w:sz w:val="24"/>
                <w:highlight w:val="none"/>
                <w:lang w:val="en-US" w:eastAsia="zh-CN"/>
                <w14:textFill>
                  <w14:solidFill>
                    <w14:schemeClr w14:val="tx1"/>
                  </w14:solidFill>
                </w14:textFill>
              </w:rPr>
              <w:t>复耕</w:t>
            </w:r>
            <w:r>
              <w:rPr>
                <w:rFonts w:ascii="Times New Roman" w:hAnsi="Times New Roman" w:eastAsia="宋体"/>
                <w:color w:val="000000" w:themeColor="text1"/>
                <w:spacing w:val="0"/>
                <w:sz w:val="24"/>
                <w:highlight w:val="none"/>
                <w14:textFill>
                  <w14:solidFill>
                    <w14:schemeClr w14:val="tx1"/>
                  </w14:solidFill>
                </w14:textFill>
              </w:rPr>
              <w:t>恢复，</w:t>
            </w:r>
            <w:r>
              <w:rPr>
                <w:rFonts w:hint="eastAsia" w:ascii="Times New Roman" w:hAnsi="Times New Roman" w:eastAsia="宋体"/>
                <w:color w:val="000000" w:themeColor="text1"/>
                <w:spacing w:val="0"/>
                <w:sz w:val="24"/>
                <w:highlight w:val="none"/>
                <w14:textFill>
                  <w14:solidFill>
                    <w14:schemeClr w14:val="tx1"/>
                  </w14:solidFill>
                </w14:textFill>
              </w:rPr>
              <w:t>复耕方式恢复作物</w:t>
            </w:r>
            <w:r>
              <w:rPr>
                <w:rFonts w:ascii="Times New Roman" w:hAnsi="Times New Roman" w:eastAsia="宋体"/>
                <w:color w:val="000000" w:themeColor="text1"/>
                <w:spacing w:val="0"/>
                <w:sz w:val="24"/>
                <w:highlight w:val="none"/>
                <w14:textFill>
                  <w14:solidFill>
                    <w14:schemeClr w14:val="tx1"/>
                  </w14:solidFill>
                </w14:textFill>
              </w:rPr>
              <w:t>。</w:t>
            </w:r>
          </w:p>
          <w:p w14:paraId="1CFC063F">
            <w:pPr>
              <w:pStyle w:val="25"/>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jc w:val="left"/>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（4）补偿措施</w:t>
            </w:r>
          </w:p>
          <w:p w14:paraId="0B886300">
            <w:pPr>
              <w:pStyle w:val="7"/>
              <w:keepNext w:val="0"/>
              <w:keepLines w:val="0"/>
              <w:pageBreakBefore w:val="0"/>
              <w:kinsoku/>
              <w:wordWrap/>
              <w:overflowPunct/>
              <w:topLinePunct w:val="0"/>
              <w:autoSpaceDE/>
              <w:autoSpaceDN/>
              <w:bidi w:val="0"/>
              <w:adjustRightInd w:val="0"/>
              <w:snapToGrid w:val="0"/>
              <w:spacing w:after="0" w:line="360" w:lineRule="auto"/>
              <w:ind w:left="0" w:leftChars="0" w:right="0" w:firstLine="480" w:firstLineChars="200"/>
              <w:textAlignment w:val="auto"/>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本项目输电线路经过的土地类型为</w:t>
            </w:r>
            <w:r>
              <w:rPr>
                <w:rFonts w:hint="eastAsia"/>
                <w:color w:val="000000" w:themeColor="text1"/>
                <w:spacing w:val="0"/>
                <w:sz w:val="24"/>
                <w:highlight w:val="none"/>
                <w:lang w:val="en-US" w:eastAsia="zh-CN"/>
                <w14:textFill>
                  <w14:solidFill>
                    <w14:schemeClr w14:val="tx1"/>
                  </w14:solidFill>
                </w14:textFill>
              </w:rPr>
              <w:t>耕地</w:t>
            </w:r>
            <w:r>
              <w:rPr>
                <w:rFonts w:ascii="Times New Roman" w:hAnsi="Times New Roman" w:eastAsia="宋体"/>
                <w:color w:val="000000" w:themeColor="text1"/>
                <w:spacing w:val="0"/>
                <w:sz w:val="24"/>
                <w:highlight w:val="none"/>
                <w14:textFill>
                  <w14:solidFill>
                    <w14:schemeClr w14:val="tx1"/>
                  </w14:solidFill>
                </w14:textFill>
              </w:rPr>
              <w:t>时，应对占用的</w:t>
            </w:r>
            <w:r>
              <w:rPr>
                <w:rFonts w:hint="eastAsia"/>
                <w:color w:val="000000" w:themeColor="text1"/>
                <w:spacing w:val="0"/>
                <w:sz w:val="24"/>
                <w:highlight w:val="none"/>
                <w:lang w:val="en-US" w:eastAsia="zh-CN"/>
                <w14:textFill>
                  <w14:solidFill>
                    <w14:schemeClr w14:val="tx1"/>
                  </w14:solidFill>
                </w14:textFill>
              </w:rPr>
              <w:t>耕地</w:t>
            </w:r>
            <w:r>
              <w:rPr>
                <w:rFonts w:ascii="Times New Roman" w:hAnsi="Times New Roman" w:eastAsia="宋体"/>
                <w:color w:val="000000" w:themeColor="text1"/>
                <w:spacing w:val="0"/>
                <w:sz w:val="24"/>
                <w:highlight w:val="none"/>
                <w14:textFill>
                  <w14:solidFill>
                    <w14:schemeClr w14:val="tx1"/>
                  </w14:solidFill>
                </w14:textFill>
              </w:rPr>
              <w:t>进行生态补偿。</w:t>
            </w:r>
            <w:r>
              <w:rPr>
                <w:rFonts w:hint="eastAsia"/>
                <w:color w:val="000000" w:themeColor="text1"/>
                <w:spacing w:val="0"/>
                <w:sz w:val="24"/>
                <w:highlight w:val="none"/>
                <w:lang w:eastAsia="zh-CN"/>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占用耕地区域涉及永久基本农田，建设单位已委托编制了不可避让永久基本农田报告，正在办理永久基本农田不可避让手续。</w:t>
            </w:r>
            <w:r>
              <w:rPr>
                <w:rFonts w:hint="eastAsia"/>
                <w:color w:val="000000" w:themeColor="text1"/>
                <w:spacing w:val="0"/>
                <w:sz w:val="24"/>
                <w:highlight w:val="none"/>
                <w:lang w:eastAsia="zh-CN"/>
                <w14:textFill>
                  <w14:solidFill>
                    <w14:schemeClr w14:val="tx1"/>
                  </w14:solidFill>
                </w14:textFill>
              </w:rPr>
              <w:t>）</w:t>
            </w:r>
          </w:p>
          <w:p w14:paraId="0A4AAEC0">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（5）管理措施</w:t>
            </w:r>
          </w:p>
          <w:p w14:paraId="6E1EB49E">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施工单位应做好环境管理与教育培训，组织专业人员对施工人员进行环保宣传教育。施工期严格施工作业范围，规范施工行为，加强管理监督。</w:t>
            </w:r>
          </w:p>
          <w:p w14:paraId="2B040C6F">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以上措施责任单位为建设单位，具体实施单位为施工单位，建设单位需对施工期环境保护措施的落实情况进行监督管理。</w:t>
            </w:r>
          </w:p>
          <w:p w14:paraId="555DBBB1">
            <w:pPr>
              <w:pStyle w:val="7"/>
              <w:spacing w:after="0" w:line="360" w:lineRule="auto"/>
              <w:ind w:left="0" w:leftChars="0"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2、声环境保护措施</w:t>
            </w:r>
          </w:p>
          <w:p w14:paraId="07F64614">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为了进一步减少施工噪声对项目周围声环境影响，施工期应采取以下措施对施工噪声进行防治：</w:t>
            </w:r>
          </w:p>
          <w:p w14:paraId="0DEB1967">
            <w:pPr>
              <w:autoSpaceDE w:val="0"/>
              <w:autoSpaceDN w:val="0"/>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（1）变电站优化主变压器布置，</w:t>
            </w:r>
            <w:r>
              <w:rPr>
                <w:rFonts w:hint="eastAsia" w:ascii="Times New Roman" w:hAnsi="Times New Roman" w:eastAsia="宋体"/>
                <w:color w:val="000000" w:themeColor="text1"/>
                <w:spacing w:val="0"/>
                <w:sz w:val="24"/>
                <w:highlight w:val="none"/>
                <w14:textFill>
                  <w14:solidFill>
                    <w14:schemeClr w14:val="tx1"/>
                  </w14:solidFill>
                </w14:textFill>
              </w:rPr>
              <w:t>站区总平面布置以主变为中心，110kV HGIS 屋外配电装置区布置在站区</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中心</w:t>
            </w:r>
            <w:r>
              <w:rPr>
                <w:rFonts w:hint="eastAsia" w:ascii="Times New Roman" w:hAnsi="Times New Roman" w:eastAsia="宋体"/>
                <w:color w:val="000000" w:themeColor="text1"/>
                <w:spacing w:val="0"/>
                <w:sz w:val="24"/>
                <w:highlight w:val="none"/>
                <w14:textFill>
                  <w14:solidFill>
                    <w14:schemeClr w14:val="tx1"/>
                  </w14:solidFill>
                </w14:textFill>
              </w:rPr>
              <w:t>，配电装置室布置在</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站区东</w:t>
            </w:r>
            <w:r>
              <w:rPr>
                <w:rFonts w:hint="eastAsia" w:ascii="Times New Roman" w:hAnsi="Times New Roman" w:eastAsia="宋体"/>
                <w:color w:val="000000" w:themeColor="text1"/>
                <w:spacing w:val="0"/>
                <w:sz w:val="24"/>
                <w:highlight w:val="none"/>
                <w14:textFill>
                  <w14:solidFill>
                    <w14:schemeClr w14:val="tx1"/>
                  </w14:solidFill>
                </w14:textFill>
              </w:rPr>
              <w:t>侧</w:t>
            </w:r>
            <w:r>
              <w:rPr>
                <w:rFonts w:hint="eastAsia"/>
                <w:color w:val="000000" w:themeColor="text1"/>
                <w:spacing w:val="0"/>
                <w:sz w:val="24"/>
                <w:highlight w:val="no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减少对周围声环境的影响；</w:t>
            </w:r>
          </w:p>
          <w:p w14:paraId="0F3A375F">
            <w:pPr>
              <w:spacing w:line="360" w:lineRule="auto"/>
              <w:ind w:firstLine="480" w:firstLineChars="200"/>
              <w:outlineLvl w:val="9"/>
              <w:rPr>
                <w:rFonts w:hint="eastAsia" w:ascii="Times New Roman" w:hAnsi="Times New Roman" w:eastAsia="宋体"/>
                <w:color w:val="000000" w:themeColor="text1"/>
                <w:spacing w:val="0"/>
                <w:sz w:val="24"/>
                <w:highlight w:val="none"/>
                <w:lang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（2）变电站施工时</w:t>
            </w:r>
            <w:r>
              <w:rPr>
                <w:rFonts w:hint="eastAsia" w:ascii="Times New Roman" w:hAnsi="Times New Roman" w:eastAsia="宋体"/>
                <w:color w:val="000000" w:themeColor="text1"/>
                <w:spacing w:val="0"/>
                <w:sz w:val="24"/>
                <w:highlight w:val="none"/>
                <w14:textFill>
                  <w14:solidFill>
                    <w14:schemeClr w14:val="tx1"/>
                  </w14:solidFill>
                </w14:textFill>
              </w:rPr>
              <w:t>先建设实体围墙</w:t>
            </w:r>
            <w:r>
              <w:rPr>
                <w:rFonts w:hint="eastAsia"/>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变电站、施工营地、站外供水及排水管线、10千伏临时施工电源线路</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地下电缆</w:t>
            </w:r>
            <w:r>
              <w:rPr>
                <w:rFonts w:hint="eastAsia" w:ascii="Times New Roman" w:hAnsi="Times New Roman" w:eastAsia="宋体"/>
                <w:color w:val="000000" w:themeColor="text1"/>
                <w:spacing w:val="0"/>
                <w:sz w:val="24"/>
                <w:highlight w:val="none"/>
                <w14:textFill>
                  <w14:solidFill>
                    <w14:schemeClr w14:val="tx1"/>
                  </w14:solidFill>
                </w14:textFill>
              </w:rPr>
              <w:t>等施工时应设置施工围挡</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实体围墙</w:t>
            </w:r>
            <w:r>
              <w:rPr>
                <w:rFonts w:hint="eastAsia"/>
                <w:color w:val="000000" w:themeColor="text1"/>
                <w:spacing w:val="0"/>
                <w:sz w:val="24"/>
                <w:highlight w:val="none"/>
                <w:lang w:val="en-US" w:eastAsia="zh-CN"/>
                <w14:textFill>
                  <w14:solidFill>
                    <w14:schemeClr w14:val="tx1"/>
                  </w14:solidFill>
                </w14:textFill>
              </w:rPr>
              <w:t>与施工围挡</w:t>
            </w:r>
            <w:r>
              <w:rPr>
                <w:rFonts w:ascii="Times New Roman" w:hAnsi="Times New Roman" w:eastAsia="宋体"/>
                <w:color w:val="000000" w:themeColor="text1"/>
                <w:spacing w:val="0"/>
                <w:sz w:val="24"/>
                <w:highlight w:val="none"/>
                <w14:textFill>
                  <w14:solidFill>
                    <w14:schemeClr w14:val="tx1"/>
                  </w14:solidFill>
                </w14:textFill>
              </w:rPr>
              <w:t>会对施工噪声起到一定的阻隔作用；施工时应尽量避免多台高噪声施工机械同时进行施工，合理布置施工机械位置，尽量使施工机械远离变电站围墙</w:t>
            </w:r>
            <w:r>
              <w:rPr>
                <w:rFonts w:hint="eastAsia"/>
                <w:color w:val="000000" w:themeColor="text1"/>
                <w:spacing w:val="0"/>
                <w:sz w:val="24"/>
                <w:highlight w:val="none"/>
                <w:lang w:eastAsia="zh-CN"/>
                <w14:textFill>
                  <w14:solidFill>
                    <w14:schemeClr w14:val="tx1"/>
                  </w14:solidFill>
                </w14:textFill>
              </w:rPr>
              <w:t>。</w:t>
            </w:r>
          </w:p>
          <w:p w14:paraId="476AFEC5">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（3）做好施工组织设计，选用低噪声施工设备，加强各类施工机械设备维护保养，使其一直保持良好的状态，减轻因设备运行状态不佳而造成的噪声污染。</w:t>
            </w:r>
          </w:p>
          <w:p w14:paraId="6EBC9B7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（4）严格控制施工作业时间，</w:t>
            </w:r>
            <w:r>
              <w:rPr>
                <w:rFonts w:hint="eastAsia" w:ascii="Times New Roman" w:hAnsi="Times New Roman" w:eastAsia="宋体"/>
                <w:color w:val="000000" w:themeColor="text1"/>
                <w:spacing w:val="0"/>
                <w:sz w:val="24"/>
                <w:highlight w:val="none"/>
                <w14:textFill>
                  <w14:solidFill>
                    <w14:schemeClr w14:val="tx1"/>
                  </w14:solidFill>
                </w14:textFill>
              </w:rPr>
              <w:t>距离敏感点较近的塔基要求围挡施工，</w:t>
            </w:r>
            <w:r>
              <w:rPr>
                <w:rFonts w:ascii="Times New Roman" w:hAnsi="Times New Roman" w:eastAsia="宋体"/>
                <w:color w:val="000000" w:themeColor="text1"/>
                <w:spacing w:val="0"/>
                <w:sz w:val="24"/>
                <w:highlight w:val="none"/>
                <w14:textFill>
                  <w14:solidFill>
                    <w14:schemeClr w14:val="tx1"/>
                  </w14:solidFill>
                </w14:textFill>
              </w:rPr>
              <w:t>因特殊需要必须连续施工作业的，应当取得地方人民政府住房和城乡建设、生态环境主管部门或者地方人民政府指定的部门的证明，并在施工现场显著位置公示。</w:t>
            </w:r>
          </w:p>
          <w:p w14:paraId="54A409A7">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在落实以上措施后，本项目施工期噪声对周围声环境影响较小。</w:t>
            </w:r>
          </w:p>
          <w:p w14:paraId="34133026">
            <w:pPr>
              <w:pStyle w:val="7"/>
              <w:spacing w:after="0" w:line="360" w:lineRule="auto"/>
              <w:ind w:left="0" w:leftChars="0"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3、大气环境保护措施</w:t>
            </w:r>
          </w:p>
          <w:p w14:paraId="5F2AEB88">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为了进一步减少施工扬尘对大气环境的影响，施工期应采取以下扬尘污染防治措施：</w:t>
            </w:r>
          </w:p>
          <w:p w14:paraId="0C9AB66C">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w:t>
            </w:r>
            <w:r>
              <w:rPr>
                <w:rFonts w:ascii="Times New Roman" w:hAnsi="Times New Roman" w:eastAsia="宋体"/>
                <w:color w:val="000000" w:themeColor="text1"/>
                <w:spacing w:val="0"/>
                <w:kern w:val="0"/>
                <w:sz w:val="24"/>
                <w:highlight w:val="none"/>
                <w:lang w:bidi="ar"/>
                <w14:textFill>
                  <w14:solidFill>
                    <w14:schemeClr w14:val="tx1"/>
                  </w14:solidFill>
                </w14:textFill>
              </w:rPr>
              <w:t>变电站围墙采用装配式围墙，电容器采用块式基础装配模式，设备支架</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采用独立基础，电缆沟采用</w:t>
            </w:r>
            <w:r>
              <w:rPr>
                <w:rFonts w:hint="eastAsia"/>
                <w:color w:val="000000" w:themeColor="text1"/>
                <w:spacing w:val="0"/>
                <w:kern w:val="0"/>
                <w:sz w:val="24"/>
                <w:highlight w:val="none"/>
                <w:lang w:eastAsia="zh-CN" w:bidi="ar"/>
                <w14:textFill>
                  <w14:solidFill>
                    <w14:schemeClr w14:val="tx1"/>
                  </w14:solidFill>
                </w14:textFill>
              </w:rPr>
              <w:t>穿管</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敷设，</w:t>
            </w:r>
            <w:r>
              <w:rPr>
                <w:rFonts w:ascii="Times New Roman" w:hAnsi="Times New Roman" w:eastAsia="宋体"/>
                <w:color w:val="000000" w:themeColor="text1"/>
                <w:spacing w:val="0"/>
                <w:kern w:val="0"/>
                <w:sz w:val="24"/>
                <w:highlight w:val="none"/>
                <w:lang w:bidi="ar"/>
                <w14:textFill>
                  <w14:solidFill>
                    <w14:schemeClr w14:val="tx1"/>
                  </w14:solidFill>
                </w14:textFill>
              </w:rPr>
              <w:t>减少了施工作业时间，可减少</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扬尘</w:t>
            </w:r>
            <w:r>
              <w:rPr>
                <w:rFonts w:ascii="Times New Roman" w:hAnsi="Times New Roman" w:eastAsia="宋体"/>
                <w:color w:val="000000" w:themeColor="text1"/>
                <w:spacing w:val="0"/>
                <w:kern w:val="0"/>
                <w:sz w:val="24"/>
                <w:highlight w:val="none"/>
                <w:lang w:bidi="ar"/>
                <w14:textFill>
                  <w14:solidFill>
                    <w14:schemeClr w14:val="tx1"/>
                  </w14:solidFill>
                </w14:textFill>
              </w:rPr>
              <w:t>对周围</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大气</w:t>
            </w:r>
            <w:r>
              <w:rPr>
                <w:rFonts w:ascii="Times New Roman" w:hAnsi="Times New Roman" w:eastAsia="宋体"/>
                <w:color w:val="000000" w:themeColor="text1"/>
                <w:spacing w:val="0"/>
                <w:kern w:val="0"/>
                <w:sz w:val="24"/>
                <w:highlight w:val="none"/>
                <w:lang w:bidi="ar"/>
                <w14:textFill>
                  <w14:solidFill>
                    <w14:schemeClr w14:val="tx1"/>
                  </w14:solidFill>
                </w14:textFill>
              </w:rPr>
              <w:t>环境的影响。</w:t>
            </w:r>
            <w:r>
              <w:rPr>
                <w:rFonts w:ascii="Times New Roman" w:hAnsi="Times New Roman" w:eastAsia="宋体"/>
                <w:color w:val="000000" w:themeColor="text1"/>
                <w:spacing w:val="0"/>
                <w:sz w:val="24"/>
                <w:highlight w:val="none"/>
                <w14:textFill>
                  <w14:solidFill>
                    <w14:schemeClr w14:val="tx1"/>
                  </w14:solidFill>
                </w14:textFill>
              </w:rPr>
              <w:t>施工前变电站应在施工场地四周按照规定先建设实体围墙，</w:t>
            </w:r>
            <w:r>
              <w:rPr>
                <w:rFonts w:hint="eastAsia" w:ascii="Times New Roman" w:hAnsi="Times New Roman" w:eastAsia="宋体"/>
                <w:color w:val="000000" w:themeColor="text1"/>
                <w:spacing w:val="0"/>
                <w:sz w:val="24"/>
                <w:highlight w:val="none"/>
                <w14:textFill>
                  <w14:solidFill>
                    <w14:schemeClr w14:val="tx1"/>
                  </w14:solidFill>
                </w14:textFill>
              </w:rPr>
              <w:t>地下电缆线路施工应设置施工围挡</w:t>
            </w:r>
            <w:r>
              <w:rPr>
                <w:rFonts w:ascii="Times New Roman" w:hAnsi="Times New Roman" w:eastAsia="宋体"/>
                <w:color w:val="000000" w:themeColor="text1"/>
                <w:spacing w:val="0"/>
                <w:sz w:val="24"/>
                <w:highlight w:val="none"/>
                <w14:textFill>
                  <w14:solidFill>
                    <w14:schemeClr w14:val="tx1"/>
                  </w14:solidFill>
                </w14:textFill>
              </w:rPr>
              <w:t>，实体围墙</w:t>
            </w:r>
            <w:r>
              <w:rPr>
                <w:rFonts w:hint="eastAsia"/>
                <w:color w:val="000000" w:themeColor="text1"/>
                <w:spacing w:val="0"/>
                <w:sz w:val="24"/>
                <w:highlight w:val="none"/>
                <w:lang w:val="en-US" w:eastAsia="zh-CN"/>
                <w14:textFill>
                  <w14:solidFill>
                    <w14:schemeClr w14:val="tx1"/>
                  </w14:solidFill>
                </w14:textFill>
              </w:rPr>
              <w:t>与施工围挡</w:t>
            </w:r>
            <w:r>
              <w:rPr>
                <w:rFonts w:ascii="Times New Roman" w:hAnsi="Times New Roman" w:eastAsia="宋体"/>
                <w:color w:val="000000" w:themeColor="text1"/>
                <w:spacing w:val="0"/>
                <w:sz w:val="24"/>
                <w:highlight w:val="none"/>
                <w14:textFill>
                  <w14:solidFill>
                    <w14:schemeClr w14:val="tx1"/>
                  </w14:solidFill>
                </w14:textFill>
              </w:rPr>
              <w:t>会对施工扬尘起到一定的阻隔作用。</w:t>
            </w:r>
          </w:p>
          <w:p w14:paraId="265503EF">
            <w:pPr>
              <w:autoSpaceDE w:val="0"/>
              <w:autoSpaceDN w:val="0"/>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）项目开挖出的土石方应及时进行回填</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以减少临时堆土扬尘的产生。</w:t>
            </w:r>
          </w:p>
          <w:p w14:paraId="2684B23B">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土方开挖、回填、易产生扬尘工序等施工时，</w:t>
            </w:r>
            <w:r>
              <w:rPr>
                <w:rFonts w:hint="eastAsia" w:ascii="Times New Roman" w:hAnsi="Times New Roman" w:eastAsia="宋体"/>
                <w:color w:val="000000" w:themeColor="text1"/>
                <w:spacing w:val="0"/>
                <w:kern w:val="0"/>
                <w:sz w:val="24"/>
                <w:highlight w:val="none"/>
                <w14:textFill>
                  <w14:solidFill>
                    <w14:schemeClr w14:val="tx1"/>
                  </w14:solidFill>
                </w14:textFill>
              </w:rPr>
              <w:t>根据现场条件，</w:t>
            </w:r>
            <w:r>
              <w:rPr>
                <w:rFonts w:ascii="Times New Roman" w:hAnsi="Times New Roman" w:eastAsia="宋体"/>
                <w:color w:val="000000" w:themeColor="text1"/>
                <w:spacing w:val="0"/>
                <w:kern w:val="0"/>
                <w:sz w:val="24"/>
                <w:highlight w:val="none"/>
                <w14:textFill>
                  <w14:solidFill>
                    <w14:schemeClr w14:val="tx1"/>
                  </w14:solidFill>
                </w14:textFill>
              </w:rPr>
              <w:t>进行湿法作业，根据现场实际情况对施工场地等进行洒水等降尘措施。</w:t>
            </w:r>
          </w:p>
          <w:p w14:paraId="4BB64312">
            <w:pPr>
              <w:autoSpaceDE w:val="0"/>
              <w:autoSpaceDN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14:textFill>
                  <w14:solidFill>
                    <w14:schemeClr w14:val="tx1"/>
                  </w14:solidFill>
                </w14:textFill>
              </w:rPr>
              <w:t>4</w:t>
            </w:r>
            <w:r>
              <w:rPr>
                <w:rFonts w:ascii="Times New Roman" w:hAnsi="Times New Roman" w:eastAsia="宋体"/>
                <w:color w:val="000000" w:themeColor="text1"/>
                <w:spacing w:val="0"/>
                <w:kern w:val="0"/>
                <w:sz w:val="24"/>
                <w:highlight w:val="none"/>
                <w14:textFill>
                  <w14:solidFill>
                    <w14:schemeClr w14:val="tx1"/>
                  </w14:solidFill>
                </w14:textFill>
              </w:rPr>
              <w:t>）施工现场的临时堆土及其它建筑垃圾，若在施工场地内堆置超过48h的，应密闭存放或及时进行覆盖，防止风蚀起尘及水蚀迁移。</w:t>
            </w:r>
          </w:p>
          <w:p w14:paraId="2A37E7E0">
            <w:pPr>
              <w:autoSpaceDE w:val="0"/>
              <w:autoSpaceDN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14:textFill>
                  <w14:solidFill>
                    <w14:schemeClr w14:val="tx1"/>
                  </w14:solidFill>
                </w14:textFill>
              </w:rPr>
              <w:t>5</w:t>
            </w:r>
            <w:r>
              <w:rPr>
                <w:rFonts w:ascii="Times New Roman" w:hAnsi="Times New Roman" w:eastAsia="宋体"/>
                <w:color w:val="000000" w:themeColor="text1"/>
                <w:spacing w:val="0"/>
                <w:kern w:val="0"/>
                <w:sz w:val="24"/>
                <w:highlight w:val="none"/>
                <w14:textFill>
                  <w14:solidFill>
                    <w14:schemeClr w14:val="tx1"/>
                  </w14:solidFill>
                </w14:textFill>
              </w:rPr>
              <w:t>）四级及四级以上大风或重度污染天气时，严禁土方开挖、回填、转运以及其他可能产生扬尘污染的施工，并做好作业面覆盖工作。</w:t>
            </w:r>
          </w:p>
          <w:p w14:paraId="3DC74A27">
            <w:pPr>
              <w:autoSpaceDE w:val="0"/>
              <w:autoSpaceDN w:val="0"/>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6</w:t>
            </w:r>
            <w:r>
              <w:rPr>
                <w:rFonts w:ascii="Times New Roman" w:hAnsi="Times New Roman" w:eastAsia="宋体"/>
                <w:color w:val="000000" w:themeColor="text1"/>
                <w:spacing w:val="0"/>
                <w:sz w:val="24"/>
                <w:highlight w:val="none"/>
                <w14:textFill>
                  <w14:solidFill>
                    <w14:schemeClr w14:val="tx1"/>
                  </w14:solidFill>
                </w14:textFill>
              </w:rPr>
              <w:t>）施工现场禁止将包装物、可燃垃圾等固体废弃物就地焚烧。</w:t>
            </w:r>
          </w:p>
          <w:p w14:paraId="2174827A">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7</w:t>
            </w:r>
            <w:r>
              <w:rPr>
                <w:rFonts w:ascii="Times New Roman" w:hAnsi="Times New Roman" w:eastAsia="宋体"/>
                <w:color w:val="000000" w:themeColor="text1"/>
                <w:spacing w:val="0"/>
                <w:sz w:val="24"/>
                <w:highlight w:val="none"/>
                <w14:textFill>
                  <w14:solidFill>
                    <w14:schemeClr w14:val="tx1"/>
                  </w14:solidFill>
                </w14:textFill>
              </w:rPr>
              <w:t>）如用汽车运输易起尘的土方时，要加盖篷布、控制车速，防止物料洒落和产生扬尘；卸车时应尽量减少落差，以减少地面扬尘污染。</w:t>
            </w:r>
          </w:p>
          <w:p w14:paraId="0DBE40AA">
            <w:pPr>
              <w:pStyle w:val="7"/>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在落实以上措施后，本项目施工期扬尘对周围大气环境影响较小。</w:t>
            </w:r>
          </w:p>
          <w:p w14:paraId="56C37207">
            <w:pPr>
              <w:pStyle w:val="7"/>
              <w:spacing w:after="0" w:line="360" w:lineRule="auto"/>
              <w:ind w:left="0" w:leftChars="0"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4、固体废物处置措施</w:t>
            </w:r>
          </w:p>
          <w:p w14:paraId="22FA6032">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①本项目总体挖填方平衡，无弃土产生。</w:t>
            </w:r>
          </w:p>
          <w:p w14:paraId="7A4915FB">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w:t>
            </w:r>
            <w:r>
              <w:rPr>
                <w:rFonts w:hint="eastAsia" w:ascii="Times New Roman" w:hAnsi="Times New Roman" w:eastAsia="宋体"/>
                <w:color w:val="000000" w:themeColor="text1"/>
                <w:spacing w:val="0"/>
                <w:sz w:val="24"/>
                <w:highlight w:val="none"/>
                <w14:textFill>
                  <w14:solidFill>
                    <w14:schemeClr w14:val="tx1"/>
                  </w14:solidFill>
                </w14:textFill>
              </w:rPr>
              <w:t>本项目塔基施工产生的干化泥浆可用于临时占地土地平整使用。拆除的塔基基础、废包装等建筑垃圾，项目施工单位应当编制建筑垃圾处理方案，负责运至政府部门指定的地点处置，并报县级以上政府部门备案。</w:t>
            </w:r>
          </w:p>
          <w:p w14:paraId="60DD4ABF">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③施工期间产生的生活垃圾应集中收集，定期运至附近垃圾收集点，由当地环卫部门统一清运处置，严禁随意丢弃和堆放。</w:t>
            </w:r>
          </w:p>
          <w:p w14:paraId="2489784D">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在落实以上措施后，本项目施工期固体废物对周围声环境影响较小。</w:t>
            </w:r>
          </w:p>
          <w:p w14:paraId="48D8DF90">
            <w:pPr>
              <w:pStyle w:val="7"/>
              <w:spacing w:after="0" w:line="360" w:lineRule="auto"/>
              <w:ind w:left="0" w:leftChars="0"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5、水环境保护措施</w:t>
            </w:r>
          </w:p>
          <w:p w14:paraId="43057CFE">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变电站、输电线路施工均采用商品混凝土，塔基基础施工</w:t>
            </w:r>
            <w:r>
              <w:rPr>
                <w:rFonts w:hint="eastAsia" w:ascii="Times New Roman" w:hAnsi="Times New Roman" w:eastAsia="宋体"/>
                <w:color w:val="000000" w:themeColor="text1"/>
                <w:spacing w:val="0"/>
                <w:sz w:val="24"/>
                <w:highlight w:val="none"/>
                <w14:textFill>
                  <w14:solidFill>
                    <w14:schemeClr w14:val="tx1"/>
                  </w14:solidFill>
                </w14:textFill>
              </w:rPr>
              <w:t>及</w:t>
            </w:r>
            <w:r>
              <w:rPr>
                <w:rFonts w:hint="eastAsia"/>
                <w:color w:val="000000" w:themeColor="text1"/>
                <w:spacing w:val="0"/>
                <w:sz w:val="24"/>
                <w:highlight w:val="none"/>
                <w:lang w:eastAsia="zh-CN"/>
                <w14:textFill>
                  <w14:solidFill>
                    <w14:schemeClr w14:val="tx1"/>
                  </w14:solidFill>
                </w14:textFill>
              </w:rPr>
              <w:t>穿管</w:t>
            </w:r>
            <w:r>
              <w:rPr>
                <w:rFonts w:ascii="Times New Roman" w:hAnsi="Times New Roman" w:eastAsia="宋体"/>
                <w:color w:val="000000" w:themeColor="text1"/>
                <w:spacing w:val="0"/>
                <w:sz w:val="24"/>
                <w:highlight w:val="none"/>
                <w14:textFill>
                  <w14:solidFill>
                    <w14:schemeClr w14:val="tx1"/>
                  </w14:solidFill>
                </w14:textFill>
              </w:rPr>
              <w:t>施工过程中产生的施工泥浆水设置泥浆池、沉淀池处理后循环使用，不外排。施工期施工营地设置化粪池，化粪池</w:t>
            </w:r>
            <w:r>
              <w:rPr>
                <w:rFonts w:hint="eastAsia"/>
                <w:color w:val="000000" w:themeColor="text1"/>
                <w:spacing w:val="0"/>
                <w:sz w:val="24"/>
                <w:highlight w:val="none"/>
                <w:lang w:val="en-US" w:eastAsia="zh-CN"/>
                <w14:textFill>
                  <w14:solidFill>
                    <w14:schemeClr w14:val="tx1"/>
                  </w14:solidFill>
                </w14:textFill>
              </w:rPr>
              <w:t>应</w:t>
            </w:r>
            <w:r>
              <w:rPr>
                <w:rFonts w:ascii="Times New Roman" w:hAnsi="Times New Roman" w:eastAsia="宋体"/>
                <w:color w:val="000000" w:themeColor="text1"/>
                <w:spacing w:val="0"/>
                <w:sz w:val="24"/>
                <w:highlight w:val="none"/>
                <w14:textFill>
                  <w14:solidFill>
                    <w14:schemeClr w14:val="tx1"/>
                  </w14:solidFill>
                </w14:textFill>
              </w:rPr>
              <w:t>采取防渗措施，定期</w:t>
            </w:r>
            <w:r>
              <w:rPr>
                <w:rFonts w:hint="eastAsia" w:ascii="Times New Roman" w:hAnsi="Times New Roman" w:eastAsia="宋体"/>
                <w:color w:val="000000" w:themeColor="text1"/>
                <w:spacing w:val="0"/>
                <w:sz w:val="24"/>
                <w:highlight w:val="none"/>
                <w14:textFill>
                  <w14:solidFill>
                    <w14:schemeClr w14:val="tx1"/>
                  </w14:solidFill>
                </w14:textFill>
              </w:rPr>
              <w:t>委托环卫部门进行</w:t>
            </w:r>
            <w:r>
              <w:rPr>
                <w:rFonts w:ascii="Times New Roman" w:hAnsi="Times New Roman" w:eastAsia="宋体"/>
                <w:color w:val="000000" w:themeColor="text1"/>
                <w:spacing w:val="0"/>
                <w:sz w:val="24"/>
                <w:highlight w:val="none"/>
                <w14:textFill>
                  <w14:solidFill>
                    <w14:schemeClr w14:val="tx1"/>
                  </w14:solidFill>
                </w14:textFill>
              </w:rPr>
              <w:t>清掏。施工期施工人员生活污水</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由施工营地化粪池处理</w:t>
            </w:r>
            <w:r>
              <w:rPr>
                <w:rFonts w:ascii="Times New Roman" w:hAnsi="Times New Roman" w:eastAsia="宋体"/>
                <w:color w:val="000000" w:themeColor="text1"/>
                <w:spacing w:val="0"/>
                <w:sz w:val="24"/>
                <w:highlight w:val="none"/>
                <w14:textFill>
                  <w14:solidFill>
                    <w14:schemeClr w14:val="tx1"/>
                  </w14:solidFill>
                </w14:textFill>
              </w:rPr>
              <w:t>。</w:t>
            </w:r>
          </w:p>
          <w:p w14:paraId="4498E268">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以上措施需在施工期完成，责任单位为建设单位，具体实施单位为施工单位，建设单位需对施工期环境保护措施的落实情况进行监督管理。</w:t>
            </w:r>
          </w:p>
          <w:p w14:paraId="38328A38">
            <w:pPr>
              <w:pStyle w:val="7"/>
              <w:spacing w:after="0" w:line="360" w:lineRule="auto"/>
              <w:ind w:left="0" w:leftChars="0"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6、施工期环境管理</w:t>
            </w:r>
          </w:p>
          <w:p w14:paraId="05ED6967">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（1）环境管理机构</w:t>
            </w:r>
          </w:p>
          <w:p w14:paraId="7FF14CD6">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建设单位在管理机构内配备必要的专职人员，负责环境保护管理工作。</w:t>
            </w:r>
          </w:p>
          <w:p w14:paraId="671DA553">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（2）施工期环境管理</w:t>
            </w:r>
          </w:p>
          <w:p w14:paraId="775C5D75">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建设单位在施工期间设立项目部，设置专人负责环境保护管理工作，负责核查施工工序是否满足设计文件要求，核查施工是否满足环保要求等相关工作。具体建设单位环境管理的职责如下：</w:t>
            </w:r>
          </w:p>
          <w:p w14:paraId="2D7A3875">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①负责管辖范围内电网建设项目环境保护</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三同时</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制度的具体执行。</w:t>
            </w:r>
          </w:p>
          <w:p w14:paraId="44D4AA29">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②依据环境影响评价文件及其批复文件，编制项目环境保护管理策划文件。</w:t>
            </w:r>
          </w:p>
          <w:p w14:paraId="2D90AF94">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③组织参建单位开展环境保护培训、宣贯和交底工作。</w:t>
            </w:r>
          </w:p>
          <w:p w14:paraId="22AC7B96">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④配合各级生态环境主管部门组织的监督检查，并组织整改发现的问题。</w:t>
            </w:r>
          </w:p>
          <w:p w14:paraId="4E0DF385">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5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⑤</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做好施工中各种环境问题的收集、记录、建档和处理工作。</w:t>
            </w:r>
          </w:p>
          <w:p w14:paraId="084420D8">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施工单位负责对项目资源进行合理使用和动态管理，确保施工人员能够严格执行各项环保管理制度、规定、贯彻落实各项环保政策，减少对生态环境影响。具体施工单位环境管理的职责如下：</w:t>
            </w:r>
          </w:p>
          <w:p w14:paraId="38ACA4AF">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①施工单位应组织施工人员学习《中华人民共和国环境保护法》、《中华人民共和国大气污染防治法》、《中华人民共和国固体废物污染环境防治法》、《中华人民共和国土壤污染防治法》</w:t>
            </w:r>
            <w:r>
              <w:rPr>
                <w:rFonts w:ascii="Times New Roman" w:hAnsi="Times New Roman" w:eastAsia="宋体"/>
                <w:bCs/>
                <w:color w:val="000000" w:themeColor="text1"/>
                <w:spacing w:val="0"/>
                <w:sz w:val="24"/>
                <w:highlight w:val="none"/>
                <w14:textFill>
                  <w14:solidFill>
                    <w14:schemeClr w14:val="tx1"/>
                  </w14:solidFill>
                </w14:textFill>
              </w:rPr>
              <w:t>、《宁夏回族自治区大气污染防治条例》、《宁夏回族自治区水污染防治条例》、本项目环评及批复文件</w:t>
            </w:r>
            <w:r>
              <w:rPr>
                <w:rFonts w:ascii="Times New Roman" w:hAnsi="Times New Roman" w:eastAsia="宋体"/>
                <w:color w:val="000000" w:themeColor="text1"/>
                <w:spacing w:val="0"/>
                <w:sz w:val="24"/>
                <w:highlight w:val="none"/>
                <w14:textFill>
                  <w14:solidFill>
                    <w14:schemeClr w14:val="tx1"/>
                  </w14:solidFill>
                </w14:textFill>
              </w:rPr>
              <w:t>等有关环保法律法规，做到施工人员知法、懂法和守法。</w:t>
            </w:r>
          </w:p>
          <w:p w14:paraId="5236997A">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②根据施工图环境保护专项设计和项目环境保护管理策划以及国家电网有限公司、国网宁夏电力有限公司相关要求，编制环境保护施工方案。</w:t>
            </w:r>
          </w:p>
          <w:p w14:paraId="13AAB73D">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③参加建管单位组织的环境保护培训，开展本单位内部培训（含分包单位）。</w:t>
            </w:r>
          </w:p>
          <w:p w14:paraId="17445171">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④在施工过程中落实各项环境保护措施，记录和统计措施相关技术数据并报监理单位。</w:t>
            </w:r>
          </w:p>
          <w:p w14:paraId="32F50AF5">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5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⑤</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参加环境保护现场检查，完成整改工作，提交整改报告。</w:t>
            </w:r>
          </w:p>
          <w:p w14:paraId="7DB2279A">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6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⑥</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编制环境保护施工总结。</w:t>
            </w:r>
          </w:p>
          <w:p w14:paraId="36A62D8A">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7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⑦</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ascii="Times New Roman" w:hAnsi="Times New Roman" w:eastAsia="宋体"/>
                <w:color w:val="000000" w:themeColor="text1"/>
                <w:spacing w:val="0"/>
                <w:sz w:val="24"/>
                <w:highlight w:val="none"/>
                <w14:textFill>
                  <w14:solidFill>
                    <w14:schemeClr w14:val="tx1"/>
                  </w14:solidFill>
                </w14:textFill>
              </w:rPr>
              <w:t>参与竣工环境保护设施验收工作。</w:t>
            </w:r>
          </w:p>
          <w:p w14:paraId="202DE4DF">
            <w:pPr>
              <w:pStyle w:val="7"/>
              <w:spacing w:after="0" w:line="360" w:lineRule="auto"/>
              <w:ind w:left="0" w:leftChars="0" w:firstLine="480"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⑧协助完成各级生态环境主管部监督检查和沟通协调工作。</w:t>
            </w:r>
          </w:p>
          <w:p w14:paraId="1BB1FB68">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（3）施工期环境监测计划</w:t>
            </w:r>
          </w:p>
          <w:p w14:paraId="160687B2">
            <w:pPr>
              <w:spacing w:line="360" w:lineRule="auto"/>
              <w:ind w:firstLine="480" w:firstLineChars="200"/>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对施工单位进行环境管理、检查和监督，对施工期出现的各种环境保护问题进行纠正，记录并及时进行归档处理。</w:t>
            </w:r>
          </w:p>
        </w:tc>
      </w:tr>
      <w:tr w14:paraId="085AA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tcMar>
              <w:left w:w="28" w:type="dxa"/>
              <w:right w:w="28" w:type="dxa"/>
            </w:tcMar>
            <w:vAlign w:val="center"/>
          </w:tcPr>
          <w:p w14:paraId="2798E82C">
            <w:pPr>
              <w:adjustRightInd w:val="0"/>
              <w:snapToGrid w:val="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运营期生态环境保护措施</w:t>
            </w:r>
          </w:p>
        </w:tc>
        <w:tc>
          <w:tcPr>
            <w:tcW w:w="8636" w:type="dxa"/>
          </w:tcPr>
          <w:p w14:paraId="300FAEA9">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1、生态保护措施</w:t>
            </w:r>
          </w:p>
          <w:p w14:paraId="64AC5898">
            <w:pPr>
              <w:pStyle w:val="7"/>
              <w:spacing w:after="0" w:line="360" w:lineRule="auto"/>
              <w:ind w:firstLine="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（1）线路巡检人员，沿固定巡检道路行驶，减少运行期对生态环境的影响。</w:t>
            </w:r>
          </w:p>
          <w:p w14:paraId="42CF98D5">
            <w:pPr>
              <w:pStyle w:val="7"/>
              <w:spacing w:after="0" w:line="360" w:lineRule="auto"/>
              <w:ind w:firstLine="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w:t>
            </w:r>
            <w:r>
              <w:rPr>
                <w:rFonts w:ascii="Times New Roman" w:hAnsi="Times New Roman" w:eastAsia="宋体" w:cs="Times New Roman"/>
                <w:color w:val="000000" w:themeColor="text1"/>
                <w:spacing w:val="0"/>
                <w:sz w:val="24"/>
                <w:highlight w:val="none"/>
                <w14:textFill>
                  <w14:solidFill>
                    <w14:schemeClr w14:val="tx1"/>
                  </w14:solidFill>
                </w14:textFill>
              </w:rPr>
              <w:t>定期</w:t>
            </w:r>
            <w:r>
              <w:rPr>
                <w:rFonts w:ascii="Times New Roman" w:hAnsi="Times New Roman" w:eastAsia="宋体"/>
                <w:color w:val="000000" w:themeColor="text1"/>
                <w:spacing w:val="0"/>
                <w:sz w:val="24"/>
                <w:highlight w:val="none"/>
                <w14:textFill>
                  <w14:solidFill>
                    <w14:schemeClr w14:val="tx1"/>
                  </w14:solidFill>
                </w14:textFill>
              </w:rPr>
              <w:t>对沿线生态保护和防护措施进行检查，跟踪生态保护与恢复效果。</w:t>
            </w:r>
          </w:p>
          <w:p w14:paraId="31270683">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2、电磁环境保护措施</w:t>
            </w:r>
          </w:p>
          <w:p w14:paraId="41318EFB">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（1）变电站内电气设备采取集中布置方式，在设计中应按有关规程采取一系列减少电磁环境影响的措施，有效的减少对周围电磁环境的影响。</w:t>
            </w:r>
          </w:p>
          <w:p w14:paraId="25470049">
            <w:pPr>
              <w:pStyle w:val="7"/>
              <w:spacing w:after="0" w:line="360" w:lineRule="auto"/>
              <w:ind w:left="0" w:leftChars="0"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（2）输电线路设计严格执行环评及有关设计规程、规范提出的要求，采用合理的导线截面及结构，提高导线、金具加工工艺及控制导线对地距离，减少对周围电磁环境影响。</w:t>
            </w:r>
          </w:p>
          <w:p w14:paraId="2FE2C6D7">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（3）加强变电站及输电线路监督管理，以及对运营期工频电场、工频磁场的监测工作，掌握项目产生的工频电场、工频磁场情况，及时发现问题。</w:t>
            </w:r>
          </w:p>
          <w:p w14:paraId="6601EA3F">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3、声环境保护措施</w:t>
            </w:r>
          </w:p>
          <w:p w14:paraId="728455DD">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（1）变电站采用低噪声设备，从设备声源上控制噪声对周围环境影响。</w:t>
            </w:r>
          </w:p>
          <w:p w14:paraId="59DEFD77">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（2）输电</w:t>
            </w:r>
            <w:r>
              <w:rPr>
                <w:rFonts w:ascii="Times New Roman" w:hAnsi="Times New Roman" w:eastAsia="宋体"/>
                <w:color w:val="000000" w:themeColor="text1"/>
                <w:spacing w:val="0"/>
                <w:kern w:val="0"/>
                <w:sz w:val="24"/>
                <w:highlight w:val="none"/>
                <w14:textFill>
                  <w14:solidFill>
                    <w14:schemeClr w14:val="tx1"/>
                  </w14:solidFill>
                </w14:textFill>
              </w:rPr>
              <w:t>线路合理选择导线截面和相导线结构，并通过控制导线对地高度，以降低线路的电晕可听噪声水平。</w:t>
            </w:r>
          </w:p>
          <w:p w14:paraId="5AAE9393">
            <w:pPr>
              <w:pStyle w:val="7"/>
              <w:spacing w:after="0" w:line="360" w:lineRule="auto"/>
              <w:ind w:left="0" w:leftChars="0"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（3）加强变电站及输电线路监督管理，以及对运营期噪声的监测工作，掌握项目产生的噪声情况，及时发现问题。</w:t>
            </w:r>
          </w:p>
          <w:p w14:paraId="766043F8">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3、水环境保护措施</w:t>
            </w:r>
          </w:p>
          <w:p w14:paraId="661C6B9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本项目变电站运行期</w:t>
            </w:r>
            <w:r>
              <w:rPr>
                <w:rFonts w:hint="eastAsia"/>
                <w:color w:val="000000" w:themeColor="text1"/>
                <w:spacing w:val="0"/>
                <w:sz w:val="24"/>
                <w:highlight w:val="none"/>
                <w:lang w:val="en-US" w:eastAsia="zh-CN"/>
                <w14:textFill>
                  <w14:solidFill>
                    <w14:schemeClr w14:val="tx1"/>
                  </w14:solidFill>
                </w14:textFill>
              </w:rPr>
              <w:t>门卫少量的</w:t>
            </w:r>
            <w:r>
              <w:rPr>
                <w:rFonts w:hint="eastAsia" w:ascii="Times New Roman" w:hAnsi="Times New Roman" w:eastAsia="宋体"/>
                <w:color w:val="000000" w:themeColor="text1"/>
                <w:spacing w:val="0"/>
                <w:sz w:val="24"/>
                <w:highlight w:val="none"/>
                <w14:textFill>
                  <w14:solidFill>
                    <w14:schemeClr w14:val="tx1"/>
                  </w14:solidFill>
                </w14:textFill>
              </w:rPr>
              <w:t>生活废水经化粪池沉淀处理后</w:t>
            </w:r>
            <w:r>
              <w:rPr>
                <w:rFonts w:hint="eastAsia"/>
                <w:color w:val="000000" w:themeColor="text1"/>
                <w:spacing w:val="0"/>
                <w:sz w:val="24"/>
                <w:highlight w:val="none"/>
                <w:lang w:val="en-US" w:eastAsia="zh-CN"/>
                <w14:textFill>
                  <w14:solidFill>
                    <w14:schemeClr w14:val="tx1"/>
                  </w14:solidFill>
                </w14:textFill>
              </w:rPr>
              <w:t>委托环卫部门定期清掏</w:t>
            </w:r>
            <w:r>
              <w:rPr>
                <w:rFonts w:hint="eastAsia" w:ascii="Times New Roman" w:hAnsi="Times New Roman" w:eastAsia="宋体"/>
                <w:color w:val="000000" w:themeColor="text1"/>
                <w:spacing w:val="0"/>
                <w:sz w:val="24"/>
                <w:highlight w:val="none"/>
                <w14:textFill>
                  <w14:solidFill>
                    <w14:schemeClr w14:val="tx1"/>
                  </w14:solidFill>
                </w14:textFill>
              </w:rPr>
              <w:t>，输电线路运行期不产生废水，生活污水产生量不增加</w:t>
            </w:r>
            <w:r>
              <w:rPr>
                <w:rFonts w:ascii="Times New Roman" w:hAnsi="Times New Roman" w:eastAsia="宋体"/>
                <w:color w:val="000000" w:themeColor="text1"/>
                <w:spacing w:val="0"/>
                <w:sz w:val="24"/>
                <w:highlight w:val="none"/>
                <w14:textFill>
                  <w14:solidFill>
                    <w14:schemeClr w14:val="tx1"/>
                  </w14:solidFill>
                </w14:textFill>
              </w:rPr>
              <w:t>。</w:t>
            </w:r>
          </w:p>
          <w:p w14:paraId="6B5777DC">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4、固体废物处置措施</w:t>
            </w:r>
          </w:p>
          <w:p w14:paraId="159E1921">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（1）本项目变电站为智能化变电站，运行期无人</w:t>
            </w:r>
            <w:r>
              <w:rPr>
                <w:rFonts w:hint="eastAsia"/>
                <w:color w:val="000000" w:themeColor="text1"/>
                <w:spacing w:val="0"/>
                <w:sz w:val="24"/>
                <w:highlight w:val="none"/>
                <w:lang w:val="en-US" w:eastAsia="zh-CN"/>
                <w14:textFill>
                  <w14:solidFill>
                    <w14:schemeClr w14:val="tx1"/>
                  </w14:solidFill>
                </w14:textFill>
              </w:rPr>
              <w:t>值班门卫值守</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门卫产生的少量生活垃圾经站内垃圾桶分类集中收集，定期清运至附近垃圾收集点，由环卫部门统一清运处置</w:t>
            </w:r>
            <w:r>
              <w:rPr>
                <w:rFonts w:ascii="Times New Roman" w:hAnsi="Times New Roman" w:eastAsia="宋体"/>
                <w:color w:val="000000" w:themeColor="text1"/>
                <w:spacing w:val="0"/>
                <w:sz w:val="24"/>
                <w:highlight w:val="none"/>
                <w14:textFill>
                  <w14:solidFill>
                    <w14:schemeClr w14:val="tx1"/>
                  </w14:solidFill>
                </w14:textFill>
              </w:rPr>
              <w:t>。</w:t>
            </w:r>
          </w:p>
          <w:p w14:paraId="6D36B12C">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（2）本项目变电站主变压器下方设有事故油坑，铺有卵石层，若主变压器在事故状态下排油或漏油，将经排油</w:t>
            </w:r>
            <w:r>
              <w:rPr>
                <w:rFonts w:hint="eastAsia" w:ascii="Times New Roman" w:hAnsi="Times New Roman" w:eastAsia="宋体"/>
                <w:color w:val="000000" w:themeColor="text1"/>
                <w:spacing w:val="0"/>
                <w:sz w:val="24"/>
                <w:highlight w:val="none"/>
                <w14:textFill>
                  <w14:solidFill>
                    <w14:schemeClr w14:val="tx1"/>
                  </w14:solidFill>
                </w14:textFill>
              </w:rPr>
              <w:t>管</w:t>
            </w:r>
            <w:r>
              <w:rPr>
                <w:rFonts w:ascii="Times New Roman" w:hAnsi="Times New Roman" w:eastAsia="宋体"/>
                <w:color w:val="000000" w:themeColor="text1"/>
                <w:spacing w:val="0"/>
                <w:sz w:val="24"/>
                <w:highlight w:val="none"/>
                <w14:textFill>
                  <w14:solidFill>
                    <w14:schemeClr w14:val="tx1"/>
                  </w14:solidFill>
                </w14:textFill>
              </w:rPr>
              <w:t>到达事故油池（</w:t>
            </w:r>
            <w:r>
              <w:rPr>
                <w:rFonts w:hint="eastAsia" w:ascii="Times New Roman" w:hAnsi="Times New Roman" w:eastAsia="宋体"/>
                <w:color w:val="000000" w:themeColor="text1"/>
                <w:spacing w:val="0"/>
                <w:sz w:val="24"/>
                <w:highlight w:val="none"/>
                <w:lang w:eastAsia="zh-CN"/>
                <w14:textFill>
                  <w14:solidFill>
                    <w14:schemeClr w14:val="tx1"/>
                  </w14:solidFill>
                </w14:textFill>
              </w:rPr>
              <w:t>25m</w:t>
            </w:r>
            <w:r>
              <w:rPr>
                <w:rFonts w:hint="eastAsia" w:ascii="Times New Roman" w:hAnsi="Times New Roman" w:eastAsia="宋体"/>
                <w:color w:val="000000" w:themeColor="text1"/>
                <w:spacing w:val="0"/>
                <w:sz w:val="24"/>
                <w:highlight w:val="none"/>
                <w:vertAlign w:val="superscript"/>
                <w:lang w:eastAsia="zh-CN"/>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），事故油交有危险废物处理资质的单位回收处置。事故油坑及事故油池防渗层为至少1m厚黏土层或至少2mm厚高密度聚乙烯，或至少2mm厚的其他人工材料。</w:t>
            </w:r>
          </w:p>
          <w:p w14:paraId="6637C8F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（3）本项目变电站报废的免维护蓄电池（一般8~12年更换一次）交有危险废物处理资质的单位置换后直接回收。运行期应对事故油池的完好情况进行检查，确保无渗漏、无溢流。</w:t>
            </w:r>
          </w:p>
          <w:p w14:paraId="650FBE85">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以上措施需在运行期过程中落实，责任单位和具体实施单位均为项目运行单位。</w:t>
            </w:r>
          </w:p>
          <w:p w14:paraId="280CECE1">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5、风险防范措施</w:t>
            </w:r>
          </w:p>
          <w:p w14:paraId="12E8312F">
            <w:pPr>
              <w:spacing w:line="360" w:lineRule="auto"/>
              <w:ind w:firstLine="482"/>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变电站在正常运行状态下无变压器油外排；一般只有发生事故状态下才会产生变压器油泄露。</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新建</w:t>
            </w:r>
            <w:r>
              <w:rPr>
                <w:rFonts w:ascii="Times New Roman" w:hAnsi="Times New Roman" w:eastAsia="宋体"/>
                <w:color w:val="000000" w:themeColor="text1"/>
                <w:spacing w:val="0"/>
                <w:sz w:val="24"/>
                <w:highlight w:val="none"/>
                <w14:textFill>
                  <w14:solidFill>
                    <w14:schemeClr w14:val="tx1"/>
                  </w14:solidFill>
                </w14:textFill>
              </w:rPr>
              <w:t>变电站主变压器下设置事故油坑，铺设鹅卵层，四周设有排油</w:t>
            </w:r>
            <w:r>
              <w:rPr>
                <w:rFonts w:hint="eastAsia" w:ascii="Times New Roman" w:hAnsi="Times New Roman" w:eastAsia="宋体"/>
                <w:color w:val="000000" w:themeColor="text1"/>
                <w:spacing w:val="0"/>
                <w:sz w:val="24"/>
                <w:highlight w:val="none"/>
                <w14:textFill>
                  <w14:solidFill>
                    <w14:schemeClr w14:val="tx1"/>
                  </w14:solidFill>
                </w14:textFill>
              </w:rPr>
              <w:t>管</w:t>
            </w:r>
            <w:r>
              <w:rPr>
                <w:rFonts w:ascii="Times New Roman" w:hAnsi="Times New Roman" w:eastAsia="宋体"/>
                <w:color w:val="000000" w:themeColor="text1"/>
                <w:spacing w:val="0"/>
                <w:sz w:val="24"/>
                <w:highlight w:val="none"/>
                <w14:textFill>
                  <w14:solidFill>
                    <w14:schemeClr w14:val="tx1"/>
                  </w14:solidFill>
                </w14:textFill>
              </w:rPr>
              <w:t>与事故油池相连。为了进一步减轻环境风险，变电站应采取以下环境风险防治措施：</w:t>
            </w:r>
          </w:p>
          <w:p w14:paraId="70B38973">
            <w:pPr>
              <w:spacing w:line="360" w:lineRule="auto"/>
              <w:ind w:firstLine="482"/>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（1）事故油坑及事故油池防渗层为至少1m厚黏土层或至少2mm厚高密度聚乙烯，或至少2mm厚的其他人工材料。</w:t>
            </w:r>
          </w:p>
          <w:p w14:paraId="32ACF584">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（2）当突发事故时，所有的漏油将渗过鹅卵层到达事故油坑并通过排油管最终排入事故油池（</w:t>
            </w:r>
            <w:r>
              <w:rPr>
                <w:rFonts w:hint="eastAsia" w:ascii="Times New Roman" w:hAnsi="Times New Roman" w:eastAsia="宋体"/>
                <w:color w:val="000000" w:themeColor="text1"/>
                <w:spacing w:val="0"/>
                <w:sz w:val="24"/>
                <w:highlight w:val="none"/>
                <w:lang w:eastAsia="zh-CN"/>
                <w14:textFill>
                  <w14:solidFill>
                    <w14:schemeClr w14:val="tx1"/>
                  </w14:solidFill>
                </w14:textFill>
              </w:rPr>
              <w:t>25m</w:t>
            </w:r>
            <w:r>
              <w:rPr>
                <w:rFonts w:hint="eastAsia" w:ascii="Times New Roman" w:hAnsi="Times New Roman" w:eastAsia="宋体"/>
                <w:color w:val="000000" w:themeColor="text1"/>
                <w:spacing w:val="0"/>
                <w:sz w:val="24"/>
                <w:highlight w:val="none"/>
                <w:vertAlign w:val="superscript"/>
                <w:lang w:eastAsia="zh-CN"/>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），在此过程鹅卵层起到冷却油的作用，不易发生火灾。废变压器油经事故油池收集后，交有危险废物处理资质的单位回收处置。</w:t>
            </w:r>
          </w:p>
          <w:p w14:paraId="3053A2CB">
            <w:pPr>
              <w:spacing w:line="360" w:lineRule="auto"/>
              <w:ind w:firstLine="482"/>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建设单位应定期对电气设备检修、维护，确保变电站内电气设备安全运行，杜绝事故的发生。针对变电站站内可能发生的突发环境事件，建设单位按照国家有关规定制定突发环境事件应急预案，并定期进行演练。</w:t>
            </w:r>
          </w:p>
          <w:p w14:paraId="1399176C">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6、运行期环境管理</w:t>
            </w:r>
          </w:p>
          <w:p w14:paraId="73243D42">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（1）运行期环境管理</w:t>
            </w:r>
          </w:p>
          <w:p w14:paraId="504F0190">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运行单位须设环境管理部门，配备相应的环境管理人员以不少于1人为宜，环境管理人员应在各自的岗位责任制中明确所负的环保责任。监督国家法规、条例的贯彻执行情况，制订和贯彻环保管理制度，监控本项目主要污染源，对各部门、操作岗位进行环境保护监督和管理。</w:t>
            </w:r>
          </w:p>
          <w:p w14:paraId="01FBE36F">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①制定和实施各项环境管理计划。</w:t>
            </w:r>
          </w:p>
          <w:p w14:paraId="3750BEF0">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②建立工频电场、工频磁场及噪声环境监测。</w:t>
            </w:r>
          </w:p>
          <w:p w14:paraId="2FB9DE13">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③不定期地巡查线路各段，保护生态环境不被破坏，保证保护生态环境与项目运行相协调。</w:t>
            </w:r>
          </w:p>
          <w:p w14:paraId="08894411">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④检查环境保护设施运行情况，及时处理出现的问题，保证环保设施正常运行。</w:t>
            </w:r>
          </w:p>
          <w:p w14:paraId="1504E664">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⑤协调配合生态环境保护部门组织的监督检查，并组织整改发现的问题。</w:t>
            </w:r>
          </w:p>
          <w:p w14:paraId="7807563A">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（2）运行期环境监测计划</w:t>
            </w:r>
          </w:p>
          <w:p w14:paraId="4C83EF59">
            <w:pPr>
              <w:pStyle w:val="6"/>
              <w:spacing w:line="360" w:lineRule="auto"/>
              <w:ind w:firstLine="480" w:firstLineChars="200"/>
              <w:outlineLvl w:val="9"/>
              <w:rPr>
                <w:rFonts w:ascii="Times New Roman" w:hAnsi="Times New Roman" w:eastAsia="宋体"/>
                <w:color w:val="000000" w:themeColor="text1"/>
                <w:spacing w:val="0"/>
                <w:sz w:val="24"/>
                <w:szCs w:val="24"/>
                <w:highlight w:val="none"/>
                <w14:textFill>
                  <w14:solidFill>
                    <w14:schemeClr w14:val="tx1"/>
                  </w14:solidFill>
                </w14:textFill>
              </w:rPr>
            </w:pPr>
            <w:r>
              <w:rPr>
                <w:rFonts w:ascii="Times New Roman" w:hAnsi="Times New Roman" w:eastAsia="宋体"/>
                <w:color w:val="000000" w:themeColor="text1"/>
                <w:spacing w:val="0"/>
                <w:sz w:val="24"/>
                <w:szCs w:val="24"/>
                <w:highlight w:val="none"/>
                <w14:textFill>
                  <w14:solidFill>
                    <w14:schemeClr w14:val="tx1"/>
                  </w14:solidFill>
                </w14:textFill>
              </w:rPr>
              <w:t>运行期环境监测计划见表5-1。</w:t>
            </w:r>
          </w:p>
          <w:p w14:paraId="7C8201F8">
            <w:pPr>
              <w:spacing w:line="360" w:lineRule="auto"/>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表5-1  运行期环境监测计划一览表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095"/>
              <w:gridCol w:w="1380"/>
              <w:gridCol w:w="5125"/>
            </w:tblGrid>
            <w:tr w14:paraId="23BEF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19" w:type="dxa"/>
                  <w:vAlign w:val="center"/>
                </w:tcPr>
                <w:p w14:paraId="229282BA">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序号</w:t>
                  </w:r>
                </w:p>
              </w:tc>
              <w:tc>
                <w:tcPr>
                  <w:tcW w:w="2475" w:type="dxa"/>
                  <w:gridSpan w:val="2"/>
                  <w:vAlign w:val="center"/>
                </w:tcPr>
                <w:p w14:paraId="69ADE851">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名称</w:t>
                  </w:r>
                </w:p>
              </w:tc>
              <w:tc>
                <w:tcPr>
                  <w:tcW w:w="5125" w:type="dxa"/>
                  <w:vAlign w:val="center"/>
                </w:tcPr>
                <w:p w14:paraId="4FB667F5">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内容</w:t>
                  </w:r>
                </w:p>
              </w:tc>
            </w:tr>
            <w:tr w14:paraId="6DE9E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19" w:type="dxa"/>
                  <w:vMerge w:val="restart"/>
                  <w:vAlign w:val="center"/>
                </w:tcPr>
                <w:p w14:paraId="7029A6A4">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w:t>
                  </w:r>
                </w:p>
              </w:tc>
              <w:tc>
                <w:tcPr>
                  <w:tcW w:w="1095" w:type="dxa"/>
                  <w:vMerge w:val="restart"/>
                  <w:vAlign w:val="center"/>
                </w:tcPr>
                <w:p w14:paraId="08EAC3D0">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工频电场</w:t>
                  </w:r>
                </w:p>
                <w:p w14:paraId="3166BB22">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工频磁场</w:t>
                  </w:r>
                </w:p>
              </w:tc>
              <w:tc>
                <w:tcPr>
                  <w:tcW w:w="1380" w:type="dxa"/>
                  <w:vAlign w:val="center"/>
                </w:tcPr>
                <w:p w14:paraId="4D25E683">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监测方法</w:t>
                  </w:r>
                </w:p>
              </w:tc>
              <w:tc>
                <w:tcPr>
                  <w:tcW w:w="5125" w:type="dxa"/>
                  <w:vAlign w:val="center"/>
                </w:tcPr>
                <w:p w14:paraId="4208FD4A">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《交流输变电工程电磁环境检测方法</w:t>
                  </w:r>
                  <w:r>
                    <w:rPr>
                      <w:rFonts w:hint="eastAsia" w:ascii="Times New Roman" w:hAnsi="Times New Roman" w:eastAsia="宋体"/>
                      <w:bCs/>
                      <w:color w:val="000000" w:themeColor="text1"/>
                      <w:spacing w:val="0"/>
                      <w:szCs w:val="21"/>
                      <w:highlight w:val="none"/>
                      <w14:textFill>
                        <w14:solidFill>
                          <w14:schemeClr w14:val="tx1"/>
                        </w14:solidFill>
                      </w14:textFill>
                    </w:rPr>
                    <w:t>（</w:t>
                  </w:r>
                  <w:r>
                    <w:rPr>
                      <w:rFonts w:ascii="Times New Roman" w:hAnsi="Times New Roman" w:eastAsia="宋体"/>
                      <w:bCs/>
                      <w:color w:val="000000" w:themeColor="text1"/>
                      <w:spacing w:val="0"/>
                      <w:szCs w:val="21"/>
                      <w:highlight w:val="none"/>
                      <w14:textFill>
                        <w14:solidFill>
                          <w14:schemeClr w14:val="tx1"/>
                        </w14:solidFill>
                      </w14:textFill>
                    </w:rPr>
                    <w:t>试行</w:t>
                  </w:r>
                  <w:r>
                    <w:rPr>
                      <w:rFonts w:hint="eastAsia" w:ascii="Times New Roman" w:hAnsi="Times New Roman" w:eastAsia="宋体"/>
                      <w:bCs/>
                      <w:color w:val="000000" w:themeColor="text1"/>
                      <w:spacing w:val="0"/>
                      <w:szCs w:val="21"/>
                      <w:highlight w:val="none"/>
                      <w14:textFill>
                        <w14:solidFill>
                          <w14:schemeClr w14:val="tx1"/>
                        </w14:solidFill>
                      </w14:textFill>
                    </w:rPr>
                    <w:t>）</w:t>
                  </w:r>
                  <w:r>
                    <w:rPr>
                      <w:rFonts w:ascii="Times New Roman" w:hAnsi="Times New Roman" w:eastAsia="宋体"/>
                      <w:bCs/>
                      <w:color w:val="000000" w:themeColor="text1"/>
                      <w:spacing w:val="0"/>
                      <w:szCs w:val="21"/>
                      <w:highlight w:val="none"/>
                      <w14:textFill>
                        <w14:solidFill>
                          <w14:schemeClr w14:val="tx1"/>
                        </w14:solidFill>
                      </w14:textFill>
                    </w:rPr>
                    <w:t>》（HJ681-2013）</w:t>
                  </w:r>
                </w:p>
              </w:tc>
            </w:tr>
            <w:tr w14:paraId="24AF0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19" w:type="dxa"/>
                  <w:vMerge w:val="continue"/>
                  <w:vAlign w:val="center"/>
                </w:tcPr>
                <w:p w14:paraId="416627F4">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1095" w:type="dxa"/>
                  <w:vMerge w:val="continue"/>
                  <w:vAlign w:val="center"/>
                </w:tcPr>
                <w:p w14:paraId="071799FB">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1380" w:type="dxa"/>
                  <w:vAlign w:val="center"/>
                </w:tcPr>
                <w:p w14:paraId="2F7AD999">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监测频次和时间</w:t>
                  </w:r>
                </w:p>
              </w:tc>
              <w:tc>
                <w:tcPr>
                  <w:tcW w:w="5125" w:type="dxa"/>
                  <w:vAlign w:val="center"/>
                </w:tcPr>
                <w:p w14:paraId="16FA8AE4">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竣工验收监测一次；</w:t>
                  </w:r>
                  <w:r>
                    <w:rPr>
                      <w:rFonts w:ascii="Times New Roman" w:hAnsi="Times New Roman" w:eastAsia="宋体"/>
                      <w:bCs/>
                      <w:color w:val="000000" w:themeColor="text1"/>
                      <w:spacing w:val="0"/>
                      <w:kern w:val="0"/>
                      <w:szCs w:val="21"/>
                      <w:highlight w:val="none"/>
                      <w14:textFill>
                        <w14:solidFill>
                          <w14:schemeClr w14:val="tx1"/>
                        </w14:solidFill>
                      </w14:textFill>
                    </w:rPr>
                    <w:t>运行期</w:t>
                  </w:r>
                  <w:r>
                    <w:rPr>
                      <w:rFonts w:hint="eastAsia" w:ascii="Times New Roman" w:hAnsi="Times New Roman" w:eastAsia="宋体"/>
                      <w:bCs/>
                      <w:color w:val="000000" w:themeColor="text1"/>
                      <w:spacing w:val="0"/>
                      <w:kern w:val="0"/>
                      <w:szCs w:val="21"/>
                      <w:highlight w:val="none"/>
                      <w:lang w:val="en-US" w:eastAsia="zh-CN"/>
                      <w14:textFill>
                        <w14:solidFill>
                          <w14:schemeClr w14:val="tx1"/>
                        </w14:solidFill>
                      </w14:textFill>
                    </w:rPr>
                    <w:t>定期检测</w:t>
                  </w:r>
                  <w:r>
                    <w:rPr>
                      <w:rFonts w:ascii="Times New Roman" w:hAnsi="Times New Roman" w:eastAsia="宋体"/>
                      <w:bCs/>
                      <w:color w:val="000000" w:themeColor="text1"/>
                      <w:spacing w:val="0"/>
                      <w:kern w:val="0"/>
                      <w:szCs w:val="21"/>
                      <w:highlight w:val="none"/>
                      <w14:textFill>
                        <w14:solidFill>
                          <w14:schemeClr w14:val="tx1"/>
                        </w14:solidFill>
                      </w14:textFill>
                    </w:rPr>
                    <w:t>；投诉纠纷时应及时进行监测；</w:t>
                  </w:r>
                </w:p>
              </w:tc>
            </w:tr>
            <w:tr w14:paraId="78704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19" w:type="dxa"/>
                  <w:vMerge w:val="restart"/>
                  <w:vAlign w:val="center"/>
                </w:tcPr>
                <w:p w14:paraId="6A4C4F41">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2</w:t>
                  </w:r>
                </w:p>
              </w:tc>
              <w:tc>
                <w:tcPr>
                  <w:tcW w:w="1095" w:type="dxa"/>
                  <w:vMerge w:val="restart"/>
                  <w:vAlign w:val="center"/>
                </w:tcPr>
                <w:p w14:paraId="0C895A44">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噪声</w:t>
                  </w:r>
                </w:p>
              </w:tc>
              <w:tc>
                <w:tcPr>
                  <w:tcW w:w="1380" w:type="dxa"/>
                  <w:vAlign w:val="center"/>
                </w:tcPr>
                <w:p w14:paraId="0C589A87">
                  <w:pPr>
                    <w:pStyle w:val="7"/>
                    <w:adjustRightInd w:val="0"/>
                    <w:snapToGrid w:val="0"/>
                    <w:spacing w:after="0"/>
                    <w:ind w:left="0" w:leftChars="0" w:firstLine="0"/>
                    <w:jc w:val="center"/>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监测方法</w:t>
                  </w:r>
                </w:p>
              </w:tc>
              <w:tc>
                <w:tcPr>
                  <w:tcW w:w="5125" w:type="dxa"/>
                  <w:vAlign w:val="center"/>
                </w:tcPr>
                <w:p w14:paraId="3E2CECE2">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《工业企业厂界环境噪声排放标准》</w:t>
                  </w:r>
                </w:p>
                <w:p w14:paraId="5C886AA6">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bCs/>
                      <w:color w:val="000000" w:themeColor="text1"/>
                      <w:spacing w:val="0"/>
                      <w:szCs w:val="21"/>
                      <w:highlight w:val="none"/>
                      <w14:textFill>
                        <w14:solidFill>
                          <w14:schemeClr w14:val="tx1"/>
                        </w14:solidFill>
                      </w14:textFill>
                    </w:rPr>
                    <w:t>（</w:t>
                  </w:r>
                  <w:r>
                    <w:rPr>
                      <w:rFonts w:ascii="Times New Roman" w:hAnsi="Times New Roman" w:eastAsia="宋体"/>
                      <w:bCs/>
                      <w:color w:val="000000" w:themeColor="text1"/>
                      <w:spacing w:val="0"/>
                      <w:szCs w:val="21"/>
                      <w:highlight w:val="none"/>
                      <w14:textFill>
                        <w14:solidFill>
                          <w14:schemeClr w14:val="tx1"/>
                        </w14:solidFill>
                      </w14:textFill>
                    </w:rPr>
                    <w:t>GB12348-2008</w:t>
                  </w:r>
                  <w:r>
                    <w:rPr>
                      <w:rFonts w:hint="eastAsia" w:ascii="Times New Roman" w:hAnsi="Times New Roman" w:eastAsia="宋体"/>
                      <w:bCs/>
                      <w:color w:val="000000" w:themeColor="text1"/>
                      <w:spacing w:val="0"/>
                      <w:szCs w:val="21"/>
                      <w:highlight w:val="none"/>
                      <w14:textFill>
                        <w14:solidFill>
                          <w14:schemeClr w14:val="tx1"/>
                        </w14:solidFill>
                      </w14:textFill>
                    </w:rPr>
                    <w:t>）、</w:t>
                  </w:r>
                  <w:r>
                    <w:rPr>
                      <w:rFonts w:ascii="Times New Roman" w:hAnsi="Times New Roman" w:eastAsia="宋体"/>
                      <w:bCs/>
                      <w:color w:val="000000" w:themeColor="text1"/>
                      <w:spacing w:val="0"/>
                      <w:szCs w:val="21"/>
                      <w:highlight w:val="none"/>
                      <w14:textFill>
                        <w14:solidFill>
                          <w14:schemeClr w14:val="tx1"/>
                        </w14:solidFill>
                      </w14:textFill>
                    </w:rPr>
                    <w:t>《声环境质量标准》（GB3096-2008）</w:t>
                  </w:r>
                </w:p>
              </w:tc>
            </w:tr>
            <w:tr w14:paraId="40CE7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19" w:type="dxa"/>
                  <w:vMerge w:val="continue"/>
                  <w:vAlign w:val="center"/>
                </w:tcPr>
                <w:p w14:paraId="064437A8">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1095" w:type="dxa"/>
                  <w:vMerge w:val="continue"/>
                  <w:vAlign w:val="center"/>
                </w:tcPr>
                <w:p w14:paraId="0217EE3E">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1380" w:type="dxa"/>
                  <w:vMerge w:val="restart"/>
                  <w:vAlign w:val="center"/>
                </w:tcPr>
                <w:p w14:paraId="6B1B7B91">
                  <w:pPr>
                    <w:pStyle w:val="7"/>
                    <w:adjustRightInd w:val="0"/>
                    <w:snapToGrid w:val="0"/>
                    <w:spacing w:after="0"/>
                    <w:ind w:left="0" w:leftChars="0" w:firstLine="0"/>
                    <w:jc w:val="center"/>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监测频次和时间</w:t>
                  </w:r>
                </w:p>
              </w:tc>
              <w:tc>
                <w:tcPr>
                  <w:tcW w:w="5125" w:type="dxa"/>
                  <w:vAlign w:val="center"/>
                </w:tcPr>
                <w:p w14:paraId="1860489D">
                  <w:pPr>
                    <w:pStyle w:val="7"/>
                    <w:adjustRightInd w:val="0"/>
                    <w:snapToGrid w:val="0"/>
                    <w:spacing w:after="0"/>
                    <w:ind w:left="0" w:leftChars="0" w:firstLine="0"/>
                    <w:jc w:val="center"/>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变电站：竣工验收监测一次、</w:t>
                  </w:r>
                  <w:r>
                    <w:rPr>
                      <w:rFonts w:ascii="Times New Roman" w:hAnsi="Times New Roman" w:eastAsia="宋体"/>
                      <w:bCs/>
                      <w:color w:val="000000" w:themeColor="text1"/>
                      <w:spacing w:val="0"/>
                      <w:szCs w:val="21"/>
                      <w:highlight w:val="none"/>
                      <w14:textFill>
                        <w14:solidFill>
                          <w14:schemeClr w14:val="tx1"/>
                        </w14:solidFill>
                      </w14:textFill>
                    </w:rPr>
                    <w:t>运行期</w:t>
                  </w:r>
                  <w:r>
                    <w:rPr>
                      <w:rFonts w:hint="eastAsia" w:ascii="Times New Roman" w:hAnsi="Times New Roman" w:eastAsia="宋体"/>
                      <w:bCs/>
                      <w:color w:val="000000" w:themeColor="text1"/>
                      <w:spacing w:val="0"/>
                      <w:szCs w:val="21"/>
                      <w:highlight w:val="none"/>
                      <w:lang w:val="en-US" w:eastAsia="zh-CN"/>
                      <w14:textFill>
                        <w14:solidFill>
                          <w14:schemeClr w14:val="tx1"/>
                        </w14:solidFill>
                      </w14:textFill>
                    </w:rPr>
                    <w:t>每四年监测1次</w:t>
                  </w:r>
                  <w:r>
                    <w:rPr>
                      <w:rFonts w:ascii="Times New Roman" w:hAnsi="Times New Roman" w:eastAsia="宋体"/>
                      <w:bCs/>
                      <w:color w:val="000000" w:themeColor="text1"/>
                      <w:spacing w:val="0"/>
                      <w:szCs w:val="21"/>
                      <w:highlight w:val="none"/>
                      <w14:textFill>
                        <w14:solidFill>
                          <w14:schemeClr w14:val="tx1"/>
                        </w14:solidFill>
                      </w14:textFill>
                    </w:rPr>
                    <w:t>；</w:t>
                  </w:r>
                  <w:r>
                    <w:rPr>
                      <w:rFonts w:ascii="Times New Roman" w:hAnsi="Times New Roman" w:eastAsia="宋体"/>
                      <w:bCs/>
                      <w:color w:val="000000" w:themeColor="text1"/>
                      <w:spacing w:val="0"/>
                      <w:szCs w:val="21"/>
                      <w:highlight w:val="none"/>
                      <w:lang w:val="zh-CN"/>
                      <w14:textFill>
                        <w14:solidFill>
                          <w14:schemeClr w14:val="tx1"/>
                        </w14:solidFill>
                      </w14:textFill>
                    </w:rPr>
                    <w:t>主要</w:t>
                  </w:r>
                  <w:r>
                    <w:rPr>
                      <w:rFonts w:ascii="Times New Roman" w:hAnsi="Times New Roman" w:eastAsia="宋体"/>
                      <w:bCs/>
                      <w:color w:val="000000" w:themeColor="text1"/>
                      <w:spacing w:val="0"/>
                      <w:szCs w:val="21"/>
                      <w:highlight w:val="none"/>
                      <w14:textFill>
                        <w14:solidFill>
                          <w14:schemeClr w14:val="tx1"/>
                        </w14:solidFill>
                      </w14:textFill>
                    </w:rPr>
                    <w:t>噪</w:t>
                  </w:r>
                  <w:r>
                    <w:rPr>
                      <w:rFonts w:ascii="Times New Roman" w:hAnsi="Times New Roman" w:eastAsia="宋体"/>
                      <w:bCs/>
                      <w:color w:val="000000" w:themeColor="text1"/>
                      <w:spacing w:val="0"/>
                      <w:szCs w:val="21"/>
                      <w:highlight w:val="none"/>
                      <w:lang w:val="zh-CN"/>
                      <w14:textFill>
                        <w14:solidFill>
                          <w14:schemeClr w14:val="tx1"/>
                        </w14:solidFill>
                      </w14:textFill>
                    </w:rPr>
                    <w:t>声源设备大修前后</w:t>
                  </w:r>
                  <w:r>
                    <w:rPr>
                      <w:rFonts w:ascii="Times New Roman" w:hAnsi="Times New Roman" w:eastAsia="宋体"/>
                      <w:bCs/>
                      <w:color w:val="000000" w:themeColor="text1"/>
                      <w:spacing w:val="0"/>
                      <w:szCs w:val="21"/>
                      <w:highlight w:val="none"/>
                      <w14:textFill>
                        <w14:solidFill>
                          <w14:schemeClr w14:val="tx1"/>
                        </w14:solidFill>
                      </w14:textFill>
                    </w:rPr>
                    <w:t>对变电站进行监测；</w:t>
                  </w:r>
                </w:p>
              </w:tc>
            </w:tr>
            <w:tr w14:paraId="0BD3E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19" w:type="dxa"/>
                  <w:vMerge w:val="continue"/>
                  <w:vAlign w:val="center"/>
                </w:tcPr>
                <w:p w14:paraId="4CE49C60">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1095" w:type="dxa"/>
                  <w:vMerge w:val="continue"/>
                  <w:vAlign w:val="center"/>
                </w:tcPr>
                <w:p w14:paraId="794FF766">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1380" w:type="dxa"/>
                  <w:vMerge w:val="continue"/>
                  <w:vAlign w:val="center"/>
                </w:tcPr>
                <w:p w14:paraId="0BD2ECCF">
                  <w:pPr>
                    <w:pStyle w:val="7"/>
                    <w:adjustRightInd w:val="0"/>
                    <w:snapToGrid w:val="0"/>
                    <w:spacing w:after="0"/>
                    <w:ind w:left="0" w:leftChars="0" w:firstLine="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p>
              </w:tc>
              <w:tc>
                <w:tcPr>
                  <w:tcW w:w="5125" w:type="dxa"/>
                  <w:vAlign w:val="center"/>
                </w:tcPr>
                <w:p w14:paraId="35D37247">
                  <w:pPr>
                    <w:pStyle w:val="7"/>
                    <w:adjustRightInd w:val="0"/>
                    <w:snapToGrid w:val="0"/>
                    <w:spacing w:after="0"/>
                    <w:ind w:left="0" w:leftChars="0" w:firstLine="0"/>
                    <w:jc w:val="center"/>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输电线路：竣工验收监测一次</w:t>
                  </w:r>
                  <w:r>
                    <w:rPr>
                      <w:rFonts w:ascii="Times New Roman" w:hAnsi="Times New Roman" w:eastAsia="宋体"/>
                      <w:color w:val="000000" w:themeColor="text1"/>
                      <w:spacing w:val="0"/>
                      <w:highlight w:val="none"/>
                      <w14:textFill>
                        <w14:solidFill>
                          <w14:schemeClr w14:val="tx1"/>
                        </w14:solidFill>
                      </w14:textFill>
                    </w:rPr>
                    <w:t>；</w:t>
                  </w:r>
                  <w:r>
                    <w:rPr>
                      <w:rFonts w:hint="eastAsia" w:ascii="Times New Roman" w:hAnsi="Times New Roman" w:eastAsia="宋体"/>
                      <w:color w:val="000000" w:themeColor="text1"/>
                      <w:spacing w:val="0"/>
                      <w:highlight w:val="none"/>
                      <w14:textFill>
                        <w14:solidFill>
                          <w14:schemeClr w14:val="tx1"/>
                        </w14:solidFill>
                      </w14:textFill>
                    </w:rPr>
                    <w:t>投诉纠纷时应及时进行监测；</w:t>
                  </w:r>
                </w:p>
              </w:tc>
            </w:tr>
          </w:tbl>
          <w:p w14:paraId="7B02039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7382A47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（3）监测点位</w:t>
            </w:r>
          </w:p>
          <w:p w14:paraId="75ED3F2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本项目运行后监测项目主要为：工频电场、工频磁场</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噪声</w:t>
            </w:r>
            <w:r>
              <w:rPr>
                <w:rFonts w:ascii="Times New Roman" w:hAnsi="Times New Roman" w:eastAsia="宋体"/>
                <w:color w:val="000000" w:themeColor="text1"/>
                <w:spacing w:val="0"/>
                <w:sz w:val="24"/>
                <w:highlight w:val="none"/>
                <w14:textFill>
                  <w14:solidFill>
                    <w14:schemeClr w14:val="tx1"/>
                  </w14:solidFill>
                </w14:textFill>
              </w:rPr>
              <w:t>。运行期环境监测点位可参照本项目环评文件监测点位进行布设，如环评文件监测点位未能全面反映出项目建设的实际环境影响时，可根据实际情况</w:t>
            </w:r>
            <w:r>
              <w:rPr>
                <w:rFonts w:hint="eastAsia" w:ascii="Times New Roman" w:hAnsi="Times New Roman" w:eastAsia="宋体"/>
                <w:color w:val="000000" w:themeColor="text1"/>
                <w:spacing w:val="0"/>
                <w:sz w:val="24"/>
                <w:highlight w:val="none"/>
                <w14:textFill>
                  <w14:solidFill>
                    <w14:schemeClr w14:val="tx1"/>
                  </w14:solidFill>
                </w14:textFill>
              </w:rPr>
              <w:t>及敏感目标</w:t>
            </w:r>
            <w:r>
              <w:rPr>
                <w:rFonts w:ascii="Times New Roman" w:hAnsi="Times New Roman" w:eastAsia="宋体"/>
                <w:color w:val="000000" w:themeColor="text1"/>
                <w:spacing w:val="0"/>
                <w:sz w:val="24"/>
                <w:highlight w:val="none"/>
                <w14:textFill>
                  <w14:solidFill>
                    <w14:schemeClr w14:val="tx1"/>
                  </w14:solidFill>
                </w14:textFill>
              </w:rPr>
              <w:t>进行调整。</w:t>
            </w:r>
          </w:p>
          <w:p w14:paraId="299BA83C">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①</w:t>
            </w:r>
            <w:r>
              <w:rPr>
                <w:rFonts w:ascii="Times New Roman" w:hAnsi="Times New Roman" w:eastAsia="宋体"/>
                <w:color w:val="000000" w:themeColor="text1"/>
                <w:spacing w:val="0"/>
                <w:sz w:val="24"/>
                <w:highlight w:val="none"/>
                <w14:textFill>
                  <w14:solidFill>
                    <w14:schemeClr w14:val="tx1"/>
                  </w14:solidFill>
                </w14:textFill>
              </w:rPr>
              <w:t xml:space="preserve">工频电场、工频磁场 </w:t>
            </w:r>
          </w:p>
          <w:p w14:paraId="5391D824">
            <w:pPr>
              <w:autoSpaceDE w:val="0"/>
              <w:autoSpaceDN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三岔</w:t>
            </w:r>
            <w:r>
              <w:rPr>
                <w:rFonts w:ascii="Times New Roman" w:hAnsi="Times New Roman" w:eastAsia="宋体"/>
                <w:color w:val="000000" w:themeColor="text1"/>
                <w:spacing w:val="0"/>
                <w:sz w:val="24"/>
                <w:highlight w:val="none"/>
                <w14:textFill>
                  <w14:solidFill>
                    <w14:schemeClr w14:val="tx1"/>
                  </w14:solidFill>
                </w14:textFill>
              </w:rPr>
              <w:t>110kV变电站工程</w:t>
            </w:r>
            <w:r>
              <w:rPr>
                <w:rFonts w:ascii="Times New Roman" w:hAnsi="Times New Roman" w:eastAsia="宋体"/>
                <w:color w:val="000000" w:themeColor="text1"/>
                <w:spacing w:val="0"/>
                <w:kern w:val="0"/>
                <w:sz w:val="24"/>
                <w:highlight w:val="none"/>
                <w14:textFill>
                  <w14:solidFill>
                    <w14:schemeClr w14:val="tx1"/>
                  </w14:solidFill>
                </w14:textFill>
              </w:rPr>
              <w:t>：监测点选择在变电站无进出线或远离进出线（距离边导线地面投影不少于20m）的围墙外且距离围墙5m处布置，</w:t>
            </w:r>
            <w:r>
              <w:rPr>
                <w:rFonts w:ascii="Times New Roman" w:hAnsi="Times New Roman" w:eastAsia="宋体"/>
                <w:color w:val="000000" w:themeColor="text1"/>
                <w:spacing w:val="0"/>
                <w:sz w:val="24"/>
                <w:highlight w:val="none"/>
                <w14:textFill>
                  <w14:solidFill>
                    <w14:schemeClr w14:val="tx1"/>
                  </w14:solidFill>
                </w14:textFill>
              </w:rPr>
              <w:t>距离地面1.5m位置</w:t>
            </w:r>
            <w:r>
              <w:rPr>
                <w:rFonts w:ascii="Times New Roman" w:hAnsi="Times New Roman" w:eastAsia="宋体"/>
                <w:color w:val="000000" w:themeColor="text1"/>
                <w:spacing w:val="0"/>
                <w:kern w:val="0"/>
                <w:sz w:val="24"/>
                <w:highlight w:val="none"/>
                <w14:textFill>
                  <w14:solidFill>
                    <w14:schemeClr w14:val="tx1"/>
                  </w14:solidFill>
                </w14:textFill>
              </w:rPr>
              <w:t>。断面监测路径选择在以变电站围墙（监测最大值）为起点，在垂直于围墙的方向上布置，监测点间距为5m，顺序测至距离围墙50m处为止。</w:t>
            </w:r>
          </w:p>
          <w:p w14:paraId="1B941DCA">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本项目线路工程</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在输电线路</w:t>
            </w:r>
            <w:r>
              <w:rPr>
                <w:rFonts w:hint="eastAsia" w:cs="Times New Roman"/>
                <w:color w:val="000000" w:themeColor="text1"/>
                <w:spacing w:val="0"/>
                <w:w w:val="100"/>
                <w:position w:val="0"/>
                <w:sz w:val="24"/>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电磁环境敏感目标处布设监测点。</w:t>
            </w:r>
            <w:r>
              <w:rPr>
                <w:rFonts w:hint="eastAsia"/>
                <w:color w:val="000000" w:themeColor="text1"/>
                <w:spacing w:val="0"/>
                <w:kern w:val="0"/>
                <w:sz w:val="24"/>
                <w:highlight w:val="none"/>
                <w:lang w:val="en-US" w:eastAsia="zh-CN"/>
                <w14:textFill>
                  <w14:solidFill>
                    <w14:schemeClr w14:val="tx1"/>
                  </w14:solidFill>
                </w14:textFill>
              </w:rPr>
              <w:t>架空</w:t>
            </w:r>
            <w:r>
              <w:rPr>
                <w:rFonts w:hint="eastAsia" w:ascii="Times New Roman" w:hAnsi="Times New Roman" w:eastAsia="宋体"/>
                <w:color w:val="000000" w:themeColor="text1"/>
                <w:spacing w:val="0"/>
                <w:kern w:val="0"/>
                <w:sz w:val="24"/>
                <w:highlight w:val="none"/>
                <w14:textFill>
                  <w14:solidFill>
                    <w14:schemeClr w14:val="tx1"/>
                  </w14:solidFill>
                </w14:textFill>
              </w:rPr>
              <w:t>单回路</w:t>
            </w:r>
            <w:r>
              <w:rPr>
                <w:rFonts w:ascii="Times New Roman" w:hAnsi="Times New Roman" w:eastAsia="宋体"/>
                <w:color w:val="000000" w:themeColor="text1"/>
                <w:spacing w:val="0"/>
                <w:kern w:val="0"/>
                <w:sz w:val="24"/>
                <w:highlight w:val="none"/>
                <w14:textFill>
                  <w14:solidFill>
                    <w14:schemeClr w14:val="tx1"/>
                  </w14:solidFill>
                </w14:textFill>
              </w:rPr>
              <w:t>输电线路</w:t>
            </w:r>
            <w:bookmarkStart w:id="12" w:name="OLE_LINK8"/>
            <w:r>
              <w:rPr>
                <w:rFonts w:hint="eastAsia" w:ascii="Times New Roman" w:hAnsi="Times New Roman" w:eastAsia="宋体"/>
                <w:color w:val="000000" w:themeColor="text1"/>
                <w:spacing w:val="0"/>
                <w:kern w:val="0"/>
                <w:sz w:val="24"/>
                <w:highlight w:val="none"/>
                <w14:textFill>
                  <w14:solidFill>
                    <w14:schemeClr w14:val="tx1"/>
                  </w14:solidFill>
                </w14:textFill>
              </w:rPr>
              <w:t>以弧垂最低位置处中相导线对地投影点为起点</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kern w:val="0"/>
                <w:sz w:val="24"/>
                <w:highlight w:val="none"/>
                <w14:textFill>
                  <w14:solidFill>
                    <w14:schemeClr w14:val="tx1"/>
                  </w14:solidFill>
                </w14:textFill>
              </w:rPr>
              <w:t>同塔双回输电线路以弧垂最低位置处档距对应两杆塔中央连线对地投影为起点</w:t>
            </w:r>
            <w:bookmarkEnd w:id="12"/>
            <w:r>
              <w:rPr>
                <w:rFonts w:hint="eastAsia" w:ascii="Times New Roman" w:hAnsi="Times New Roman" w:eastAsia="宋体"/>
                <w:color w:val="000000" w:themeColor="text1"/>
                <w:spacing w:val="0"/>
                <w:kern w:val="0"/>
                <w:sz w:val="24"/>
                <w:highlight w:val="none"/>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监测点均匀分布在边相导线两侧的横断面方向上。对于挂线方式以杆塔对称排列的输电线路，只需在杆塔一侧的横断面方向上布置监测点。在测量最大值时，监测点间距为1m，监测到最大值后，监测点间距为5m，顺序测至距离边导线对地投影外50m处为止</w:t>
            </w:r>
            <w:r>
              <w:rPr>
                <w:rFonts w:hint="eastAsia"/>
                <w:color w:val="000000" w:themeColor="text1"/>
                <w:spacing w:val="0"/>
                <w:kern w:val="0"/>
                <w:sz w:val="24"/>
                <w:highlight w:val="none"/>
                <w:lang w:eastAsia="zh-CN"/>
                <w14:textFill>
                  <w14:solidFill>
                    <w14:schemeClr w14:val="tx1"/>
                  </w14:solidFill>
                </w14:textFill>
              </w:rPr>
              <w:t>。地下电缆段布设监测断面，以地下电缆线路中心正上方的地面为起点，沿垂直于线路方向进行，监测点间距1m，顺序测至电缆管廊边各外延5m处为止。</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电磁敏感目标监测点位选择在电磁</w:t>
            </w:r>
            <w:r>
              <w:rPr>
                <w:rFonts w:hint="default" w:ascii="Times New Roman" w:hAnsi="Times New Roman" w:eastAsia="宋体" w:cs="Times New Roman"/>
                <w:b w:val="0"/>
                <w:bCs w:val="0"/>
                <w:color w:val="000000" w:themeColor="text1"/>
                <w:spacing w:val="0"/>
                <w:w w:val="100"/>
                <w:kern w:val="0"/>
                <w:position w:val="0"/>
                <w:sz w:val="24"/>
                <w:highlight w:val="none"/>
                <w:lang w:val="en-US" w:eastAsia="zh-CN"/>
                <w14:textFill>
                  <w14:solidFill>
                    <w14:schemeClr w14:val="tx1"/>
                  </w14:solidFill>
                </w14:textFill>
              </w:rPr>
              <w:t>环境敏感目标建筑物户外，距离墙壁1m处，距离地面1.5m的位置。</w:t>
            </w:r>
          </w:p>
          <w:p w14:paraId="1C479D82">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②</w:t>
            </w:r>
            <w:r>
              <w:rPr>
                <w:rFonts w:ascii="Times New Roman" w:hAnsi="Times New Roman" w:eastAsia="宋体"/>
                <w:color w:val="000000" w:themeColor="text1"/>
                <w:spacing w:val="0"/>
                <w:sz w:val="24"/>
                <w:highlight w:val="none"/>
                <w14:textFill>
                  <w14:solidFill>
                    <w14:schemeClr w14:val="tx1"/>
                  </w14:solidFill>
                </w14:textFill>
              </w:rPr>
              <w:t>噪声</w:t>
            </w:r>
          </w:p>
          <w:p w14:paraId="027256E0">
            <w:pPr>
              <w:autoSpaceDE w:val="0"/>
              <w:autoSpaceDN w:val="0"/>
              <w:spacing w:line="360" w:lineRule="auto"/>
              <w:ind w:firstLine="480" w:firstLineChars="200"/>
              <w:jc w:val="left"/>
              <w:outlineLvl w:val="9"/>
              <w:rPr>
                <w:rFonts w:ascii="Times New Roman" w:hAnsi="Times New Roman" w:eastAsia="宋体"/>
                <w:color w:val="000000" w:themeColor="text1"/>
                <w:spacing w:val="0"/>
                <w:sz w:val="24"/>
                <w:szCs w:val="22"/>
                <w:highlight w:val="none"/>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三岔</w:t>
            </w:r>
            <w:r>
              <w:rPr>
                <w:rFonts w:ascii="Times New Roman" w:hAnsi="Times New Roman" w:eastAsia="宋体"/>
                <w:color w:val="000000" w:themeColor="text1"/>
                <w:spacing w:val="0"/>
                <w:kern w:val="0"/>
                <w:sz w:val="24"/>
                <w:highlight w:val="none"/>
                <w14:textFill>
                  <w14:solidFill>
                    <w14:schemeClr w14:val="tx1"/>
                  </w14:solidFill>
                </w14:textFill>
              </w:rPr>
              <w:t>110kV变电站工程：</w:t>
            </w:r>
            <w:r>
              <w:rPr>
                <w:rFonts w:ascii="Times New Roman" w:hAnsi="Times New Roman" w:eastAsia="宋体"/>
                <w:color w:val="000000" w:themeColor="text1"/>
                <w:spacing w:val="0"/>
                <w:sz w:val="24"/>
                <w:szCs w:val="22"/>
                <w:highlight w:val="none"/>
                <w14:textFill>
                  <w14:solidFill>
                    <w14:schemeClr w14:val="tx1"/>
                  </w14:solidFill>
                </w14:textFill>
              </w:rPr>
              <w:t>监测点布设在变电站厂界外1m、高度1.2m以上、距任一反射面距离不小于1m的位置。</w:t>
            </w:r>
          </w:p>
          <w:p w14:paraId="5A5A3FB8">
            <w:pPr>
              <w:autoSpaceDE w:val="0"/>
              <w:autoSpaceDN w:val="0"/>
              <w:spacing w:line="360" w:lineRule="auto"/>
              <w:ind w:firstLine="480" w:firstLineChars="200"/>
              <w:jc w:val="left"/>
              <w:outlineLvl w:val="9"/>
              <w:rPr>
                <w:rFonts w:hint="default" w:ascii="Times New Roman" w:hAnsi="Times New Roman" w:eastAsia="宋体" w:cs="Times New Roman"/>
                <w:b w:val="0"/>
                <w:bCs w:val="0"/>
                <w:color w:val="000000" w:themeColor="text1"/>
                <w:spacing w:val="0"/>
                <w:w w:val="100"/>
                <w:kern w:val="0"/>
                <w:position w:val="0"/>
                <w:sz w:val="24"/>
                <w:highlight w:val="none"/>
                <w:lang w:val="en-US"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输电线路：</w:t>
            </w:r>
            <w:r>
              <w:rPr>
                <w:rFonts w:hint="default" w:ascii="Times New Roman" w:hAnsi="Times New Roman" w:eastAsia="宋体" w:cs="Times New Roman"/>
                <w:color w:val="000000" w:themeColor="text1"/>
                <w:spacing w:val="0"/>
                <w:w w:val="100"/>
                <w:position w:val="0"/>
                <w:sz w:val="24"/>
                <w:highlight w:val="none"/>
                <w14:textFill>
                  <w14:solidFill>
                    <w14:schemeClr w14:val="tx1"/>
                  </w14:solidFill>
                </w14:textFill>
              </w:rPr>
              <w:t>在本项目</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输电线路及声环境敏感目标处布设监测点</w:t>
            </w:r>
            <w:r>
              <w:rPr>
                <w:rFonts w:hint="eastAsia"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在线路导线距地最低处布设监测断面，</w:t>
            </w:r>
            <w:r>
              <w:rPr>
                <w:rFonts w:ascii="Times New Roman" w:hAnsi="Times New Roman" w:eastAsia="宋体"/>
                <w:color w:val="000000" w:themeColor="text1"/>
                <w:spacing w:val="0"/>
                <w:kern w:val="0"/>
                <w:sz w:val="24"/>
                <w:highlight w:val="none"/>
                <w14:textFill>
                  <w14:solidFill>
                    <w14:schemeClr w14:val="tx1"/>
                  </w14:solidFill>
                </w14:textFill>
              </w:rPr>
              <w:t>选择在以导线弧垂最大处线路中心的地面投影点为监测原点，沿垂直于线路方向进行，测点间距5m，依次监测到调查范围处为止</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t>敏感目标监测点位选择在声</w:t>
            </w:r>
            <w:r>
              <w:rPr>
                <w:rFonts w:hint="default" w:ascii="Times New Roman" w:hAnsi="Times New Roman" w:eastAsia="宋体" w:cs="Times New Roman"/>
                <w:b w:val="0"/>
                <w:bCs w:val="0"/>
                <w:color w:val="000000" w:themeColor="text1"/>
                <w:spacing w:val="0"/>
                <w:w w:val="100"/>
                <w:kern w:val="0"/>
                <w:position w:val="0"/>
                <w:sz w:val="24"/>
                <w:highlight w:val="none"/>
                <w:lang w:val="en-US" w:eastAsia="zh-CN"/>
                <w14:textFill>
                  <w14:solidFill>
                    <w14:schemeClr w14:val="tx1"/>
                  </w14:solidFill>
                </w14:textFill>
              </w:rPr>
              <w:t>环境敏感目标建筑物户外，距离墙壁1m处，距离地面1.5m的位置。</w:t>
            </w:r>
          </w:p>
          <w:p w14:paraId="534B5D78">
            <w:pPr>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 xml:space="preserve">（4）监测技术要求 </w:t>
            </w:r>
          </w:p>
          <w:p w14:paraId="0D4DA674">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①监测方法</w:t>
            </w:r>
          </w:p>
          <w:p w14:paraId="76F76C2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工频电场、工频磁场的监测方法执行《交流输变电工程电磁环境监测方法（试行）》（HJ681-2013）中相关规定；噪声的监测方法执行《工业企业厂界环境噪声排放标准》（GB12348-2008</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《声环境质量标准》（GB3096-2008）中相关规定。</w:t>
            </w:r>
          </w:p>
          <w:p w14:paraId="0CFD2755">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 xml:space="preserve">②监测频次 </w:t>
            </w:r>
          </w:p>
          <w:p w14:paraId="66DA9176">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运行期间进行竣工环境保护验收时监测一次；结合项目竣工环境保护验收，根据运行单位的规定进行常规监测，并针对项目发生重大变化时以及引发投诉纠纷时进行必要的监测。</w:t>
            </w:r>
          </w:p>
          <w:p w14:paraId="6A0B54C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③监测质量控制、保证</w:t>
            </w:r>
          </w:p>
          <w:p w14:paraId="4FC11CC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监测单位需为取得检验检测机构资质认定证书的单位且具有电磁辐射和噪声检测类别。监测单位应具备完善的监测质量控制体系，对整个环境监测过程进行全面质量管控。监测仪器应定期校准，并在其证书有效期内使用，每次监测前后均检查仪器，确保仪器在正常工作状态。监测人员应进行业务培训，考核合格并取得岗位合格证书。现场监测工作须不少于二名监测人员进行。监测点位、监测环境、监测高度和监测方法均按照《声环境质量标准》（GB3096-2008）、《工业企业厂界环境噪声排放标准》（GB12348-2008）、《交流输变电工程电磁环境监测方法（试行）》（HJ681-2013）中相关规定执行。</w:t>
            </w:r>
          </w:p>
          <w:p w14:paraId="3E79019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监测结束后，应及时对监测原始数据进行整理，进行三级审核程序，审核内容包括监测采样方案及其执行情况，数据处理过程，质控措施，计量单位，编号等。经三级审核过的监测报告由相关负责人签字、监测单位盖章后生效。</w:t>
            </w:r>
          </w:p>
          <w:p w14:paraId="433FB449">
            <w:pPr>
              <w:pStyle w:val="7"/>
              <w:spacing w:after="0" w:line="360" w:lineRule="auto"/>
              <w:ind w:left="0" w:leftChars="0"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4"/>
                <w:highlight w:val="none"/>
                <w14:textFill>
                  <w14:solidFill>
                    <w14:schemeClr w14:val="tx1"/>
                  </w14:solidFill>
                </w14:textFill>
              </w:rPr>
              <w:t>7</w:t>
            </w:r>
            <w:r>
              <w:rPr>
                <w:rFonts w:ascii="Times New Roman" w:hAnsi="Times New Roman" w:eastAsia="宋体"/>
                <w:b/>
                <w:bCs/>
                <w:color w:val="000000" w:themeColor="text1"/>
                <w:spacing w:val="0"/>
                <w:sz w:val="24"/>
                <w:highlight w:val="none"/>
                <w14:textFill>
                  <w14:solidFill>
                    <w14:schemeClr w14:val="tx1"/>
                  </w14:solidFill>
                </w14:textFill>
              </w:rPr>
              <w:t>、环境保护措施可行合理性分析</w:t>
            </w:r>
          </w:p>
          <w:p w14:paraId="7DF41C99">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本项目各环境要素所采取的环境保护措在参照《输变电建设项目环境保护技术要求》（HJ1113-2020）中提出的选址选线、设计阶段、施工阶段及运行阶段环境保护措施</w:t>
            </w:r>
            <w:r>
              <w:rPr>
                <w:rFonts w:hint="eastAsia" w:ascii="Times New Roman" w:hAnsi="Times New Roman" w:eastAsia="宋体"/>
                <w:color w:val="000000" w:themeColor="text1"/>
                <w:spacing w:val="0"/>
                <w:sz w:val="24"/>
                <w:highlight w:val="none"/>
                <w14:textFill>
                  <w14:solidFill>
                    <w14:schemeClr w14:val="tx1"/>
                  </w14:solidFill>
                </w14:textFill>
              </w:rPr>
              <w:t>基础上，</w:t>
            </w:r>
            <w:r>
              <w:rPr>
                <w:rFonts w:ascii="Times New Roman" w:hAnsi="Times New Roman" w:eastAsia="宋体"/>
                <w:color w:val="000000" w:themeColor="text1"/>
                <w:spacing w:val="0"/>
                <w:sz w:val="24"/>
                <w:highlight w:val="none"/>
                <w14:textFill>
                  <w14:solidFill>
                    <w14:schemeClr w14:val="tx1"/>
                  </w14:solidFill>
                </w14:textFill>
              </w:rPr>
              <w:t>结合本项目可研报告、土地复垦方案中提出环境保护措施制定的。</w:t>
            </w:r>
          </w:p>
          <w:p w14:paraId="18FA0FB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运行期</w:t>
            </w:r>
            <w:r>
              <w:rPr>
                <w:rFonts w:ascii="Times New Roman" w:hAnsi="Times New Roman" w:eastAsia="宋体"/>
                <w:color w:val="000000" w:themeColor="text1"/>
                <w:spacing w:val="0"/>
                <w:sz w:val="24"/>
                <w:highlight w:val="none"/>
                <w14:textFill>
                  <w14:solidFill>
                    <w14:schemeClr w14:val="tx1"/>
                  </w14:solidFill>
                </w14:textFill>
              </w:rPr>
              <w:t>变电站，通过设备选型、</w:t>
            </w:r>
            <w:r>
              <w:rPr>
                <w:rFonts w:hint="eastAsia" w:ascii="Times New Roman" w:hAnsi="Times New Roman" w:eastAsia="宋体"/>
                <w:color w:val="000000" w:themeColor="text1"/>
                <w:spacing w:val="0"/>
                <w:sz w:val="24"/>
                <w:highlight w:val="none"/>
                <w14:textFill>
                  <w14:solidFill>
                    <w14:schemeClr w14:val="tx1"/>
                  </w14:solidFill>
                </w14:textFill>
              </w:rPr>
              <w:t>加强设备维护保养确保</w:t>
            </w:r>
            <w:r>
              <w:rPr>
                <w:rFonts w:ascii="Times New Roman" w:hAnsi="Times New Roman" w:eastAsia="宋体"/>
                <w:color w:val="000000" w:themeColor="text1"/>
                <w:spacing w:val="0"/>
                <w:sz w:val="24"/>
                <w:highlight w:val="none"/>
                <w14:textFill>
                  <w14:solidFill>
                    <w14:schemeClr w14:val="tx1"/>
                  </w14:solidFill>
                </w14:textFill>
              </w:rPr>
              <w:t>厂界环境噪声排放；设置事故</w:t>
            </w:r>
            <w:r>
              <w:rPr>
                <w:rFonts w:hint="eastAsia" w:ascii="Times New Roman" w:hAnsi="Times New Roman" w:eastAsia="宋体"/>
                <w:color w:val="000000" w:themeColor="text1"/>
                <w:spacing w:val="0"/>
                <w:sz w:val="24"/>
                <w:highlight w:val="none"/>
                <w14:textFill>
                  <w14:solidFill>
                    <w14:schemeClr w14:val="tx1"/>
                  </w14:solidFill>
                </w14:textFill>
              </w:rPr>
              <w:t>油坑、事故</w:t>
            </w:r>
            <w:r>
              <w:rPr>
                <w:rFonts w:ascii="Times New Roman" w:hAnsi="Times New Roman" w:eastAsia="宋体"/>
                <w:color w:val="000000" w:themeColor="text1"/>
                <w:spacing w:val="0"/>
                <w:sz w:val="24"/>
                <w:highlight w:val="none"/>
                <w14:textFill>
                  <w14:solidFill>
                    <w14:schemeClr w14:val="tx1"/>
                  </w14:solidFill>
                </w14:textFill>
              </w:rPr>
              <w:t>油池来收集事故情况下产生的事故油。输电线路严格按照设计规范要求的高度，</w:t>
            </w:r>
            <w:r>
              <w:rPr>
                <w:rFonts w:hint="eastAsia" w:ascii="Times New Roman" w:hAnsi="Times New Roman" w:eastAsia="宋体"/>
                <w:color w:val="000000" w:themeColor="text1"/>
                <w:spacing w:val="0"/>
                <w:sz w:val="24"/>
                <w:highlight w:val="none"/>
                <w14:textFill>
                  <w14:solidFill>
                    <w14:schemeClr w14:val="tx1"/>
                  </w14:solidFill>
                </w14:textFill>
              </w:rPr>
              <w:t>加强监督管理</w:t>
            </w:r>
            <w:r>
              <w:rPr>
                <w:rFonts w:ascii="Times New Roman" w:hAnsi="Times New Roman" w:eastAsia="宋体"/>
                <w:color w:val="000000" w:themeColor="text1"/>
                <w:spacing w:val="0"/>
                <w:sz w:val="24"/>
                <w:highlight w:val="none"/>
                <w14:textFill>
                  <w14:solidFill>
                    <w14:schemeClr w14:val="tx1"/>
                  </w14:solidFill>
                </w14:textFill>
              </w:rPr>
              <w:t>保证线路运行产生的工频电场强度</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工频磁感应强度</w:t>
            </w:r>
            <w:r>
              <w:rPr>
                <w:rFonts w:hint="eastAsia" w:ascii="Times New Roman" w:hAnsi="Times New Roman" w:eastAsia="宋体"/>
                <w:color w:val="000000" w:themeColor="text1"/>
                <w:spacing w:val="0"/>
                <w:sz w:val="24"/>
                <w:highlight w:val="none"/>
                <w14:textFill>
                  <w14:solidFill>
                    <w14:schemeClr w14:val="tx1"/>
                  </w14:solidFill>
                </w14:textFill>
              </w:rPr>
              <w:t>及噪声</w:t>
            </w:r>
            <w:r>
              <w:rPr>
                <w:rFonts w:ascii="Times New Roman" w:hAnsi="Times New Roman" w:eastAsia="宋体"/>
                <w:color w:val="000000" w:themeColor="text1"/>
                <w:spacing w:val="0"/>
                <w:sz w:val="24"/>
                <w:highlight w:val="none"/>
                <w14:textFill>
                  <w14:solidFill>
                    <w14:schemeClr w14:val="tx1"/>
                  </w14:solidFill>
                </w14:textFill>
              </w:rPr>
              <w:t>均满足评价标准的要求。</w:t>
            </w:r>
          </w:p>
          <w:p w14:paraId="4C3AD71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这些防治措施大部分是已运行输变电工程实际运行经验，结合国家环境保护要求而设计的，因此在技术上可行，经济上合理</w:t>
            </w:r>
            <w:r>
              <w:rPr>
                <w:rFonts w:hint="eastAsia" w:ascii="Times New Roman" w:hAnsi="Times New Roman" w:eastAsia="宋体"/>
                <w:color w:val="000000" w:themeColor="text1"/>
                <w:spacing w:val="0"/>
                <w:sz w:val="24"/>
                <w:highlight w:val="none"/>
                <w14:textFill>
                  <w14:solidFill>
                    <w14:schemeClr w14:val="tx1"/>
                  </w14:solidFill>
                </w14:textFill>
              </w:rPr>
              <w:t>，在本项目环保投资中明确了本项目各环境保护措施实施阶段、责任主体、具体实施方案、各阶段需采取的环境保护措施及环保投资金额，可保障本项目设计期、施工期、运行期各阶段生态保护措施和修复效果的落实。</w:t>
            </w:r>
          </w:p>
        </w:tc>
      </w:tr>
      <w:tr w14:paraId="588D4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vAlign w:val="center"/>
          </w:tcPr>
          <w:p w14:paraId="18343340">
            <w:pPr>
              <w:adjustRightInd w:val="0"/>
              <w:snapToGrid w:val="0"/>
              <w:spacing w:before="120" w:beforeLines="50" w:after="120" w:afterLines="5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其他</w:t>
            </w:r>
          </w:p>
        </w:tc>
        <w:tc>
          <w:tcPr>
            <w:tcW w:w="8636" w:type="dxa"/>
          </w:tcPr>
          <w:p w14:paraId="259ECF8E">
            <w:pPr>
              <w:adjustRightInd w:val="0"/>
              <w:snapToGrid w:val="0"/>
              <w:spacing w:before="120" w:beforeLines="50" w:after="120" w:afterLines="5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无</w:t>
            </w:r>
          </w:p>
        </w:tc>
      </w:tr>
      <w:tr w14:paraId="46695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3" w:hRule="atLeast"/>
          <w:jc w:val="center"/>
        </w:trPr>
        <w:tc>
          <w:tcPr>
            <w:tcW w:w="780" w:type="dxa"/>
            <w:vAlign w:val="center"/>
          </w:tcPr>
          <w:p w14:paraId="3E298B16">
            <w:pPr>
              <w:adjustRightInd w:val="0"/>
              <w:snapToGrid w:val="0"/>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环保投资</w:t>
            </w:r>
          </w:p>
        </w:tc>
        <w:tc>
          <w:tcPr>
            <w:tcW w:w="8636" w:type="dxa"/>
          </w:tcPr>
          <w:p w14:paraId="5AC98E5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根据项目相关资料，本项目动态总投资</w:t>
            </w:r>
            <w:r>
              <w:rPr>
                <w:rFonts w:hint="eastAsia"/>
                <w:color w:val="000000" w:themeColor="text1"/>
                <w:spacing w:val="0"/>
                <w:sz w:val="24"/>
                <w:highlight w:val="none"/>
                <w:lang w:val="en-US"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万元，其中环保投资估算为</w:t>
            </w:r>
            <w:r>
              <w:rPr>
                <w:rFonts w:hint="eastAsia"/>
                <w:color w:val="000000" w:themeColor="text1"/>
                <w:spacing w:val="0"/>
                <w:sz w:val="24"/>
                <w:highlight w:val="none"/>
                <w:lang w:val="en-US"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万元，占项目动态总投资的</w:t>
            </w:r>
            <w:r>
              <w:rPr>
                <w:rFonts w:hint="eastAsia"/>
                <w:color w:val="000000" w:themeColor="text1"/>
                <w:spacing w:val="0"/>
                <w:sz w:val="24"/>
                <w:highlight w:val="none"/>
                <w:lang w:val="en-US"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。本项目环保投资见表5-2。</w:t>
            </w:r>
          </w:p>
          <w:p w14:paraId="0166F7DA">
            <w:pPr>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表5-2  本项目环保投资一览表          单位：万元</w:t>
            </w:r>
          </w:p>
          <w:tbl>
            <w:tblPr>
              <w:tblStyle w:val="26"/>
              <w:tblW w:w="85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
              <w:gridCol w:w="715"/>
              <w:gridCol w:w="955"/>
              <w:gridCol w:w="2876"/>
              <w:gridCol w:w="640"/>
              <w:gridCol w:w="2123"/>
              <w:gridCol w:w="854"/>
            </w:tblGrid>
            <w:tr w14:paraId="7E603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Align w:val="center"/>
                </w:tcPr>
                <w:p w14:paraId="663F21E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序号</w:t>
                  </w:r>
                </w:p>
              </w:tc>
              <w:tc>
                <w:tcPr>
                  <w:tcW w:w="715" w:type="dxa"/>
                  <w:vAlign w:val="center"/>
                </w:tcPr>
                <w:p w14:paraId="1F04DEE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项目</w:t>
                  </w:r>
                </w:p>
                <w:p w14:paraId="18E93C5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阶段</w:t>
                  </w:r>
                </w:p>
              </w:tc>
              <w:tc>
                <w:tcPr>
                  <w:tcW w:w="955" w:type="dxa"/>
                  <w:vAlign w:val="center"/>
                </w:tcPr>
                <w:p w14:paraId="46BD5E7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环境保护设施</w:t>
                  </w:r>
                </w:p>
              </w:tc>
              <w:tc>
                <w:tcPr>
                  <w:tcW w:w="2876" w:type="dxa"/>
                  <w:vAlign w:val="center"/>
                </w:tcPr>
                <w:p w14:paraId="69DE4BF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环境保护措施</w:t>
                  </w:r>
                </w:p>
              </w:tc>
              <w:tc>
                <w:tcPr>
                  <w:tcW w:w="640" w:type="dxa"/>
                  <w:vAlign w:val="center"/>
                </w:tcPr>
                <w:p w14:paraId="1015B7F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责任主体</w:t>
                  </w:r>
                </w:p>
              </w:tc>
              <w:tc>
                <w:tcPr>
                  <w:tcW w:w="2123" w:type="dxa"/>
                  <w:vAlign w:val="center"/>
                </w:tcPr>
                <w:p w14:paraId="2C3F927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实施方案</w:t>
                  </w:r>
                </w:p>
              </w:tc>
              <w:tc>
                <w:tcPr>
                  <w:tcW w:w="854" w:type="dxa"/>
                  <w:vAlign w:val="center"/>
                </w:tcPr>
                <w:p w14:paraId="1DE3A6B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投资</w:t>
                  </w:r>
                </w:p>
                <w:p w14:paraId="41809EF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估算</w:t>
                  </w:r>
                </w:p>
              </w:tc>
            </w:tr>
            <w:tr w14:paraId="50847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Align w:val="center"/>
                </w:tcPr>
                <w:p w14:paraId="4B98AC2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w:t>
                  </w:r>
                </w:p>
              </w:tc>
              <w:tc>
                <w:tcPr>
                  <w:tcW w:w="715" w:type="dxa"/>
                  <w:vAlign w:val="center"/>
                </w:tcPr>
                <w:p w14:paraId="3B1032D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设计期</w:t>
                  </w:r>
                </w:p>
              </w:tc>
              <w:tc>
                <w:tcPr>
                  <w:tcW w:w="955" w:type="dxa"/>
                  <w:vAlign w:val="center"/>
                </w:tcPr>
                <w:p w14:paraId="777B85E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w:t>
                  </w:r>
                </w:p>
              </w:tc>
              <w:tc>
                <w:tcPr>
                  <w:tcW w:w="2876" w:type="dxa"/>
                  <w:vAlign w:val="center"/>
                </w:tcPr>
                <w:p w14:paraId="58CCA4F1">
                  <w:pP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1、对项目进行环境影响评价，提出施工期、运行期各项环境保护措施；2、设计单位针对各项环保设施、措施进行设计和要求</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tc>
              <w:tc>
                <w:tcPr>
                  <w:tcW w:w="640" w:type="dxa"/>
                  <w:vAlign w:val="center"/>
                </w:tcPr>
                <w:p w14:paraId="3DE08A0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建设单位</w:t>
                  </w:r>
                </w:p>
              </w:tc>
              <w:tc>
                <w:tcPr>
                  <w:tcW w:w="2123" w:type="dxa"/>
                  <w:vAlign w:val="center"/>
                </w:tcPr>
                <w:p w14:paraId="6A1C8F53">
                  <w:pPr>
                    <w:jc w:val="cente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环评单位、设计单位协助建设单位对项目进行环评影响评价及环境保护措施设计</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tc>
              <w:tc>
                <w:tcPr>
                  <w:tcW w:w="854" w:type="dxa"/>
                  <w:vAlign w:val="center"/>
                </w:tcPr>
                <w:p w14:paraId="64B3605B">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6A7FF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Merge w:val="restart"/>
                  <w:vAlign w:val="center"/>
                </w:tcPr>
                <w:p w14:paraId="03EC32B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2</w:t>
                  </w:r>
                </w:p>
              </w:tc>
              <w:tc>
                <w:tcPr>
                  <w:tcW w:w="715" w:type="dxa"/>
                  <w:vMerge w:val="restart"/>
                  <w:vAlign w:val="center"/>
                </w:tcPr>
                <w:p w14:paraId="1761BC4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施工期</w:t>
                  </w:r>
                </w:p>
              </w:tc>
              <w:tc>
                <w:tcPr>
                  <w:tcW w:w="955" w:type="dxa"/>
                  <w:vMerge w:val="restart"/>
                  <w:vAlign w:val="center"/>
                </w:tcPr>
                <w:p w14:paraId="1B80623C">
                  <w:pPr>
                    <w:jc w:val="center"/>
                    <w:outlineLvl w:val="9"/>
                    <w:rPr>
                      <w:rFonts w:hint="eastAsia" w:ascii="Times New Roman" w:hAnsi="Times New Roman" w:eastAsia="宋体"/>
                      <w:color w:val="000000" w:themeColor="text1"/>
                      <w:spacing w:val="0"/>
                      <w:szCs w:val="21"/>
                      <w:highlight w:val="none"/>
                      <w:lang w:val="en-US"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洒水车、围挡</w:t>
                  </w:r>
                  <w:r>
                    <w:rPr>
                      <w:rFonts w:hint="eastAsia" w:ascii="Times New Roman" w:hAnsi="Times New Roman" w:eastAsia="宋体"/>
                      <w:color w:val="000000" w:themeColor="text1"/>
                      <w:spacing w:val="0"/>
                      <w:szCs w:val="21"/>
                      <w:highlight w:val="none"/>
                      <w14:textFill>
                        <w14:solidFill>
                          <w14:schemeClr w14:val="tx1"/>
                        </w14:solidFill>
                      </w14:textFill>
                    </w:rPr>
                    <w:t>、</w:t>
                  </w:r>
                  <w:r>
                    <w:rPr>
                      <w:rFonts w:ascii="Times New Roman" w:hAnsi="Times New Roman" w:eastAsia="宋体"/>
                      <w:color w:val="000000" w:themeColor="text1"/>
                      <w:spacing w:val="0"/>
                      <w:szCs w:val="21"/>
                      <w:highlight w:val="none"/>
                      <w14:textFill>
                        <w14:solidFill>
                          <w14:schemeClr w14:val="tx1"/>
                        </w14:solidFill>
                      </w14:textFill>
                    </w:rPr>
                    <w:t>垃圾运输车、警示标志</w:t>
                  </w:r>
                  <w:r>
                    <w:rPr>
                      <w:rFonts w:hint="eastAsia"/>
                      <w:color w:val="000000" w:themeColor="text1"/>
                      <w:spacing w:val="0"/>
                      <w:szCs w:val="21"/>
                      <w:highlight w:val="none"/>
                      <w:lang w:eastAsia="zh-CN"/>
                      <w14:textFill>
                        <w14:solidFill>
                          <w14:schemeClr w14:val="tx1"/>
                        </w14:solidFill>
                      </w14:textFill>
                    </w:rPr>
                    <w:t>。</w:t>
                  </w:r>
                </w:p>
              </w:tc>
              <w:tc>
                <w:tcPr>
                  <w:tcW w:w="2876" w:type="dxa"/>
                  <w:vAlign w:val="center"/>
                </w:tcPr>
                <w:p w14:paraId="27454FFF">
                  <w:pPr>
                    <w:jc w:val="left"/>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扬尘：采取洒水抑尘，</w:t>
                  </w:r>
                  <w:r>
                    <w:rPr>
                      <w:rFonts w:hint="eastAsia"/>
                      <w:color w:val="000000" w:themeColor="text1"/>
                      <w:spacing w:val="0"/>
                      <w:szCs w:val="21"/>
                      <w:highlight w:val="none"/>
                      <w:lang w:val="en-US" w:eastAsia="zh-CN"/>
                      <w14:textFill>
                        <w14:solidFill>
                          <w14:schemeClr w14:val="tx1"/>
                        </w14:solidFill>
                      </w14:textFill>
                    </w:rPr>
                    <w:t>土方苫盖、</w:t>
                  </w:r>
                  <w:r>
                    <w:rPr>
                      <w:rFonts w:hint="eastAsia" w:ascii="Times New Roman" w:hAnsi="Times New Roman" w:eastAsia="宋体"/>
                      <w:color w:val="000000" w:themeColor="text1"/>
                      <w:spacing w:val="0"/>
                      <w:szCs w:val="21"/>
                      <w:highlight w:val="none"/>
                      <w14:textFill>
                        <w14:solidFill>
                          <w14:schemeClr w14:val="tx1"/>
                        </w14:solidFill>
                      </w14:textFill>
                    </w:rPr>
                    <w:t>变电站、地下电缆等设置</w:t>
                  </w:r>
                  <w:r>
                    <w:rPr>
                      <w:rFonts w:ascii="Times New Roman" w:hAnsi="Times New Roman" w:eastAsia="宋体"/>
                      <w:color w:val="000000" w:themeColor="text1"/>
                      <w:spacing w:val="0"/>
                      <w:szCs w:val="21"/>
                      <w:highlight w:val="none"/>
                      <w14:textFill>
                        <w14:solidFill>
                          <w14:schemeClr w14:val="tx1"/>
                        </w14:solidFill>
                      </w14:textFill>
                    </w:rPr>
                    <w:t>围挡、运输车辆苫盖等措施</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tc>
              <w:tc>
                <w:tcPr>
                  <w:tcW w:w="640" w:type="dxa"/>
                  <w:vMerge w:val="restart"/>
                  <w:vAlign w:val="center"/>
                </w:tcPr>
                <w:p w14:paraId="291AA5F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建设单位</w:t>
                  </w:r>
                </w:p>
              </w:tc>
              <w:tc>
                <w:tcPr>
                  <w:tcW w:w="2123" w:type="dxa"/>
                  <w:vMerge w:val="restart"/>
                  <w:vAlign w:val="center"/>
                </w:tcPr>
                <w:p w14:paraId="7E5D63F1">
                  <w:pPr>
                    <w:numPr>
                      <w:ilvl w:val="0"/>
                      <w:numId w:val="4"/>
                    </w:num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建设单位将环境保护要求纳入施工承包合同中，应在施工场地派驻专人负责环境保护管理工作，监督各项环境保护措施的落实</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p w14:paraId="5FD020BD">
                  <w:pPr>
                    <w:numPr>
                      <w:ilvl w:val="0"/>
                      <w:numId w:val="4"/>
                    </w:numP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施工单位组织施工人员进行环境保护培训，加强环境保护意识，严格按照环环境影响评价及环境保护专项设计落实各项环保措施。</w:t>
                  </w:r>
                </w:p>
                <w:p w14:paraId="4E84ED2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3、施工结束后，建设单位组织项目进行竣工环境保护验收。</w:t>
                  </w:r>
                </w:p>
              </w:tc>
              <w:tc>
                <w:tcPr>
                  <w:tcW w:w="854" w:type="dxa"/>
                  <w:vAlign w:val="center"/>
                </w:tcPr>
                <w:p w14:paraId="5C8B63C9">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4EAC4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Merge w:val="continue"/>
                  <w:vAlign w:val="center"/>
                </w:tcPr>
                <w:p w14:paraId="4A01D282">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715" w:type="dxa"/>
                  <w:vMerge w:val="continue"/>
                  <w:vAlign w:val="center"/>
                </w:tcPr>
                <w:p w14:paraId="42F5901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955" w:type="dxa"/>
                  <w:vMerge w:val="continue"/>
                  <w:vAlign w:val="center"/>
                </w:tcPr>
                <w:p w14:paraId="61A53AB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876" w:type="dxa"/>
                  <w:vAlign w:val="center"/>
                </w:tcPr>
                <w:p w14:paraId="1ACA4417">
                  <w:pPr>
                    <w:jc w:val="left"/>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生活污水</w:t>
                  </w:r>
                  <w:r>
                    <w:rPr>
                      <w:rFonts w:ascii="Times New Roman" w:hAnsi="Times New Roman" w:eastAsia="宋体"/>
                      <w:color w:val="000000" w:themeColor="text1"/>
                      <w:spacing w:val="0"/>
                      <w:szCs w:val="21"/>
                      <w:highlight w:val="none"/>
                      <w14:textFill>
                        <w14:solidFill>
                          <w14:schemeClr w14:val="tx1"/>
                        </w14:solidFill>
                      </w14:textFill>
                    </w:rPr>
                    <w:t>：生活污水设置有防渗措施的化粪池进行</w:t>
                  </w:r>
                  <w:r>
                    <w:rPr>
                      <w:rFonts w:hint="eastAsia" w:ascii="Times New Roman" w:hAnsi="Times New Roman" w:eastAsia="宋体"/>
                      <w:color w:val="000000" w:themeColor="text1"/>
                      <w:spacing w:val="0"/>
                      <w:szCs w:val="21"/>
                      <w:highlight w:val="none"/>
                      <w14:textFill>
                        <w14:solidFill>
                          <w14:schemeClr w14:val="tx1"/>
                        </w14:solidFill>
                      </w14:textFill>
                    </w:rPr>
                    <w:t>处</w:t>
                  </w:r>
                  <w:r>
                    <w:rPr>
                      <w:rFonts w:ascii="Times New Roman" w:hAnsi="Times New Roman" w:eastAsia="宋体"/>
                      <w:color w:val="000000" w:themeColor="text1"/>
                      <w:spacing w:val="0"/>
                      <w:szCs w:val="21"/>
                      <w:highlight w:val="none"/>
                      <w14:textFill>
                        <w14:solidFill>
                          <w14:schemeClr w14:val="tx1"/>
                        </w14:solidFill>
                      </w14:textFill>
                    </w:rPr>
                    <w:t>理。</w:t>
                  </w:r>
                  <w:r>
                    <w:rPr>
                      <w:rFonts w:ascii="Times New Roman" w:hAnsi="Times New Roman" w:eastAsia="宋体"/>
                      <w:color w:val="000000" w:themeColor="text1"/>
                      <w:spacing w:val="0"/>
                      <w:highlight w:val="none"/>
                      <w14:textFill>
                        <w14:solidFill>
                          <w14:schemeClr w14:val="tx1"/>
                        </w14:solidFill>
                      </w14:textFill>
                    </w:rPr>
                    <w:t>施工废水：设置泥浆池、沉淀池</w:t>
                  </w:r>
                  <w:r>
                    <w:rPr>
                      <w:rFonts w:hint="eastAsia" w:ascii="Times New Roman" w:hAnsi="Times New Roman" w:eastAsia="宋体"/>
                      <w:color w:val="000000" w:themeColor="text1"/>
                      <w:spacing w:val="0"/>
                      <w:highlight w:val="none"/>
                      <w:lang w:eastAsia="zh-CN"/>
                      <w14:textFill>
                        <w14:solidFill>
                          <w14:schemeClr w14:val="tx1"/>
                        </w14:solidFill>
                      </w14:textFill>
                    </w:rPr>
                    <w:t>。</w:t>
                  </w:r>
                </w:p>
              </w:tc>
              <w:tc>
                <w:tcPr>
                  <w:tcW w:w="640" w:type="dxa"/>
                  <w:vMerge w:val="continue"/>
                  <w:vAlign w:val="center"/>
                </w:tcPr>
                <w:p w14:paraId="5CA2F661">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123" w:type="dxa"/>
                  <w:vMerge w:val="continue"/>
                  <w:vAlign w:val="center"/>
                </w:tcPr>
                <w:p w14:paraId="72D2C0C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854" w:type="dxa"/>
                  <w:vAlign w:val="center"/>
                </w:tcPr>
                <w:p w14:paraId="1A3A6E75">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62B69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Merge w:val="continue"/>
                  <w:vAlign w:val="center"/>
                </w:tcPr>
                <w:p w14:paraId="41731FE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715" w:type="dxa"/>
                  <w:vMerge w:val="continue"/>
                  <w:vAlign w:val="center"/>
                </w:tcPr>
                <w:p w14:paraId="789C725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955" w:type="dxa"/>
                  <w:vMerge w:val="continue"/>
                  <w:vAlign w:val="center"/>
                </w:tcPr>
                <w:p w14:paraId="24DAF94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876" w:type="dxa"/>
                  <w:vAlign w:val="center"/>
                </w:tcPr>
                <w:p w14:paraId="7F9AD151">
                  <w:pPr>
                    <w:jc w:val="left"/>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噪声：选用低噪声设备，加强施工设备保养等措施</w:t>
                  </w:r>
                  <w:r>
                    <w:rPr>
                      <w:rFonts w:hint="eastAsia"/>
                      <w:color w:val="000000" w:themeColor="text1"/>
                      <w:spacing w:val="0"/>
                      <w:szCs w:val="21"/>
                      <w:highlight w:val="none"/>
                      <w:lang w:eastAsia="zh-CN"/>
                      <w14:textFill>
                        <w14:solidFill>
                          <w14:schemeClr w14:val="tx1"/>
                        </w14:solidFill>
                      </w14:textFill>
                    </w:rPr>
                    <w:t>，</w:t>
                  </w:r>
                  <w:r>
                    <w:rPr>
                      <w:rFonts w:hint="eastAsia"/>
                      <w:color w:val="000000" w:themeColor="text1"/>
                      <w:spacing w:val="0"/>
                      <w:szCs w:val="21"/>
                      <w:highlight w:val="none"/>
                      <w:lang w:val="en-US" w:eastAsia="zh-CN"/>
                      <w14:textFill>
                        <w14:solidFill>
                          <w14:schemeClr w14:val="tx1"/>
                        </w14:solidFill>
                      </w14:textFill>
                    </w:rPr>
                    <w:t>设置围挡</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tc>
              <w:tc>
                <w:tcPr>
                  <w:tcW w:w="640" w:type="dxa"/>
                  <w:vMerge w:val="continue"/>
                  <w:vAlign w:val="center"/>
                </w:tcPr>
                <w:p w14:paraId="715D022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123" w:type="dxa"/>
                  <w:vMerge w:val="continue"/>
                  <w:vAlign w:val="center"/>
                </w:tcPr>
                <w:p w14:paraId="1828FB4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854" w:type="dxa"/>
                  <w:vAlign w:val="center"/>
                </w:tcPr>
                <w:p w14:paraId="773C6333">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34696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Merge w:val="continue"/>
                  <w:vAlign w:val="center"/>
                </w:tcPr>
                <w:p w14:paraId="113C555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715" w:type="dxa"/>
                  <w:vMerge w:val="continue"/>
                  <w:vAlign w:val="center"/>
                </w:tcPr>
                <w:p w14:paraId="52A3E3C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955" w:type="dxa"/>
                  <w:vMerge w:val="continue"/>
                  <w:vAlign w:val="center"/>
                </w:tcPr>
                <w:p w14:paraId="7466CB1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876" w:type="dxa"/>
                  <w:vAlign w:val="center"/>
                </w:tcPr>
                <w:p w14:paraId="268B3F14">
                  <w:pPr>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固废：建筑垃圾能回收利用的回收利用，</w:t>
                  </w:r>
                  <w:r>
                    <w:rPr>
                      <w:rFonts w:hint="eastAsia"/>
                      <w:color w:val="000000" w:themeColor="text1"/>
                      <w:spacing w:val="0"/>
                      <w:szCs w:val="21"/>
                      <w:highlight w:val="none"/>
                      <w:lang w:val="en-US" w:eastAsia="zh-CN"/>
                      <w14:textFill>
                        <w14:solidFill>
                          <w14:schemeClr w14:val="tx1"/>
                        </w14:solidFill>
                      </w14:textFill>
                    </w:rPr>
                    <w:t>不能利用的</w:t>
                  </w:r>
                  <w:r>
                    <w:rPr>
                      <w:rFonts w:hint="eastAsia" w:ascii="Times New Roman" w:hAnsi="Times New Roman" w:eastAsia="宋体"/>
                      <w:color w:val="000000" w:themeColor="text1"/>
                      <w:spacing w:val="0"/>
                      <w:szCs w:val="21"/>
                      <w:highlight w:val="none"/>
                      <w14:textFill>
                        <w14:solidFill>
                          <w14:schemeClr w14:val="tx1"/>
                        </w14:solidFill>
                      </w14:textFill>
                    </w:rPr>
                    <w:t>运至政府部门指定的地点</w:t>
                  </w:r>
                  <w:r>
                    <w:rPr>
                      <w:rFonts w:ascii="Times New Roman" w:hAnsi="Times New Roman" w:eastAsia="宋体"/>
                      <w:color w:val="000000" w:themeColor="text1"/>
                      <w:spacing w:val="0"/>
                      <w:szCs w:val="21"/>
                      <w:highlight w:val="none"/>
                      <w14:textFill>
                        <w14:solidFill>
                          <w14:schemeClr w14:val="tx1"/>
                        </w14:solidFill>
                      </w14:textFill>
                    </w:rPr>
                    <w:t>；施工人员产生的生活垃圾集中堆放，定期运至附近垃圾收集点，由当地环卫部门统一清运处置。</w:t>
                  </w:r>
                </w:p>
              </w:tc>
              <w:tc>
                <w:tcPr>
                  <w:tcW w:w="640" w:type="dxa"/>
                  <w:vMerge w:val="continue"/>
                  <w:vAlign w:val="center"/>
                </w:tcPr>
                <w:p w14:paraId="46FF9B7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123" w:type="dxa"/>
                  <w:vMerge w:val="continue"/>
                  <w:vAlign w:val="center"/>
                </w:tcPr>
                <w:p w14:paraId="56FAE1D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854" w:type="dxa"/>
                  <w:vAlign w:val="center"/>
                </w:tcPr>
                <w:p w14:paraId="71B7D4BE">
                  <w:pPr>
                    <w:jc w:val="cente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6380D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Merge w:val="continue"/>
                  <w:vAlign w:val="center"/>
                </w:tcPr>
                <w:p w14:paraId="4ABCF0D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715" w:type="dxa"/>
                  <w:vMerge w:val="continue"/>
                  <w:vAlign w:val="center"/>
                </w:tcPr>
                <w:p w14:paraId="4D70FAC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955" w:type="dxa"/>
                  <w:vMerge w:val="continue"/>
                  <w:vAlign w:val="center"/>
                </w:tcPr>
                <w:p w14:paraId="0252138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876" w:type="dxa"/>
                  <w:vAlign w:val="center"/>
                </w:tcPr>
                <w:p w14:paraId="21C46E26">
                  <w:pPr>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生态保护：</w:t>
                  </w:r>
                  <w:r>
                    <w:rPr>
                      <w:rFonts w:ascii="Times New Roman" w:hAnsi="Times New Roman" w:eastAsia="宋体"/>
                      <w:color w:val="000000" w:themeColor="text1"/>
                      <w:spacing w:val="0"/>
                      <w:kern w:val="0"/>
                      <w:szCs w:val="21"/>
                      <w:highlight w:val="none"/>
                      <w14:textFill>
                        <w14:solidFill>
                          <w14:schemeClr w14:val="tx1"/>
                        </w14:solidFill>
                      </w14:textFill>
                    </w:rPr>
                    <w:t>表土剥离、表土回填，</w:t>
                  </w:r>
                  <w:r>
                    <w:rPr>
                      <w:rFonts w:hint="eastAsia"/>
                      <w:color w:val="000000" w:themeColor="text1"/>
                      <w:spacing w:val="0"/>
                      <w:kern w:val="0"/>
                      <w:szCs w:val="21"/>
                      <w:highlight w:val="none"/>
                      <w:lang w:val="en-US" w:eastAsia="zh-CN"/>
                      <w14:textFill>
                        <w14:solidFill>
                          <w14:schemeClr w14:val="tx1"/>
                        </w14:solidFill>
                      </w14:textFill>
                    </w:rPr>
                    <w:t>土地复耕等</w:t>
                  </w:r>
                  <w:r>
                    <w:rPr>
                      <w:rFonts w:ascii="Times New Roman" w:hAnsi="Times New Roman" w:eastAsia="宋体"/>
                      <w:color w:val="000000" w:themeColor="text1"/>
                      <w:spacing w:val="0"/>
                      <w:kern w:val="0"/>
                      <w:szCs w:val="21"/>
                      <w:highlight w:val="none"/>
                      <w14:textFill>
                        <w14:solidFill>
                          <w14:schemeClr w14:val="tx1"/>
                        </w14:solidFill>
                      </w14:textFill>
                    </w:rPr>
                    <w:t>恢复措施</w:t>
                  </w:r>
                </w:p>
              </w:tc>
              <w:tc>
                <w:tcPr>
                  <w:tcW w:w="640" w:type="dxa"/>
                  <w:vMerge w:val="continue"/>
                  <w:vAlign w:val="center"/>
                </w:tcPr>
                <w:p w14:paraId="07C2798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123" w:type="dxa"/>
                  <w:vMerge w:val="continue"/>
                  <w:vAlign w:val="center"/>
                </w:tcPr>
                <w:p w14:paraId="4ABE0D9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854" w:type="dxa"/>
                  <w:vAlign w:val="center"/>
                </w:tcPr>
                <w:p w14:paraId="781BF487">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69009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Merge w:val="continue"/>
                  <w:vAlign w:val="center"/>
                </w:tcPr>
                <w:p w14:paraId="6012DBE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715" w:type="dxa"/>
                  <w:vMerge w:val="continue"/>
                  <w:vAlign w:val="center"/>
                </w:tcPr>
                <w:p w14:paraId="4E8A130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955" w:type="dxa"/>
                  <w:vMerge w:val="continue"/>
                  <w:vAlign w:val="center"/>
                </w:tcPr>
                <w:p w14:paraId="220856D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876" w:type="dxa"/>
                  <w:vAlign w:val="center"/>
                </w:tcPr>
                <w:p w14:paraId="34F886DE">
                  <w:pPr>
                    <w:jc w:val="left"/>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其他：警示标志、竣工环保验收</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tc>
              <w:tc>
                <w:tcPr>
                  <w:tcW w:w="640" w:type="dxa"/>
                  <w:vMerge w:val="continue"/>
                  <w:vAlign w:val="center"/>
                </w:tcPr>
                <w:p w14:paraId="3D5AC9C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123" w:type="dxa"/>
                  <w:vMerge w:val="continue"/>
                  <w:vAlign w:val="center"/>
                </w:tcPr>
                <w:p w14:paraId="5EFC2DB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854" w:type="dxa"/>
                  <w:vAlign w:val="center"/>
                </w:tcPr>
                <w:p w14:paraId="0B737FF5">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0F748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Merge w:val="restart"/>
                  <w:vAlign w:val="center"/>
                </w:tcPr>
                <w:p w14:paraId="573D4277">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3</w:t>
                  </w:r>
                </w:p>
              </w:tc>
              <w:tc>
                <w:tcPr>
                  <w:tcW w:w="715" w:type="dxa"/>
                  <w:vMerge w:val="restart"/>
                  <w:vAlign w:val="center"/>
                </w:tcPr>
                <w:p w14:paraId="642BA81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运行期</w:t>
                  </w:r>
                </w:p>
              </w:tc>
              <w:tc>
                <w:tcPr>
                  <w:tcW w:w="955" w:type="dxa"/>
                  <w:vMerge w:val="restart"/>
                  <w:vAlign w:val="center"/>
                </w:tcPr>
                <w:p w14:paraId="1CC9356E">
                  <w:pPr>
                    <w:widowControl/>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 xml:space="preserve">化粪 </w:t>
                  </w:r>
                </w:p>
                <w:p w14:paraId="6E138650">
                  <w:pPr>
                    <w:widowControl/>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 xml:space="preserve">池；事 </w:t>
                  </w:r>
                </w:p>
                <w:p w14:paraId="7E14A498">
                  <w:pPr>
                    <w:widowControl/>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 xml:space="preserve">故油 </w:t>
                  </w:r>
                </w:p>
                <w:p w14:paraId="78FB4D08">
                  <w:pPr>
                    <w:widowControl/>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 xml:space="preserve">池、事 </w:t>
                  </w:r>
                </w:p>
                <w:p w14:paraId="5BC728CF">
                  <w:pPr>
                    <w:widowControl/>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 xml:space="preserve">故排油 </w:t>
                  </w:r>
                </w:p>
                <w:p w14:paraId="0275859D">
                  <w:pPr>
                    <w:widowControl/>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 xml:space="preserve">管道、 </w:t>
                  </w:r>
                </w:p>
                <w:p w14:paraId="71938789">
                  <w:pPr>
                    <w:widowControl/>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 xml:space="preserve">事故油 </w:t>
                  </w:r>
                </w:p>
                <w:p w14:paraId="43C3991E">
                  <w:pPr>
                    <w:widowControl/>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 xml:space="preserve">坑及卵 </w:t>
                  </w:r>
                </w:p>
                <w:p w14:paraId="41D5F887">
                  <w:pPr>
                    <w:widowControl/>
                    <w:jc w:val="left"/>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 xml:space="preserve">石；垃 </w:t>
                  </w:r>
                </w:p>
                <w:p w14:paraId="48AC2AB5">
                  <w:pPr>
                    <w:widowControl/>
                    <w:jc w:val="left"/>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kern w:val="0"/>
                      <w:szCs w:val="21"/>
                      <w:highlight w:val="none"/>
                      <w:lang w:bidi="ar"/>
                      <w14:textFill>
                        <w14:solidFill>
                          <w14:schemeClr w14:val="tx1"/>
                        </w14:solidFill>
                      </w14:textFill>
                    </w:rPr>
                    <w:t>圾箱</w:t>
                  </w:r>
                  <w:r>
                    <w:rPr>
                      <w:rFonts w:hint="eastAsia"/>
                      <w:color w:val="000000" w:themeColor="text1"/>
                      <w:spacing w:val="0"/>
                      <w:kern w:val="0"/>
                      <w:szCs w:val="21"/>
                      <w:highlight w:val="none"/>
                      <w:lang w:eastAsia="zh-CN" w:bidi="ar"/>
                      <w14:textFill>
                        <w14:solidFill>
                          <w14:schemeClr w14:val="tx1"/>
                        </w14:solidFill>
                      </w14:textFill>
                    </w:rPr>
                    <w:t>。</w:t>
                  </w:r>
                </w:p>
                <w:p w14:paraId="0FEF4F87">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876" w:type="dxa"/>
                  <w:vAlign w:val="center"/>
                </w:tcPr>
                <w:p w14:paraId="6ACAA57D">
                  <w:pPr>
                    <w:spacing w:line="240" w:lineRule="atLeast"/>
                    <w:jc w:val="cente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环境管理：①设置环境管理部门，制定环境监测计划、环境保护制度并实施；②检查环境保护设施运行情况，保证环保设施正常运行</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tc>
              <w:tc>
                <w:tcPr>
                  <w:tcW w:w="640" w:type="dxa"/>
                  <w:vMerge w:val="restart"/>
                  <w:vAlign w:val="center"/>
                </w:tcPr>
                <w:p w14:paraId="7B3B9621">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运维单位</w:t>
                  </w:r>
                </w:p>
              </w:tc>
              <w:tc>
                <w:tcPr>
                  <w:tcW w:w="2123" w:type="dxa"/>
                  <w:vAlign w:val="center"/>
                </w:tcPr>
                <w:p w14:paraId="37FB7B9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运维单位设置环境管理部门，根据环境监测计划对项目进行运行期监测，保证输电设施正常运行。</w:t>
                  </w:r>
                </w:p>
              </w:tc>
              <w:tc>
                <w:tcPr>
                  <w:tcW w:w="854" w:type="dxa"/>
                  <w:vAlign w:val="center"/>
                </w:tcPr>
                <w:p w14:paraId="45C0C5E4">
                  <w:pPr>
                    <w:jc w:val="cente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0CB37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Merge w:val="continue"/>
                  <w:vAlign w:val="center"/>
                </w:tcPr>
                <w:p w14:paraId="05B5BD4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715" w:type="dxa"/>
                  <w:vMerge w:val="continue"/>
                  <w:vAlign w:val="center"/>
                </w:tcPr>
                <w:p w14:paraId="282ACDF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955" w:type="dxa"/>
                  <w:vMerge w:val="continue"/>
                  <w:vAlign w:val="center"/>
                </w:tcPr>
                <w:p w14:paraId="0D2D5F8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876" w:type="dxa"/>
                  <w:vAlign w:val="center"/>
                </w:tcPr>
                <w:p w14:paraId="20B6276B">
                  <w:pPr>
                    <w:spacing w:line="240" w:lineRule="atLeast"/>
                    <w:jc w:val="cente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噪声：选用低噪声设备，加强设备保养等措施</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tc>
              <w:tc>
                <w:tcPr>
                  <w:tcW w:w="640" w:type="dxa"/>
                  <w:vMerge w:val="continue"/>
                  <w:vAlign w:val="center"/>
                </w:tcPr>
                <w:p w14:paraId="0712ECE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123" w:type="dxa"/>
                  <w:vMerge w:val="restart"/>
                  <w:vAlign w:val="center"/>
                </w:tcPr>
                <w:p w14:paraId="7C16C96E">
                  <w:pPr>
                    <w:jc w:val="cente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运行单位加强变电站环境保护设施的日常管理维护，保证环境保护设施的正常运行</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tc>
              <w:tc>
                <w:tcPr>
                  <w:tcW w:w="854" w:type="dxa"/>
                  <w:vAlign w:val="center"/>
                </w:tcPr>
                <w:p w14:paraId="113A82AA">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03838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dxa"/>
                  <w:vMerge w:val="continue"/>
                  <w:vAlign w:val="center"/>
                </w:tcPr>
                <w:p w14:paraId="5BF91E8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715" w:type="dxa"/>
                  <w:vMerge w:val="continue"/>
                  <w:vAlign w:val="center"/>
                </w:tcPr>
                <w:p w14:paraId="7F153F5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955" w:type="dxa"/>
                  <w:vMerge w:val="continue"/>
                  <w:vAlign w:val="center"/>
                </w:tcPr>
                <w:p w14:paraId="6D2CCB91">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876" w:type="dxa"/>
                  <w:vAlign w:val="center"/>
                </w:tcPr>
                <w:p w14:paraId="6A8A7262">
                  <w:pPr>
                    <w:spacing w:line="240" w:lineRule="atLeast"/>
                    <w:jc w:val="cente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固废：设置事故油池、事故油坑</w:t>
                  </w:r>
                  <w:r>
                    <w:rPr>
                      <w:rFonts w:hint="eastAsia"/>
                      <w:color w:val="000000" w:themeColor="text1"/>
                      <w:spacing w:val="0"/>
                      <w:szCs w:val="21"/>
                      <w:highlight w:val="none"/>
                      <w:lang w:eastAsia="zh-CN"/>
                      <w14:textFill>
                        <w14:solidFill>
                          <w14:schemeClr w14:val="tx1"/>
                        </w14:solidFill>
                      </w14:textFill>
                    </w:rPr>
                    <w:t>、</w:t>
                  </w:r>
                  <w:r>
                    <w:rPr>
                      <w:rFonts w:hint="eastAsia"/>
                      <w:color w:val="000000" w:themeColor="text1"/>
                      <w:spacing w:val="0"/>
                      <w:szCs w:val="21"/>
                      <w:highlight w:val="none"/>
                      <w:lang w:val="en-US" w:eastAsia="zh-CN"/>
                      <w14:textFill>
                        <w14:solidFill>
                          <w14:schemeClr w14:val="tx1"/>
                        </w14:solidFill>
                      </w14:textFill>
                    </w:rPr>
                    <w:t>垃圾桶等</w:t>
                  </w:r>
                  <w:r>
                    <w:rPr>
                      <w:rFonts w:hint="eastAsia" w:ascii="Times New Roman" w:hAnsi="Times New Roman" w:eastAsia="宋体"/>
                      <w:color w:val="000000" w:themeColor="text1"/>
                      <w:spacing w:val="0"/>
                      <w:szCs w:val="21"/>
                      <w:highlight w:val="none"/>
                      <w:lang w:eastAsia="zh-CN"/>
                      <w14:textFill>
                        <w14:solidFill>
                          <w14:schemeClr w14:val="tx1"/>
                        </w14:solidFill>
                      </w14:textFill>
                    </w:rPr>
                    <w:t>。</w:t>
                  </w:r>
                </w:p>
              </w:tc>
              <w:tc>
                <w:tcPr>
                  <w:tcW w:w="640" w:type="dxa"/>
                  <w:vMerge w:val="continue"/>
                  <w:vAlign w:val="center"/>
                </w:tcPr>
                <w:p w14:paraId="5C530B6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2123" w:type="dxa"/>
                  <w:vMerge w:val="continue"/>
                  <w:vAlign w:val="center"/>
                </w:tcPr>
                <w:p w14:paraId="78E9DE5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854" w:type="dxa"/>
                  <w:vAlign w:val="center"/>
                </w:tcPr>
                <w:p w14:paraId="3F037A9C">
                  <w:pPr>
                    <w:jc w:val="center"/>
                    <w:outlineLvl w:val="9"/>
                    <w:rPr>
                      <w:rFonts w:hint="eastAsia" w:ascii="Times New Roman" w:hAnsi="Times New Roman" w:eastAsia="宋体"/>
                      <w:color w:val="000000" w:themeColor="text1"/>
                      <w:spacing w:val="0"/>
                      <w:szCs w:val="21"/>
                      <w:highlight w:val="none"/>
                      <w:lang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78AA1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2" w:type="dxa"/>
                  <w:gridSpan w:val="6"/>
                  <w:vAlign w:val="center"/>
                </w:tcPr>
                <w:p w14:paraId="67AF9AE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环保投资合计</w:t>
                  </w:r>
                </w:p>
              </w:tc>
              <w:tc>
                <w:tcPr>
                  <w:tcW w:w="854" w:type="dxa"/>
                  <w:vAlign w:val="center"/>
                </w:tcPr>
                <w:p w14:paraId="56D65C92">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049C8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2" w:type="dxa"/>
                  <w:gridSpan w:val="6"/>
                  <w:vAlign w:val="center"/>
                </w:tcPr>
                <w:p w14:paraId="3197037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项目总投资</w:t>
                  </w:r>
                </w:p>
              </w:tc>
              <w:tc>
                <w:tcPr>
                  <w:tcW w:w="854" w:type="dxa"/>
                </w:tcPr>
                <w:p w14:paraId="096BB8C8">
                  <w:pPr>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r w14:paraId="0303A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2" w:type="dxa"/>
                  <w:gridSpan w:val="6"/>
                  <w:vAlign w:val="center"/>
                </w:tcPr>
                <w:p w14:paraId="035ABFF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环保投资比例</w:t>
                  </w:r>
                </w:p>
              </w:tc>
              <w:tc>
                <w:tcPr>
                  <w:tcW w:w="854" w:type="dxa"/>
                </w:tcPr>
                <w:p w14:paraId="4B83313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color w:val="000000" w:themeColor="text1"/>
                      <w:spacing w:val="0"/>
                      <w:sz w:val="24"/>
                      <w:highlight w:val="none"/>
                      <w:lang w:val="en-US" w:eastAsia="zh-CN"/>
                      <w14:textFill>
                        <w14:solidFill>
                          <w14:schemeClr w14:val="tx1"/>
                        </w14:solidFill>
                      </w14:textFill>
                    </w:rPr>
                    <w:t>****</w:t>
                  </w:r>
                </w:p>
              </w:tc>
            </w:tr>
          </w:tbl>
          <w:p w14:paraId="3F193DEC">
            <w:pPr>
              <w:spacing w:line="360" w:lineRule="auto"/>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 xml:space="preserve">                 </w:t>
            </w:r>
          </w:p>
        </w:tc>
      </w:tr>
    </w:tbl>
    <w:p w14:paraId="51EA6440">
      <w:pPr>
        <w:outlineLvl w:val="9"/>
        <w:rPr>
          <w:rFonts w:ascii="Times New Roman" w:hAnsi="Times New Roman" w:eastAsia="宋体"/>
          <w:color w:val="000000" w:themeColor="text1"/>
          <w:spacing w:val="0"/>
          <w:sz w:val="24"/>
          <w:highlight w:val="none"/>
          <w14:textFill>
            <w14:solidFill>
              <w14:schemeClr w14:val="tx1"/>
            </w14:solidFill>
          </w14:textFill>
        </w:rPr>
        <w:sectPr>
          <w:pgSz w:w="11907" w:h="16840"/>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2814D8A6">
      <w:pPr>
        <w:pStyle w:val="23"/>
        <w:spacing w:before="0" w:beforeAutospacing="0" w:after="0" w:afterAutospacing="0" w:line="360" w:lineRule="auto"/>
        <w:jc w:val="center"/>
        <w:outlineLvl w:val="0"/>
        <w:rPr>
          <w:rFonts w:ascii="Times New Roman" w:hAnsi="Times New Roman" w:eastAsia="宋体"/>
          <w:snapToGrid w:val="0"/>
          <w:color w:val="000000" w:themeColor="text1"/>
          <w:spacing w:val="0"/>
          <w:sz w:val="30"/>
          <w:szCs w:val="30"/>
          <w:highlight w:val="none"/>
          <w14:textFill>
            <w14:solidFill>
              <w14:schemeClr w14:val="tx1"/>
            </w14:solidFill>
          </w14:textFill>
        </w:rPr>
      </w:pPr>
      <w:bookmarkStart w:id="13" w:name="_Toc21439"/>
      <w:r>
        <w:rPr>
          <w:rFonts w:ascii="Times New Roman" w:hAnsi="Times New Roman" w:eastAsia="宋体"/>
          <w:b/>
          <w:bCs/>
          <w:snapToGrid w:val="0"/>
          <w:color w:val="000000" w:themeColor="text1"/>
          <w:spacing w:val="0"/>
          <w:sz w:val="30"/>
          <w:szCs w:val="30"/>
          <w:highlight w:val="none"/>
          <w14:textFill>
            <w14:solidFill>
              <w14:schemeClr w14:val="tx1"/>
            </w14:solidFill>
          </w14:textFill>
        </w:rPr>
        <w:t>六、生态环境保护措施监督检查清单</w:t>
      </w:r>
      <w:bookmarkEnd w:id="13"/>
    </w:p>
    <w:tbl>
      <w:tblPr>
        <w:tblStyle w:val="26"/>
        <w:tblW w:w="55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659"/>
        <w:gridCol w:w="1141"/>
        <w:gridCol w:w="2115"/>
        <w:gridCol w:w="1693"/>
      </w:tblGrid>
      <w:tr w14:paraId="56378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Merge w:val="restart"/>
            <w:tcBorders>
              <w:tl2br w:val="single" w:color="auto" w:sz="4" w:space="0"/>
            </w:tcBorders>
          </w:tcPr>
          <w:p w14:paraId="42C81346">
            <w:pPr>
              <w:pStyle w:val="23"/>
              <w:adjustRightInd w:val="0"/>
              <w:snapToGrid w:val="0"/>
              <w:spacing w:before="0" w:beforeAutospacing="0" w:after="0" w:afterAutospacing="0"/>
              <w:jc w:val="center"/>
              <w:outlineLvl w:val="9"/>
              <w:rPr>
                <w:rFonts w:ascii="Times New Roman" w:hAnsi="Times New Roman" w:eastAsia="宋体"/>
                <w:color w:val="000000" w:themeColor="text1"/>
                <w:spacing w:val="0"/>
                <w:kern w:val="2"/>
                <w:highlight w:val="none"/>
                <w14:textFill>
                  <w14:solidFill>
                    <w14:schemeClr w14:val="tx1"/>
                  </w14:solidFill>
                </w14:textFill>
              </w:rPr>
            </w:pPr>
            <w:r>
              <w:rPr>
                <w:rFonts w:ascii="Times New Roman" w:hAnsi="Times New Roman" w:eastAsia="宋体"/>
                <w:color w:val="000000" w:themeColor="text1"/>
                <w:spacing w:val="0"/>
                <w:kern w:val="2"/>
                <w:highlight w:val="none"/>
                <w14:textFill>
                  <w14:solidFill>
                    <w14:schemeClr w14:val="tx1"/>
                  </w14:solidFill>
                </w14:textFill>
              </w:rPr>
              <w:t xml:space="preserve"> 内容</w:t>
            </w:r>
          </w:p>
          <w:p w14:paraId="10983C66">
            <w:pPr>
              <w:pStyle w:val="23"/>
              <w:adjustRightInd w:val="0"/>
              <w:snapToGrid w:val="0"/>
              <w:spacing w:before="120" w:beforeLines="50" w:beforeAutospacing="0" w:after="0" w:afterAutospacing="0"/>
              <w:outlineLvl w:val="9"/>
              <w:rPr>
                <w:rFonts w:ascii="Times New Roman" w:hAnsi="Times New Roman" w:eastAsia="宋体"/>
                <w:color w:val="000000" w:themeColor="text1"/>
                <w:spacing w:val="0"/>
                <w:kern w:val="2"/>
                <w:highlight w:val="none"/>
                <w14:textFill>
                  <w14:solidFill>
                    <w14:schemeClr w14:val="tx1"/>
                  </w14:solidFill>
                </w14:textFill>
              </w:rPr>
            </w:pPr>
            <w:r>
              <w:rPr>
                <w:rFonts w:ascii="Times New Roman" w:hAnsi="Times New Roman" w:eastAsia="宋体"/>
                <w:color w:val="000000" w:themeColor="text1"/>
                <w:spacing w:val="0"/>
                <w:kern w:val="2"/>
                <w:highlight w:val="none"/>
                <w14:textFill>
                  <w14:solidFill>
                    <w14:schemeClr w14:val="tx1"/>
                  </w14:solidFill>
                </w14:textFill>
              </w:rPr>
              <w:t>要素</w:t>
            </w:r>
          </w:p>
        </w:tc>
        <w:tc>
          <w:tcPr>
            <w:tcW w:w="2534" w:type="pct"/>
            <w:gridSpan w:val="2"/>
            <w:vAlign w:val="center"/>
          </w:tcPr>
          <w:p w14:paraId="3B51D1F9">
            <w:pPr>
              <w:pStyle w:val="23"/>
              <w:adjustRightInd w:val="0"/>
              <w:snapToGrid w:val="0"/>
              <w:spacing w:before="0" w:beforeAutospacing="0" w:after="0" w:afterAutospacing="0"/>
              <w:jc w:val="center"/>
              <w:outlineLvl w:val="9"/>
              <w:rPr>
                <w:rFonts w:ascii="Times New Roman" w:hAnsi="Times New Roman" w:eastAsia="宋体"/>
                <w:color w:val="000000" w:themeColor="text1"/>
                <w:spacing w:val="0"/>
                <w:kern w:val="2"/>
                <w:highlight w:val="none"/>
                <w14:textFill>
                  <w14:solidFill>
                    <w14:schemeClr w14:val="tx1"/>
                  </w14:solidFill>
                </w14:textFill>
              </w:rPr>
            </w:pPr>
            <w:r>
              <w:rPr>
                <w:rFonts w:ascii="Times New Roman" w:hAnsi="Times New Roman" w:eastAsia="宋体"/>
                <w:color w:val="000000" w:themeColor="text1"/>
                <w:spacing w:val="0"/>
                <w:kern w:val="2"/>
                <w:highlight w:val="none"/>
                <w14:textFill>
                  <w14:solidFill>
                    <w14:schemeClr w14:val="tx1"/>
                  </w14:solidFill>
                </w14:textFill>
              </w:rPr>
              <w:t>施工期</w:t>
            </w:r>
          </w:p>
        </w:tc>
        <w:tc>
          <w:tcPr>
            <w:tcW w:w="2010" w:type="pct"/>
            <w:gridSpan w:val="2"/>
            <w:vAlign w:val="center"/>
          </w:tcPr>
          <w:p w14:paraId="4CF10AC8">
            <w:pPr>
              <w:pStyle w:val="23"/>
              <w:adjustRightInd w:val="0"/>
              <w:snapToGrid w:val="0"/>
              <w:spacing w:before="0" w:beforeAutospacing="0" w:after="0" w:afterAutospacing="0"/>
              <w:jc w:val="center"/>
              <w:outlineLvl w:val="9"/>
              <w:rPr>
                <w:rFonts w:ascii="Times New Roman" w:hAnsi="Times New Roman" w:eastAsia="宋体"/>
                <w:color w:val="000000" w:themeColor="text1"/>
                <w:spacing w:val="0"/>
                <w:kern w:val="2"/>
                <w:highlight w:val="none"/>
                <w14:textFill>
                  <w14:solidFill>
                    <w14:schemeClr w14:val="tx1"/>
                  </w14:solidFill>
                </w14:textFill>
              </w:rPr>
            </w:pPr>
            <w:r>
              <w:rPr>
                <w:rFonts w:ascii="Times New Roman" w:hAnsi="Times New Roman" w:eastAsia="宋体"/>
                <w:color w:val="000000" w:themeColor="text1"/>
                <w:spacing w:val="0"/>
                <w:kern w:val="2"/>
                <w:highlight w:val="none"/>
                <w14:textFill>
                  <w14:solidFill>
                    <w14:schemeClr w14:val="tx1"/>
                  </w14:solidFill>
                </w14:textFill>
              </w:rPr>
              <w:t>运营期</w:t>
            </w:r>
          </w:p>
        </w:tc>
      </w:tr>
      <w:tr w14:paraId="6AADB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Merge w:val="continue"/>
          </w:tcPr>
          <w:p w14:paraId="2B17DFCE">
            <w:pPr>
              <w:pStyle w:val="23"/>
              <w:adjustRightInd w:val="0"/>
              <w:snapToGrid w:val="0"/>
              <w:spacing w:before="0" w:beforeAutospacing="0" w:after="0" w:afterAutospacing="0"/>
              <w:ind w:firstLine="840"/>
              <w:jc w:val="center"/>
              <w:outlineLvl w:val="9"/>
              <w:rPr>
                <w:rFonts w:ascii="Times New Roman" w:hAnsi="Times New Roman" w:eastAsia="宋体"/>
                <w:color w:val="000000" w:themeColor="text1"/>
                <w:spacing w:val="0"/>
                <w:kern w:val="2"/>
                <w:highlight w:val="none"/>
                <w14:textFill>
                  <w14:solidFill>
                    <w14:schemeClr w14:val="tx1"/>
                  </w14:solidFill>
                </w14:textFill>
              </w:rPr>
            </w:pPr>
          </w:p>
        </w:tc>
        <w:tc>
          <w:tcPr>
            <w:tcW w:w="1932" w:type="pct"/>
            <w:vAlign w:val="center"/>
          </w:tcPr>
          <w:p w14:paraId="4DF1BE39">
            <w:pPr>
              <w:pStyle w:val="23"/>
              <w:adjustRightInd w:val="0"/>
              <w:snapToGrid w:val="0"/>
              <w:spacing w:before="0" w:beforeAutospacing="0" w:after="0" w:afterAutospacing="0"/>
              <w:jc w:val="center"/>
              <w:outlineLvl w:val="9"/>
              <w:rPr>
                <w:rFonts w:ascii="Times New Roman" w:hAnsi="Times New Roman" w:eastAsia="宋体"/>
                <w:color w:val="000000" w:themeColor="text1"/>
                <w:spacing w:val="0"/>
                <w:kern w:val="2"/>
                <w:highlight w:val="none"/>
                <w14:textFill>
                  <w14:solidFill>
                    <w14:schemeClr w14:val="tx1"/>
                  </w14:solidFill>
                </w14:textFill>
              </w:rPr>
            </w:pPr>
            <w:r>
              <w:rPr>
                <w:rFonts w:ascii="Times New Roman" w:hAnsi="Times New Roman" w:eastAsia="宋体"/>
                <w:color w:val="000000" w:themeColor="text1"/>
                <w:spacing w:val="0"/>
                <w:kern w:val="2"/>
                <w:highlight w:val="none"/>
                <w14:textFill>
                  <w14:solidFill>
                    <w14:schemeClr w14:val="tx1"/>
                  </w14:solidFill>
                </w14:textFill>
              </w:rPr>
              <w:t>环境保护措施</w:t>
            </w:r>
          </w:p>
        </w:tc>
        <w:tc>
          <w:tcPr>
            <w:tcW w:w="602" w:type="pct"/>
            <w:vAlign w:val="center"/>
          </w:tcPr>
          <w:p w14:paraId="4E1B691F">
            <w:pPr>
              <w:pStyle w:val="23"/>
              <w:adjustRightInd w:val="0"/>
              <w:snapToGrid w:val="0"/>
              <w:spacing w:before="0" w:beforeAutospacing="0" w:after="0" w:afterAutospacing="0"/>
              <w:jc w:val="center"/>
              <w:outlineLvl w:val="9"/>
              <w:rPr>
                <w:rFonts w:ascii="Times New Roman" w:hAnsi="Times New Roman" w:eastAsia="宋体"/>
                <w:color w:val="000000" w:themeColor="text1"/>
                <w:spacing w:val="0"/>
                <w:kern w:val="2"/>
                <w:highlight w:val="none"/>
                <w14:textFill>
                  <w14:solidFill>
                    <w14:schemeClr w14:val="tx1"/>
                  </w14:solidFill>
                </w14:textFill>
              </w:rPr>
            </w:pPr>
            <w:r>
              <w:rPr>
                <w:rFonts w:ascii="Times New Roman" w:hAnsi="Times New Roman" w:eastAsia="宋体"/>
                <w:color w:val="000000" w:themeColor="text1"/>
                <w:spacing w:val="0"/>
                <w:kern w:val="2"/>
                <w:highlight w:val="none"/>
                <w14:textFill>
                  <w14:solidFill>
                    <w14:schemeClr w14:val="tx1"/>
                  </w14:solidFill>
                </w14:textFill>
              </w:rPr>
              <w:t>验收要求</w:t>
            </w:r>
          </w:p>
        </w:tc>
        <w:tc>
          <w:tcPr>
            <w:tcW w:w="1116" w:type="pct"/>
            <w:vAlign w:val="center"/>
          </w:tcPr>
          <w:p w14:paraId="0C9CB0FE">
            <w:pPr>
              <w:pStyle w:val="23"/>
              <w:adjustRightInd w:val="0"/>
              <w:snapToGrid w:val="0"/>
              <w:spacing w:before="0" w:beforeAutospacing="0" w:after="0" w:afterAutospacing="0"/>
              <w:jc w:val="center"/>
              <w:outlineLvl w:val="9"/>
              <w:rPr>
                <w:rFonts w:ascii="Times New Roman" w:hAnsi="Times New Roman" w:eastAsia="宋体"/>
                <w:color w:val="000000" w:themeColor="text1"/>
                <w:spacing w:val="0"/>
                <w:kern w:val="2"/>
                <w:highlight w:val="none"/>
                <w14:textFill>
                  <w14:solidFill>
                    <w14:schemeClr w14:val="tx1"/>
                  </w14:solidFill>
                </w14:textFill>
              </w:rPr>
            </w:pPr>
            <w:r>
              <w:rPr>
                <w:rFonts w:ascii="Times New Roman" w:hAnsi="Times New Roman" w:eastAsia="宋体"/>
                <w:color w:val="000000" w:themeColor="text1"/>
                <w:spacing w:val="0"/>
                <w:kern w:val="2"/>
                <w:highlight w:val="none"/>
                <w14:textFill>
                  <w14:solidFill>
                    <w14:schemeClr w14:val="tx1"/>
                  </w14:solidFill>
                </w14:textFill>
              </w:rPr>
              <w:t>环境保护措施</w:t>
            </w:r>
          </w:p>
        </w:tc>
        <w:tc>
          <w:tcPr>
            <w:tcW w:w="893" w:type="pct"/>
            <w:vAlign w:val="center"/>
          </w:tcPr>
          <w:p w14:paraId="723EB4DF">
            <w:pPr>
              <w:pStyle w:val="23"/>
              <w:adjustRightInd w:val="0"/>
              <w:snapToGrid w:val="0"/>
              <w:spacing w:before="0" w:beforeAutospacing="0" w:after="0" w:afterAutospacing="0"/>
              <w:jc w:val="center"/>
              <w:outlineLvl w:val="9"/>
              <w:rPr>
                <w:rFonts w:ascii="Times New Roman" w:hAnsi="Times New Roman" w:eastAsia="宋体"/>
                <w:color w:val="000000" w:themeColor="text1"/>
                <w:spacing w:val="0"/>
                <w:kern w:val="2"/>
                <w:highlight w:val="none"/>
                <w14:textFill>
                  <w14:solidFill>
                    <w14:schemeClr w14:val="tx1"/>
                  </w14:solidFill>
                </w14:textFill>
              </w:rPr>
            </w:pPr>
            <w:r>
              <w:rPr>
                <w:rFonts w:ascii="Times New Roman" w:hAnsi="Times New Roman" w:eastAsia="宋体"/>
                <w:color w:val="000000" w:themeColor="text1"/>
                <w:spacing w:val="0"/>
                <w:kern w:val="2"/>
                <w:highlight w:val="none"/>
                <w14:textFill>
                  <w14:solidFill>
                    <w14:schemeClr w14:val="tx1"/>
                  </w14:solidFill>
                </w14:textFill>
              </w:rPr>
              <w:t>验收要求</w:t>
            </w:r>
          </w:p>
        </w:tc>
      </w:tr>
      <w:tr w14:paraId="556A0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2624A310">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陆生</w:t>
            </w:r>
          </w:p>
          <w:p w14:paraId="66905143">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生态</w:t>
            </w:r>
          </w:p>
        </w:tc>
        <w:tc>
          <w:tcPr>
            <w:tcW w:w="1932" w:type="pct"/>
            <w:vAlign w:val="center"/>
          </w:tcPr>
          <w:p w14:paraId="498A56E0">
            <w:pPr>
              <w:adjustRightInd w:val="0"/>
              <w:snapToGrid w:val="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①设置围挡，控制施工作业范围；②严格按照设计施工，减少基础开挖量，临时堆土进行苫盖；③变电站施工结束后，空地应及时进行硬化或铺设方砖；④</w:t>
            </w:r>
            <w:r>
              <w:rPr>
                <w:rFonts w:hint="eastAsia" w:ascii="Times New Roman" w:hAnsi="Times New Roman" w:eastAsia="宋体"/>
                <w:color w:val="000000" w:themeColor="text1"/>
                <w:spacing w:val="0"/>
                <w:sz w:val="24"/>
                <w:highlight w:val="none"/>
                <w14:textFill>
                  <w14:solidFill>
                    <w14:schemeClr w14:val="tx1"/>
                  </w14:solidFill>
                </w14:textFill>
              </w:rPr>
              <w:t>尽量</w:t>
            </w:r>
            <w:r>
              <w:rPr>
                <w:rFonts w:ascii="Times New Roman" w:hAnsi="Times New Roman" w:eastAsia="宋体"/>
                <w:color w:val="000000" w:themeColor="text1"/>
                <w:spacing w:val="0"/>
                <w:sz w:val="24"/>
                <w:highlight w:val="none"/>
                <w14:textFill>
                  <w14:solidFill>
                    <w14:schemeClr w14:val="tx1"/>
                  </w14:solidFill>
                </w14:textFill>
              </w:rPr>
              <w:t>利用现有道路，</w:t>
            </w:r>
            <w:r>
              <w:rPr>
                <w:rFonts w:hint="eastAsia" w:ascii="Times New Roman" w:hAnsi="Times New Roman" w:eastAsia="宋体"/>
                <w:color w:val="000000" w:themeColor="text1"/>
                <w:spacing w:val="0"/>
                <w:sz w:val="24"/>
                <w:highlight w:val="none"/>
                <w14:textFill>
                  <w14:solidFill>
                    <w14:schemeClr w14:val="tx1"/>
                  </w14:solidFill>
                </w14:textFill>
              </w:rPr>
              <w:t>设置施工便道宽度控制在4m范围内</w:t>
            </w:r>
            <w:r>
              <w:rPr>
                <w:rFonts w:ascii="Times New Roman" w:hAnsi="Times New Roman" w:eastAsia="宋体"/>
                <w:color w:val="000000" w:themeColor="text1"/>
                <w:spacing w:val="0"/>
                <w:sz w:val="24"/>
                <w:highlight w:val="none"/>
                <w14:textFill>
                  <w14:solidFill>
                    <w14:schemeClr w14:val="tx1"/>
                  </w14:solidFill>
                </w14:textFill>
              </w:rPr>
              <w:t>；临时施工场地布置在植被较少的区域；⑤施工结束后通过</w:t>
            </w:r>
            <w:r>
              <w:rPr>
                <w:rFonts w:hint="eastAsia"/>
                <w:color w:val="000000" w:themeColor="text1"/>
                <w:spacing w:val="0"/>
                <w:sz w:val="24"/>
                <w:highlight w:val="none"/>
                <w:lang w:val="en-US" w:eastAsia="zh-CN"/>
                <w14:textFill>
                  <w14:solidFill>
                    <w14:schemeClr w14:val="tx1"/>
                  </w14:solidFill>
                </w14:textFill>
              </w:rPr>
              <w:t>土地平整、土地</w:t>
            </w:r>
            <w:r>
              <w:rPr>
                <w:rFonts w:hint="eastAsia" w:ascii="Times New Roman" w:hAnsi="Times New Roman" w:eastAsia="宋体"/>
                <w:color w:val="000000" w:themeColor="text1"/>
                <w:spacing w:val="0"/>
                <w:sz w:val="24"/>
                <w:highlight w:val="none"/>
                <w14:textFill>
                  <w14:solidFill>
                    <w14:schemeClr w14:val="tx1"/>
                  </w14:solidFill>
                </w14:textFill>
              </w:rPr>
              <w:t>复耕</w:t>
            </w:r>
            <w:r>
              <w:rPr>
                <w:rFonts w:ascii="Times New Roman" w:hAnsi="Times New Roman" w:eastAsia="宋体"/>
                <w:color w:val="000000" w:themeColor="text1"/>
                <w:spacing w:val="0"/>
                <w:sz w:val="24"/>
                <w:highlight w:val="none"/>
                <w14:textFill>
                  <w14:solidFill>
                    <w14:schemeClr w14:val="tx1"/>
                  </w14:solidFill>
                </w14:textFill>
              </w:rPr>
              <w:t>等恢复方式及时进行植被恢复；⑥挖出的土方集中堆放，以减少对附近植被的覆盖，线路基坑开挖完工后，尽快浇注商品混凝土，并对其表层进行碾压，缩短裸露时间。⑦进行表土剥离，并单独存放，用于临时占地植被恢复；⑧对施工人员进行环保知识宣传，提高施工人员的环保意识，</w:t>
            </w:r>
            <w:r>
              <w:rPr>
                <w:rFonts w:ascii="Times New Roman" w:hAnsi="Times New Roman" w:eastAsia="宋体"/>
                <w:color w:val="000000" w:themeColor="text1"/>
                <w:spacing w:val="0"/>
                <w:kern w:val="0"/>
                <w:sz w:val="24"/>
                <w:highlight w:val="none"/>
                <w14:textFill>
                  <w14:solidFill>
                    <w14:schemeClr w14:val="tx1"/>
                  </w14:solidFill>
                </w14:textFill>
              </w:rPr>
              <w:t>严禁捕猎野生动物，合理安排施工时间和作业工序，避免在晨昏和正午进行高噪声施工作业。</w:t>
            </w:r>
          </w:p>
        </w:tc>
        <w:tc>
          <w:tcPr>
            <w:tcW w:w="602" w:type="pct"/>
            <w:vAlign w:val="center"/>
          </w:tcPr>
          <w:p w14:paraId="5B33998D">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临时占地因地制宜恢复原有土地功能</w:t>
            </w:r>
          </w:p>
        </w:tc>
        <w:tc>
          <w:tcPr>
            <w:tcW w:w="1116" w:type="pct"/>
            <w:vAlign w:val="center"/>
          </w:tcPr>
          <w:p w14:paraId="6596AFAE">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①线路巡检人员，沿固定巡检道路行驶，减少运行期对生态环境的影响。②定期对沿线生态保护和防护措施进行检查。</w:t>
            </w:r>
          </w:p>
        </w:tc>
        <w:tc>
          <w:tcPr>
            <w:tcW w:w="893" w:type="pct"/>
            <w:vAlign w:val="center"/>
          </w:tcPr>
          <w:p w14:paraId="60DE90E8">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按要求落实</w:t>
            </w:r>
          </w:p>
        </w:tc>
      </w:tr>
      <w:tr w14:paraId="172F3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5FA6C17A">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水生</w:t>
            </w:r>
          </w:p>
          <w:p w14:paraId="1B59617B">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生态</w:t>
            </w:r>
          </w:p>
        </w:tc>
        <w:tc>
          <w:tcPr>
            <w:tcW w:w="1932" w:type="pct"/>
            <w:vAlign w:val="center"/>
          </w:tcPr>
          <w:p w14:paraId="4EFD5E56">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6918DAFD">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1116" w:type="pct"/>
            <w:vAlign w:val="center"/>
          </w:tcPr>
          <w:p w14:paraId="7995FC44">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893" w:type="pct"/>
            <w:vAlign w:val="center"/>
          </w:tcPr>
          <w:p w14:paraId="09FBAD2D">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r>
      <w:tr w14:paraId="60D8B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6" w:hRule="atLeast"/>
          <w:jc w:val="center"/>
        </w:trPr>
        <w:tc>
          <w:tcPr>
            <w:tcW w:w="454" w:type="pct"/>
            <w:vAlign w:val="center"/>
          </w:tcPr>
          <w:p w14:paraId="0A4B29DD">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地表水环境</w:t>
            </w:r>
          </w:p>
        </w:tc>
        <w:tc>
          <w:tcPr>
            <w:tcW w:w="1932" w:type="pct"/>
            <w:vAlign w:val="center"/>
          </w:tcPr>
          <w:p w14:paraId="0091CB7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①变电站和输电线路均采用商品混凝土，塔基基础施工施工</w:t>
            </w:r>
            <w:r>
              <w:rPr>
                <w:rFonts w:hint="eastAsia" w:ascii="Times New Roman" w:hAnsi="Times New Roman" w:eastAsia="宋体"/>
                <w:color w:val="000000" w:themeColor="text1"/>
                <w:spacing w:val="0"/>
                <w:sz w:val="24"/>
                <w:highlight w:val="none"/>
                <w14:textFill>
                  <w14:solidFill>
                    <w14:schemeClr w14:val="tx1"/>
                  </w14:solidFill>
                </w14:textFill>
              </w:rPr>
              <w:t>及</w:t>
            </w:r>
            <w:r>
              <w:rPr>
                <w:rFonts w:hint="eastAsia"/>
                <w:color w:val="000000" w:themeColor="text1"/>
                <w:spacing w:val="0"/>
                <w:sz w:val="24"/>
                <w:highlight w:val="none"/>
                <w:lang w:eastAsia="zh-CN"/>
                <w14:textFill>
                  <w14:solidFill>
                    <w14:schemeClr w14:val="tx1"/>
                  </w14:solidFill>
                </w14:textFill>
              </w:rPr>
              <w:t>穿管</w:t>
            </w:r>
            <w:r>
              <w:rPr>
                <w:rFonts w:hint="eastAsia" w:ascii="Times New Roman" w:hAnsi="Times New Roman" w:eastAsia="宋体"/>
                <w:color w:val="000000" w:themeColor="text1"/>
                <w:spacing w:val="0"/>
                <w:sz w:val="24"/>
                <w:highlight w:val="none"/>
                <w14:textFill>
                  <w14:solidFill>
                    <w14:schemeClr w14:val="tx1"/>
                  </w14:solidFill>
                </w14:textFill>
              </w:rPr>
              <w:t>施工</w:t>
            </w:r>
            <w:r>
              <w:rPr>
                <w:rFonts w:ascii="Times New Roman" w:hAnsi="Times New Roman" w:eastAsia="宋体"/>
                <w:color w:val="000000" w:themeColor="text1"/>
                <w:spacing w:val="0"/>
                <w:sz w:val="24"/>
                <w:highlight w:val="none"/>
                <w14:textFill>
                  <w14:solidFill>
                    <w14:schemeClr w14:val="tx1"/>
                  </w14:solidFill>
                </w14:textFill>
              </w:rPr>
              <w:t>过程中产生的施工泥浆水设置泥浆池、沉淀池处理后循环使用，不外排；②施工期施工营地设置化粪池，化粪池要求采取防渗措施，化粪池</w:t>
            </w:r>
            <w:r>
              <w:rPr>
                <w:rFonts w:ascii="Times New Roman" w:hAnsi="Times New Roman" w:eastAsia="宋体"/>
                <w:bCs/>
                <w:color w:val="000000" w:themeColor="text1"/>
                <w:spacing w:val="0"/>
                <w:sz w:val="24"/>
                <w:highlight w:val="none"/>
                <w14:textFill>
                  <w14:solidFill>
                    <w14:schemeClr w14:val="tx1"/>
                  </w14:solidFill>
                </w14:textFill>
              </w:rPr>
              <w:t>定期委托环卫部门进行清掏</w:t>
            </w:r>
            <w:r>
              <w:rPr>
                <w:rFonts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743684D1">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废（污）水不外排</w:t>
            </w:r>
          </w:p>
        </w:tc>
        <w:tc>
          <w:tcPr>
            <w:tcW w:w="1116" w:type="pct"/>
            <w:vAlign w:val="center"/>
          </w:tcPr>
          <w:p w14:paraId="6A922CCD">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项目运行期</w:t>
            </w:r>
            <w:r>
              <w:rPr>
                <w:rFonts w:hint="eastAsia"/>
                <w:color w:val="000000" w:themeColor="text1"/>
                <w:spacing w:val="0"/>
                <w:sz w:val="24"/>
                <w:highlight w:val="none"/>
                <w:lang w:val="en-US" w:eastAsia="zh-CN"/>
                <w14:textFill>
                  <w14:solidFill>
                    <w14:schemeClr w14:val="tx1"/>
                  </w14:solidFill>
                </w14:textFill>
              </w:rPr>
              <w:t>门卫</w:t>
            </w:r>
            <w:r>
              <w:rPr>
                <w:rFonts w:hint="eastAsia" w:ascii="Times New Roman" w:hAnsi="Times New Roman" w:eastAsia="宋体"/>
                <w:color w:val="000000" w:themeColor="text1"/>
                <w:spacing w:val="0"/>
                <w:sz w:val="24"/>
                <w:highlight w:val="none"/>
                <w14:textFill>
                  <w14:solidFill>
                    <w14:schemeClr w14:val="tx1"/>
                  </w14:solidFill>
                </w14:textFill>
              </w:rPr>
              <w:t>生活污水经化粪池沉淀处理后</w:t>
            </w:r>
            <w:r>
              <w:rPr>
                <w:rFonts w:hint="eastAsia"/>
                <w:color w:val="000000" w:themeColor="text1"/>
                <w:spacing w:val="0"/>
                <w:sz w:val="24"/>
                <w:highlight w:val="none"/>
                <w:lang w:val="en-US" w:eastAsia="zh-CN"/>
                <w14:textFill>
                  <w14:solidFill>
                    <w14:schemeClr w14:val="tx1"/>
                  </w14:solidFill>
                </w14:textFill>
              </w:rPr>
              <w:t>委托环卫部门定期清掏</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w:t>
            </w:r>
          </w:p>
        </w:tc>
        <w:tc>
          <w:tcPr>
            <w:tcW w:w="893" w:type="pct"/>
            <w:vAlign w:val="center"/>
          </w:tcPr>
          <w:p w14:paraId="04CDA8FD">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w:t>
            </w:r>
          </w:p>
        </w:tc>
      </w:tr>
      <w:tr w14:paraId="07840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74E59AC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地下水及土壤环境</w:t>
            </w:r>
          </w:p>
        </w:tc>
        <w:tc>
          <w:tcPr>
            <w:tcW w:w="1932" w:type="pct"/>
            <w:vAlign w:val="center"/>
          </w:tcPr>
          <w:p w14:paraId="276F0B59">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6A132D5F">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1116" w:type="pct"/>
            <w:vAlign w:val="center"/>
          </w:tcPr>
          <w:p w14:paraId="7CC07FC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w:t>
            </w:r>
          </w:p>
        </w:tc>
        <w:tc>
          <w:tcPr>
            <w:tcW w:w="893" w:type="pct"/>
            <w:vAlign w:val="center"/>
          </w:tcPr>
          <w:p w14:paraId="7FF2250B">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r>
      <w:tr w14:paraId="784254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54" w:type="pct"/>
            <w:vAlign w:val="center"/>
          </w:tcPr>
          <w:p w14:paraId="6E6734B5">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声环境</w:t>
            </w:r>
          </w:p>
        </w:tc>
        <w:tc>
          <w:tcPr>
            <w:tcW w:w="1932" w:type="pct"/>
            <w:vAlign w:val="center"/>
          </w:tcPr>
          <w:p w14:paraId="085DF4C0">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w:t>
            </w:r>
            <w:r>
              <w:rPr>
                <w:rFonts w:ascii="Times New Roman" w:hAnsi="Times New Roman" w:eastAsia="宋体"/>
                <w:color w:val="000000" w:themeColor="text1"/>
                <w:spacing w:val="0"/>
                <w:kern w:val="0"/>
                <w:sz w:val="24"/>
                <w:highlight w:val="none"/>
                <w:lang w:bidi="ar"/>
                <w14:textFill>
                  <w14:solidFill>
                    <w14:schemeClr w14:val="tx1"/>
                  </w14:solidFill>
                </w14:textFill>
              </w:rPr>
              <w:t>变电站围墙</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采用装配式围墙，</w:t>
            </w:r>
            <w:r>
              <w:rPr>
                <w:rFonts w:ascii="Times New Roman" w:hAnsi="Times New Roman" w:eastAsia="宋体"/>
                <w:color w:val="000000" w:themeColor="text1"/>
                <w:spacing w:val="0"/>
                <w:sz w:val="24"/>
                <w:highlight w:val="none"/>
                <w14:textFill>
                  <w14:solidFill>
                    <w14:schemeClr w14:val="tx1"/>
                  </w14:solidFill>
                </w14:textFill>
              </w:rPr>
              <w:t>避免多台高噪声施工机械同时进行施工；②施工过程中选用低噪声的施工设备，加强设备维护保养；③严格实施运输过程管理；④</w:t>
            </w:r>
            <w:r>
              <w:rPr>
                <w:rFonts w:hint="eastAsia"/>
                <w:color w:val="000000" w:themeColor="text1"/>
                <w:spacing w:val="0"/>
                <w:sz w:val="24"/>
                <w:highlight w:val="none"/>
                <w:lang w:val="en-US" w:eastAsia="zh-CN"/>
                <w14:textFill>
                  <w14:solidFill>
                    <w14:schemeClr w14:val="tx1"/>
                  </w14:solidFill>
                </w14:textFill>
              </w:rPr>
              <w:t>靠近敏感目标处施工时设置施工围挡；</w:t>
            </w:r>
            <w:r>
              <w:rPr>
                <w:rFonts w:hint="eastAsia" w:ascii="Times New Roman" w:hAnsi="Times New Roman" w:eastAsia="宋体"/>
                <w:color w:val="000000" w:themeColor="text1"/>
                <w:spacing w:val="0"/>
                <w:sz w:val="24"/>
                <w:highlight w:val="none"/>
                <w14:textFill>
                  <w14:solidFill>
                    <w14:schemeClr w14:val="tx1"/>
                  </w14:solidFill>
                </w14:textFill>
              </w:rPr>
              <w:t>⑤</w:t>
            </w:r>
            <w:r>
              <w:rPr>
                <w:rFonts w:ascii="Times New Roman" w:hAnsi="Times New Roman" w:eastAsia="宋体"/>
                <w:color w:val="000000" w:themeColor="text1"/>
                <w:spacing w:val="0"/>
                <w:sz w:val="24"/>
                <w:highlight w:val="none"/>
                <w14:textFill>
                  <w14:solidFill>
                    <w14:schemeClr w14:val="tx1"/>
                  </w14:solidFill>
                </w14:textFill>
              </w:rPr>
              <w:t>严格控制施工作业时间，</w:t>
            </w:r>
            <w:r>
              <w:rPr>
                <w:rFonts w:ascii="Times New Roman" w:hAnsi="Times New Roman" w:eastAsia="宋体"/>
                <w:color w:val="000000" w:themeColor="text1"/>
                <w:spacing w:val="0"/>
                <w:kern w:val="0"/>
                <w:sz w:val="24"/>
                <w:highlight w:val="none"/>
                <w:lang w:bidi="ar"/>
                <w14:textFill>
                  <w14:solidFill>
                    <w14:schemeClr w14:val="tx1"/>
                  </w14:solidFill>
                </w14:textFill>
              </w:rPr>
              <w:t>因</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混凝土浇筑等</w:t>
            </w:r>
            <w:r>
              <w:rPr>
                <w:rFonts w:ascii="Times New Roman" w:hAnsi="Times New Roman" w:eastAsia="宋体"/>
                <w:color w:val="000000" w:themeColor="text1"/>
                <w:spacing w:val="0"/>
                <w:kern w:val="0"/>
                <w:sz w:val="24"/>
                <w:highlight w:val="none"/>
                <w:lang w:bidi="ar"/>
                <w14:textFill>
                  <w14:solidFill>
                    <w14:schemeClr w14:val="tx1"/>
                  </w14:solidFill>
                </w14:textFill>
              </w:rPr>
              <w:t>特殊</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工序要求</w:t>
            </w:r>
            <w:r>
              <w:rPr>
                <w:rFonts w:ascii="Times New Roman" w:hAnsi="Times New Roman" w:eastAsia="宋体"/>
                <w:color w:val="000000" w:themeColor="text1"/>
                <w:spacing w:val="0"/>
                <w:kern w:val="0"/>
                <w:sz w:val="24"/>
                <w:highlight w:val="none"/>
                <w:lang w:bidi="ar"/>
                <w14:textFill>
                  <w14:solidFill>
                    <w14:schemeClr w14:val="tx1"/>
                  </w14:solidFill>
                </w14:textFill>
              </w:rPr>
              <w:t>必须</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进行</w:t>
            </w:r>
            <w:r>
              <w:rPr>
                <w:rFonts w:ascii="Times New Roman" w:hAnsi="Times New Roman" w:eastAsia="宋体"/>
                <w:color w:val="000000" w:themeColor="text1"/>
                <w:spacing w:val="0"/>
                <w:kern w:val="0"/>
                <w:sz w:val="24"/>
                <w:highlight w:val="none"/>
                <w:lang w:bidi="ar"/>
                <w14:textFill>
                  <w14:solidFill>
                    <w14:schemeClr w14:val="tx1"/>
                  </w14:solidFill>
                </w14:textFill>
              </w:rPr>
              <w:t>连续施工作业的，</w:t>
            </w:r>
            <w:r>
              <w:rPr>
                <w:rFonts w:ascii="Times New Roman" w:hAnsi="Times New Roman" w:eastAsia="宋体"/>
                <w:color w:val="000000" w:themeColor="text1"/>
                <w:spacing w:val="0"/>
                <w:sz w:val="24"/>
                <w:highlight w:val="none"/>
                <w14:textFill>
                  <w14:solidFill>
                    <w14:schemeClr w14:val="tx1"/>
                  </w14:solidFill>
                </w14:textFill>
              </w:rPr>
              <w:t>应当取得地方人民政府住房和城乡建设、生态环境主管部门或者地方人民政府指定的部门的证明，并在施工现场显著位置公示。</w:t>
            </w:r>
          </w:p>
        </w:tc>
        <w:tc>
          <w:tcPr>
            <w:tcW w:w="602" w:type="pct"/>
            <w:vAlign w:val="center"/>
          </w:tcPr>
          <w:p w14:paraId="178319EF">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满足《建筑施工噪声排放标准》（GB12523-20</w:t>
            </w:r>
            <w:r>
              <w:rPr>
                <w:rFonts w:hint="eastAsia"/>
                <w:color w:val="000000" w:themeColor="text1"/>
                <w:spacing w:val="0"/>
                <w:sz w:val="24"/>
                <w:highlight w:val="none"/>
                <w:lang w:val="en-US" w:eastAsia="zh-CN"/>
                <w14:textFill>
                  <w14:solidFill>
                    <w14:schemeClr w14:val="tx1"/>
                  </w14:solidFill>
                </w14:textFill>
              </w:rPr>
              <w:t>25</w:t>
            </w:r>
            <w:r>
              <w:rPr>
                <w:rFonts w:ascii="Times New Roman" w:hAnsi="Times New Roman" w:eastAsia="宋体"/>
                <w:color w:val="000000" w:themeColor="text1"/>
                <w:spacing w:val="0"/>
                <w:sz w:val="24"/>
                <w:highlight w:val="none"/>
                <w14:textFill>
                  <w14:solidFill>
                    <w14:schemeClr w14:val="tx1"/>
                  </w14:solidFill>
                </w14:textFill>
              </w:rPr>
              <w:t>）</w:t>
            </w:r>
          </w:p>
        </w:tc>
        <w:tc>
          <w:tcPr>
            <w:tcW w:w="1116" w:type="pct"/>
            <w:vAlign w:val="center"/>
          </w:tcPr>
          <w:p w14:paraId="1B86916F">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szCs w:val="21"/>
                <w:highlight w:val="none"/>
                <w14:textFill>
                  <w14:solidFill>
                    <w14:schemeClr w14:val="tx1"/>
                  </w14:solidFill>
                </w14:textFill>
              </w:rPr>
              <w:t>①变压器采用低噪声设备，合理安排设备布局，按时维护；②</w:t>
            </w:r>
            <w:r>
              <w:rPr>
                <w:rFonts w:ascii="Times New Roman" w:hAnsi="Times New Roman" w:eastAsia="宋体"/>
                <w:color w:val="000000" w:themeColor="text1"/>
                <w:spacing w:val="0"/>
                <w:sz w:val="24"/>
                <w:highlight w:val="none"/>
                <w14:textFill>
                  <w14:solidFill>
                    <w14:schemeClr w14:val="tx1"/>
                  </w14:solidFill>
                </w14:textFill>
              </w:rPr>
              <w:t>加强项目日常监督管理及运营期噪声的监测工作。</w:t>
            </w:r>
          </w:p>
        </w:tc>
        <w:tc>
          <w:tcPr>
            <w:tcW w:w="893" w:type="pct"/>
            <w:vAlign w:val="center"/>
          </w:tcPr>
          <w:p w14:paraId="14861E3A">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满足《工业企业厂界环境噪声排放标准》（GB12348-2008）及《声环境质量标准》（GB3096-2008）相应标准限值</w:t>
            </w:r>
          </w:p>
        </w:tc>
      </w:tr>
      <w:tr w14:paraId="7655B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54" w:type="pct"/>
            <w:vAlign w:val="center"/>
          </w:tcPr>
          <w:p w14:paraId="23BC7CD1">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振动</w:t>
            </w:r>
          </w:p>
        </w:tc>
        <w:tc>
          <w:tcPr>
            <w:tcW w:w="1932" w:type="pct"/>
            <w:vAlign w:val="center"/>
          </w:tcPr>
          <w:p w14:paraId="110D1BE5">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3EF3DBFC">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1116" w:type="pct"/>
            <w:vAlign w:val="center"/>
          </w:tcPr>
          <w:p w14:paraId="2C4B2A70">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893" w:type="pct"/>
            <w:vAlign w:val="center"/>
          </w:tcPr>
          <w:p w14:paraId="5AA7E6FF">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r>
      <w:tr w14:paraId="1B288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522B4C43">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大气</w:t>
            </w:r>
          </w:p>
          <w:p w14:paraId="62198114">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环境</w:t>
            </w:r>
          </w:p>
        </w:tc>
        <w:tc>
          <w:tcPr>
            <w:tcW w:w="1932" w:type="pct"/>
            <w:vAlign w:val="center"/>
          </w:tcPr>
          <w:p w14:paraId="0779B4D6">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w:t>
            </w:r>
            <w:r>
              <w:rPr>
                <w:rFonts w:ascii="Times New Roman" w:hAnsi="Times New Roman" w:eastAsia="宋体"/>
                <w:color w:val="000000" w:themeColor="text1"/>
                <w:spacing w:val="0"/>
                <w:kern w:val="0"/>
                <w:sz w:val="24"/>
                <w:highlight w:val="none"/>
                <w:lang w:bidi="ar"/>
                <w14:textFill>
                  <w14:solidFill>
                    <w14:schemeClr w14:val="tx1"/>
                  </w14:solidFill>
                </w14:textFill>
              </w:rPr>
              <w:t>变电站围墙</w:t>
            </w:r>
            <w:r>
              <w:rPr>
                <w:rFonts w:hint="eastAsia" w:ascii="Times New Roman" w:hAnsi="Times New Roman" w:eastAsia="宋体"/>
                <w:color w:val="000000" w:themeColor="text1"/>
                <w:spacing w:val="0"/>
                <w:kern w:val="0"/>
                <w:sz w:val="24"/>
                <w:highlight w:val="none"/>
                <w:lang w:bidi="ar"/>
                <w14:textFill>
                  <w14:solidFill>
                    <w14:schemeClr w14:val="tx1"/>
                  </w14:solidFill>
                </w14:textFill>
              </w:rPr>
              <w:t>采用装配式围墙，</w:t>
            </w:r>
            <w:r>
              <w:rPr>
                <w:rFonts w:ascii="Times New Roman" w:hAnsi="Times New Roman" w:eastAsia="宋体"/>
                <w:color w:val="000000" w:themeColor="text1"/>
                <w:spacing w:val="0"/>
                <w:sz w:val="24"/>
                <w:highlight w:val="none"/>
                <w14:textFill>
                  <w14:solidFill>
                    <w14:schemeClr w14:val="tx1"/>
                  </w14:solidFill>
                </w14:textFill>
              </w:rPr>
              <w:t>会对施工扬尘起到一定的阻隔作用；②土石方及时回填；③</w:t>
            </w:r>
            <w:r>
              <w:rPr>
                <w:rFonts w:ascii="Times New Roman" w:hAnsi="Times New Roman" w:eastAsia="宋体"/>
                <w:color w:val="000000" w:themeColor="text1"/>
                <w:spacing w:val="0"/>
                <w:kern w:val="0"/>
                <w:sz w:val="24"/>
                <w:highlight w:val="none"/>
                <w14:textFill>
                  <w14:solidFill>
                    <w14:schemeClr w14:val="tx1"/>
                  </w14:solidFill>
                </w14:textFill>
              </w:rPr>
              <w:t>减少土壤裸露时间和裸露面积；④施工场地适时洒水；⑤</w:t>
            </w:r>
            <w:r>
              <w:rPr>
                <w:rFonts w:ascii="Times New Roman" w:hAnsi="Times New Roman" w:eastAsia="宋体"/>
                <w:color w:val="000000" w:themeColor="text1"/>
                <w:spacing w:val="0"/>
                <w:sz w:val="24"/>
                <w:highlight w:val="none"/>
                <w14:textFill>
                  <w14:solidFill>
                    <w14:schemeClr w14:val="tx1"/>
                  </w14:solidFill>
                </w14:textFill>
              </w:rPr>
              <w:t>尽量不在大风天施工作业，尤其是引起地面扰动的作业等防尘措施；</w:t>
            </w:r>
            <w:r>
              <w:rPr>
                <w:rFonts w:ascii="Times New Roman" w:hAnsi="Times New Roman" w:eastAsia="宋体"/>
                <w:color w:val="000000" w:themeColor="text1"/>
                <w:spacing w:val="0"/>
                <w:kern w:val="0"/>
                <w:sz w:val="24"/>
                <w:highlight w:val="none"/>
                <w14:textFill>
                  <w14:solidFill>
                    <w14:schemeClr w14:val="tx1"/>
                  </w14:solidFill>
                </w14:textFill>
              </w:rPr>
              <w:t>⑥</w:t>
            </w:r>
            <w:r>
              <w:rPr>
                <w:rFonts w:ascii="Times New Roman" w:hAnsi="Times New Roman" w:eastAsia="宋体"/>
                <w:color w:val="000000" w:themeColor="text1"/>
                <w:spacing w:val="0"/>
                <w:sz w:val="24"/>
                <w:highlight w:val="none"/>
                <w14:textFill>
                  <w14:solidFill>
                    <w14:schemeClr w14:val="tx1"/>
                  </w14:solidFill>
                </w14:textFill>
              </w:rPr>
              <w:t>运输车辆采取篷布苫盖，封闭运输，防止飞散、掉落；⑦施工现场禁止将包装物、可燃垃圾等固体废弃物就地焚烧</w:t>
            </w:r>
            <w:r>
              <w:rPr>
                <w:rFonts w:hint="eastAsia"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631B1DAD">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1116" w:type="pct"/>
            <w:vAlign w:val="center"/>
          </w:tcPr>
          <w:p w14:paraId="224E6EEF">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893" w:type="pct"/>
            <w:vAlign w:val="center"/>
          </w:tcPr>
          <w:p w14:paraId="36028EAE">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r>
      <w:tr w14:paraId="3743C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7D54EE96">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固体</w:t>
            </w:r>
          </w:p>
          <w:p w14:paraId="3E51FE4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废物</w:t>
            </w:r>
          </w:p>
        </w:tc>
        <w:tc>
          <w:tcPr>
            <w:tcW w:w="1932" w:type="pct"/>
            <w:vAlign w:val="center"/>
          </w:tcPr>
          <w:p w14:paraId="6A93F6ED">
            <w:pPr>
              <w:pStyle w:val="7"/>
              <w:spacing w:after="0"/>
              <w:ind w:left="0" w:leftChars="0" w:firstLine="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①本项目挖填平衡，无弃土产生。②建筑垃圾分类收集，能回收利用的回收利用，</w:t>
            </w:r>
            <w:r>
              <w:rPr>
                <w:rFonts w:hint="eastAsia"/>
                <w:color w:val="000000" w:themeColor="text1"/>
                <w:spacing w:val="0"/>
                <w:sz w:val="24"/>
                <w:highlight w:val="none"/>
                <w:lang w:val="en-US" w:eastAsia="zh-CN"/>
                <w14:textFill>
                  <w14:solidFill>
                    <w14:schemeClr w14:val="tx1"/>
                  </w14:solidFill>
                </w14:textFill>
              </w:rPr>
              <w:t>不能回收的</w:t>
            </w:r>
            <w:r>
              <w:rPr>
                <w:rFonts w:ascii="Times New Roman" w:hAnsi="Times New Roman" w:eastAsia="宋体"/>
                <w:color w:val="000000" w:themeColor="text1"/>
                <w:spacing w:val="0"/>
                <w:sz w:val="24"/>
                <w:highlight w:val="none"/>
                <w14:textFill>
                  <w14:solidFill>
                    <w14:schemeClr w14:val="tx1"/>
                  </w14:solidFill>
                </w14:textFill>
              </w:rPr>
              <w:t>施工单位</w:t>
            </w:r>
            <w:r>
              <w:rPr>
                <w:rFonts w:hint="eastAsia"/>
                <w:color w:val="000000" w:themeColor="text1"/>
                <w:spacing w:val="0"/>
                <w:sz w:val="24"/>
                <w:highlight w:val="none"/>
                <w:lang w:val="en-US" w:eastAsia="zh-CN"/>
                <w14:textFill>
                  <w14:solidFill>
                    <w14:schemeClr w14:val="tx1"/>
                  </w14:solidFill>
                </w14:textFill>
              </w:rPr>
              <w:t>应</w:t>
            </w:r>
            <w:r>
              <w:rPr>
                <w:rFonts w:ascii="Times New Roman" w:hAnsi="Times New Roman" w:eastAsia="宋体"/>
                <w:color w:val="000000" w:themeColor="text1"/>
                <w:spacing w:val="0"/>
                <w:sz w:val="24"/>
                <w:highlight w:val="none"/>
                <w14:textFill>
                  <w14:solidFill>
                    <w14:schemeClr w14:val="tx1"/>
                  </w14:solidFill>
                </w14:textFill>
              </w:rPr>
              <w:t>编制建筑垃圾处理方案，</w:t>
            </w:r>
            <w:r>
              <w:rPr>
                <w:rFonts w:hint="eastAsia" w:ascii="Times New Roman" w:hAnsi="Times New Roman" w:eastAsia="宋体"/>
                <w:color w:val="000000" w:themeColor="text1"/>
                <w:spacing w:val="0"/>
                <w:sz w:val="24"/>
                <w:highlight w:val="none"/>
                <w14:textFill>
                  <w14:solidFill>
                    <w14:schemeClr w14:val="tx1"/>
                  </w14:solidFill>
                </w14:textFill>
              </w:rPr>
              <w:t>采取相应的处置措施</w:t>
            </w:r>
            <w:r>
              <w:rPr>
                <w:rFonts w:ascii="Times New Roman" w:hAnsi="Times New Roman" w:eastAsia="宋体"/>
                <w:color w:val="000000" w:themeColor="text1"/>
                <w:spacing w:val="0"/>
                <w:sz w:val="24"/>
                <w:highlight w:val="none"/>
                <w14:textFill>
                  <w14:solidFill>
                    <w14:schemeClr w14:val="tx1"/>
                  </w14:solidFill>
                </w14:textFill>
              </w:rPr>
              <w:t>，并报项目所在地县级以上政府部门备案；生活垃圾集中堆放，定期运至附近垃圾收集点，由当地环卫部门统一清运处置，严禁随意丢弃和堆放</w:t>
            </w:r>
            <w:r>
              <w:rPr>
                <w:rFonts w:hint="eastAsia"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4974D0D7">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按要求处置</w:t>
            </w:r>
          </w:p>
        </w:tc>
        <w:tc>
          <w:tcPr>
            <w:tcW w:w="1116" w:type="pct"/>
            <w:vAlign w:val="center"/>
          </w:tcPr>
          <w:p w14:paraId="217CB3C8">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①事故油经事故油池（</w:t>
            </w:r>
            <w:r>
              <w:rPr>
                <w:rFonts w:hint="eastAsia" w:ascii="Times New Roman" w:hAnsi="Times New Roman" w:eastAsia="宋体"/>
                <w:color w:val="000000" w:themeColor="text1"/>
                <w:spacing w:val="0"/>
                <w:sz w:val="24"/>
                <w:highlight w:val="none"/>
                <w:lang w:eastAsia="zh-CN"/>
                <w14:textFill>
                  <w14:solidFill>
                    <w14:schemeClr w14:val="tx1"/>
                  </w14:solidFill>
                </w14:textFill>
              </w:rPr>
              <w:t>25m</w:t>
            </w:r>
            <w:r>
              <w:rPr>
                <w:rFonts w:hint="eastAsia" w:ascii="Times New Roman" w:hAnsi="Times New Roman" w:eastAsia="宋体"/>
                <w:color w:val="000000" w:themeColor="text1"/>
                <w:spacing w:val="0"/>
                <w:sz w:val="24"/>
                <w:highlight w:val="none"/>
                <w:vertAlign w:val="superscript"/>
                <w:lang w:eastAsia="zh-CN"/>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）收集后交有危险废物处理资质的单位回收处置；②</w:t>
            </w:r>
            <w:r>
              <w:rPr>
                <w:rFonts w:hint="eastAsia" w:ascii="Times New Roman" w:hAnsi="Times New Roman" w:eastAsia="宋体"/>
                <w:color w:val="000000" w:themeColor="text1"/>
                <w:spacing w:val="0"/>
                <w:sz w:val="24"/>
                <w:highlight w:val="none"/>
                <w14:textFill>
                  <w14:solidFill>
                    <w14:schemeClr w14:val="tx1"/>
                  </w14:solidFill>
                </w14:textFill>
              </w:rPr>
              <w:t>废旧</w:t>
            </w:r>
            <w:r>
              <w:rPr>
                <w:rFonts w:ascii="Times New Roman" w:hAnsi="Times New Roman" w:eastAsia="宋体"/>
                <w:color w:val="000000" w:themeColor="text1"/>
                <w:spacing w:val="0"/>
                <w:sz w:val="24"/>
                <w:highlight w:val="none"/>
                <w14:textFill>
                  <w14:solidFill>
                    <w14:schemeClr w14:val="tx1"/>
                  </w14:solidFill>
                </w14:textFill>
              </w:rPr>
              <w:t>的免维护蓄电池交有危险废物处理资质的单位置换后直接回收。</w:t>
            </w:r>
            <w:r>
              <w:rPr>
                <w:rFonts w:ascii="Times New Roman" w:hAnsi="Times New Roman" w:eastAsia="宋体"/>
                <w:color w:val="000000" w:themeColor="text1"/>
                <w:spacing w:val="0"/>
                <w:sz w:val="24"/>
                <w:highlight w:val="none"/>
                <w14:textFill>
                  <w14:solidFill>
                    <w14:schemeClr w14:val="tx1"/>
                  </w14:solidFill>
                </w14:textFill>
              </w:rPr>
              <w:fldChar w:fldCharType="begin"/>
            </w:r>
            <w:r>
              <w:rPr>
                <w:rFonts w:ascii="Times New Roman" w:hAnsi="Times New Roman" w:eastAsia="宋体"/>
                <w:color w:val="000000" w:themeColor="text1"/>
                <w:spacing w:val="0"/>
                <w:sz w:val="24"/>
                <w:highlight w:val="none"/>
                <w14:textFill>
                  <w14:solidFill>
                    <w14:schemeClr w14:val="tx1"/>
                  </w14:solidFill>
                </w14:textFill>
              </w:rPr>
              <w:instrText xml:space="preserve"> = 3 \* GB3 \* MERGEFORMAT </w:instrText>
            </w:r>
            <w:r>
              <w:rPr>
                <w:rFonts w:ascii="Times New Roman" w:hAnsi="Times New Roman" w:eastAsia="宋体"/>
                <w:color w:val="000000" w:themeColor="text1"/>
                <w:spacing w:val="0"/>
                <w:sz w:val="24"/>
                <w:highlight w:val="none"/>
                <w14:textFill>
                  <w14:solidFill>
                    <w14:schemeClr w14:val="tx1"/>
                  </w14:solidFill>
                </w14:textFill>
              </w:rPr>
              <w:fldChar w:fldCharType="separate"/>
            </w:r>
            <w:r>
              <w:rPr>
                <w:rFonts w:ascii="Times New Roman" w:hAnsi="Times New Roman" w:eastAsia="宋体"/>
                <w:color w:val="000000" w:themeColor="text1"/>
                <w:spacing w:val="0"/>
                <w:sz w:val="24"/>
                <w:highlight w:val="none"/>
                <w14:textFill>
                  <w14:solidFill>
                    <w14:schemeClr w14:val="tx1"/>
                  </w14:solidFill>
                </w14:textFill>
              </w:rPr>
              <w:t>③</w:t>
            </w:r>
            <w:r>
              <w:rPr>
                <w:rFonts w:ascii="Times New Roman" w:hAnsi="Times New Roman" w:eastAsia="宋体"/>
                <w:color w:val="000000" w:themeColor="text1"/>
                <w:spacing w:val="0"/>
                <w:sz w:val="24"/>
                <w:highlight w:val="none"/>
                <w14:textFill>
                  <w14:solidFill>
                    <w14:schemeClr w14:val="tx1"/>
                  </w14:solidFill>
                </w14:textFill>
              </w:rPr>
              <w:fldChar w:fldCharType="end"/>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门卫</w:t>
            </w:r>
            <w:r>
              <w:rPr>
                <w:rFonts w:hint="eastAsia" w:ascii="Times New Roman" w:hAnsi="Times New Roman" w:eastAsia="宋体"/>
                <w:color w:val="000000" w:themeColor="text1"/>
                <w:spacing w:val="0"/>
                <w:sz w:val="24"/>
                <w:highlight w:val="none"/>
                <w14:textFill>
                  <w14:solidFill>
                    <w14:schemeClr w14:val="tx1"/>
                  </w14:solidFill>
                </w14:textFill>
              </w:rPr>
              <w:t>少量生活垃圾经站内垃圾桶分类集中收集，定期清运至附近垃圾收集点，由环卫部门统一清运处置。</w:t>
            </w:r>
          </w:p>
        </w:tc>
        <w:tc>
          <w:tcPr>
            <w:tcW w:w="893" w:type="pct"/>
            <w:vAlign w:val="center"/>
          </w:tcPr>
          <w:p w14:paraId="4809B3CE">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r>
      <w:tr w14:paraId="2B5F3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3F8A0596">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电磁</w:t>
            </w:r>
          </w:p>
          <w:p w14:paraId="2D051D17">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环境</w:t>
            </w:r>
          </w:p>
        </w:tc>
        <w:tc>
          <w:tcPr>
            <w:tcW w:w="1932" w:type="pct"/>
            <w:vAlign w:val="center"/>
          </w:tcPr>
          <w:p w14:paraId="3839CDC7">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1C981DA4">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1116" w:type="pct"/>
            <w:vAlign w:val="center"/>
          </w:tcPr>
          <w:p w14:paraId="12B5E7F6">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w:t>
            </w:r>
            <w:r>
              <w:rPr>
                <w:rFonts w:ascii="Times New Roman" w:hAnsi="Times New Roman" w:eastAsia="宋体"/>
                <w:color w:val="000000" w:themeColor="text1"/>
                <w:spacing w:val="0"/>
                <w:sz w:val="24"/>
                <w:szCs w:val="21"/>
                <w:highlight w:val="none"/>
                <w14:textFill>
                  <w14:solidFill>
                    <w14:schemeClr w14:val="tx1"/>
                  </w14:solidFill>
                </w14:textFill>
              </w:rPr>
              <w:t>电气设备采用集中布设；②</w:t>
            </w:r>
            <w:r>
              <w:rPr>
                <w:rFonts w:ascii="Times New Roman" w:hAnsi="Times New Roman" w:eastAsia="宋体"/>
                <w:color w:val="000000" w:themeColor="text1"/>
                <w:spacing w:val="0"/>
                <w:sz w:val="24"/>
                <w:highlight w:val="none"/>
                <w14:textFill>
                  <w14:solidFill>
                    <w14:schemeClr w14:val="tx1"/>
                  </w14:solidFill>
                </w14:textFill>
              </w:rPr>
              <w:t>加强项目日常监督管理及运营期工频电场、工频磁场的监测工作。</w:t>
            </w:r>
          </w:p>
        </w:tc>
        <w:tc>
          <w:tcPr>
            <w:tcW w:w="893" w:type="pct"/>
            <w:vAlign w:val="center"/>
          </w:tcPr>
          <w:p w14:paraId="67907180">
            <w:pPr>
              <w:adjustRightInd w:val="0"/>
              <w:snapToGrid w:val="0"/>
              <w:jc w:val="center"/>
              <w:outlineLvl w:val="9"/>
              <w:rPr>
                <w:rFonts w:hint="eastAsia" w:ascii="Times New Roman" w:hAnsi="Times New Roman" w:eastAsia="宋体"/>
                <w:color w:val="000000" w:themeColor="text1"/>
                <w:spacing w:val="0"/>
                <w:sz w:val="24"/>
                <w:highlight w:val="none"/>
                <w:lang w:eastAsia="zh-CN"/>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满足《电磁环境控制限值》（GB8702-2014）相应标准限值</w:t>
            </w:r>
            <w:r>
              <w:rPr>
                <w:rFonts w:hint="eastAsia"/>
                <w:color w:val="000000" w:themeColor="text1"/>
                <w:spacing w:val="0"/>
                <w:sz w:val="24"/>
                <w:highlight w:val="none"/>
                <w:lang w:eastAsia="zh-CN"/>
                <w14:textFill>
                  <w14:solidFill>
                    <w14:schemeClr w14:val="tx1"/>
                  </w14:solidFill>
                </w14:textFill>
              </w:rPr>
              <w:t>。</w:t>
            </w:r>
          </w:p>
        </w:tc>
      </w:tr>
      <w:tr w14:paraId="19ACB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Align w:val="center"/>
          </w:tcPr>
          <w:p w14:paraId="7DE72C8D">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环境</w:t>
            </w:r>
          </w:p>
          <w:p w14:paraId="28A52AD7">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风险</w:t>
            </w:r>
          </w:p>
        </w:tc>
        <w:tc>
          <w:tcPr>
            <w:tcW w:w="1932" w:type="pct"/>
            <w:vAlign w:val="center"/>
          </w:tcPr>
          <w:p w14:paraId="63693945">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56C6EAA0">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1116" w:type="pct"/>
            <w:vAlign w:val="center"/>
          </w:tcPr>
          <w:p w14:paraId="2823DECF">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变电站设置事故油池、事故油坑，事故油坑及事故油池防渗层为至少1m厚黏土层或至少2mm厚高密度聚乙烯，或至少2mm厚的其他人工材料。定期对电气设备进行检修、维护，制定事故应急预案。</w:t>
            </w:r>
          </w:p>
        </w:tc>
        <w:tc>
          <w:tcPr>
            <w:tcW w:w="893" w:type="pct"/>
            <w:vAlign w:val="center"/>
          </w:tcPr>
          <w:p w14:paraId="03276725">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按要求处置</w:t>
            </w:r>
          </w:p>
        </w:tc>
      </w:tr>
      <w:tr w14:paraId="1277F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11CB595B">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环境</w:t>
            </w:r>
          </w:p>
          <w:p w14:paraId="412FBAE5">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监测</w:t>
            </w:r>
          </w:p>
        </w:tc>
        <w:tc>
          <w:tcPr>
            <w:tcW w:w="1932" w:type="pct"/>
            <w:vAlign w:val="center"/>
          </w:tcPr>
          <w:p w14:paraId="5F21BDEE">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2C802C07">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1116" w:type="pct"/>
            <w:vAlign w:val="center"/>
          </w:tcPr>
          <w:p w14:paraId="4C25D6D8">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按照运行期环境监测计划对项目进行电磁环境、声环境监测</w:t>
            </w:r>
          </w:p>
        </w:tc>
        <w:tc>
          <w:tcPr>
            <w:tcW w:w="893" w:type="pct"/>
            <w:vAlign w:val="center"/>
          </w:tcPr>
          <w:p w14:paraId="62AFEF30">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满足《电磁环境控制限值》（GB8702-2014）相应标准限值；《工业企业厂界环境噪声排放标准》（GB12348-2008）及《声环境质量标准》（GB3096-2008）相应标准限值</w:t>
            </w:r>
          </w:p>
        </w:tc>
      </w:tr>
      <w:tr w14:paraId="33109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54" w:type="pct"/>
            <w:vAlign w:val="center"/>
          </w:tcPr>
          <w:p w14:paraId="1EA4F84A">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其他</w:t>
            </w:r>
          </w:p>
        </w:tc>
        <w:tc>
          <w:tcPr>
            <w:tcW w:w="1932" w:type="pct"/>
            <w:vAlign w:val="center"/>
          </w:tcPr>
          <w:p w14:paraId="39D5FFE2">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602" w:type="pct"/>
            <w:vAlign w:val="center"/>
          </w:tcPr>
          <w:p w14:paraId="61C64223">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1116" w:type="pct"/>
            <w:vAlign w:val="center"/>
          </w:tcPr>
          <w:p w14:paraId="0DE42C08">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c>
          <w:tcPr>
            <w:tcW w:w="893" w:type="pct"/>
            <w:vAlign w:val="center"/>
          </w:tcPr>
          <w:p w14:paraId="0579F74A">
            <w:pPr>
              <w:adjustRightInd w:val="0"/>
              <w:snapToGrid w:val="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w:t>
            </w:r>
          </w:p>
        </w:tc>
      </w:tr>
    </w:tbl>
    <w:p w14:paraId="1E850D51">
      <w:pPr>
        <w:pStyle w:val="23"/>
        <w:spacing w:before="0" w:beforeAutospacing="0" w:line="14" w:lineRule="auto"/>
        <w:jc w:val="center"/>
        <w:outlineLvl w:val="9"/>
        <w:rPr>
          <w:rFonts w:ascii="Times New Roman" w:hAnsi="Times New Roman" w:eastAsia="宋体"/>
          <w:snapToGrid w:val="0"/>
          <w:color w:val="000000" w:themeColor="text1"/>
          <w:spacing w:val="0"/>
          <w:sz w:val="30"/>
          <w:szCs w:val="30"/>
          <w:highlight w:val="none"/>
          <w14:textFill>
            <w14:solidFill>
              <w14:schemeClr w14:val="tx1"/>
            </w14:solidFill>
          </w14:textFill>
        </w:rPr>
        <w:sectPr>
          <w:footerReference r:id="rId4" w:type="default"/>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715CA015">
      <w:pPr>
        <w:pStyle w:val="23"/>
        <w:spacing w:before="0" w:beforeAutospacing="0" w:after="0" w:afterAutospacing="0" w:line="360" w:lineRule="auto"/>
        <w:jc w:val="center"/>
        <w:outlineLvl w:val="0"/>
        <w:rPr>
          <w:rFonts w:ascii="Times New Roman" w:hAnsi="Times New Roman" w:eastAsia="宋体"/>
          <w:snapToGrid w:val="0"/>
          <w:color w:val="000000" w:themeColor="text1"/>
          <w:spacing w:val="0"/>
          <w:sz w:val="30"/>
          <w:szCs w:val="30"/>
          <w:highlight w:val="none"/>
          <w14:textFill>
            <w14:solidFill>
              <w14:schemeClr w14:val="tx1"/>
            </w14:solidFill>
          </w14:textFill>
        </w:rPr>
      </w:pPr>
      <w:bookmarkStart w:id="14" w:name="_Toc28569"/>
      <w:r>
        <w:rPr>
          <w:rFonts w:ascii="Times New Roman" w:hAnsi="Times New Roman" w:eastAsia="宋体"/>
          <w:b/>
          <w:bCs/>
          <w:snapToGrid w:val="0"/>
          <w:color w:val="000000" w:themeColor="text1"/>
          <w:spacing w:val="0"/>
          <w:sz w:val="30"/>
          <w:szCs w:val="30"/>
          <w:highlight w:val="none"/>
          <w14:textFill>
            <w14:solidFill>
              <w14:schemeClr w14:val="tx1"/>
            </w14:solidFill>
          </w14:textFill>
        </w:rPr>
        <w:t>七、结论</w:t>
      </w:r>
      <w:bookmarkEnd w:id="14"/>
    </w:p>
    <w:tbl>
      <w:tblPr>
        <w:tblStyle w:val="26"/>
        <w:tblW w:w="92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95"/>
      </w:tblGrid>
      <w:tr w14:paraId="56E3B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9" w:hRule="atLeast"/>
          <w:jc w:val="center"/>
        </w:trPr>
        <w:tc>
          <w:tcPr>
            <w:tcW w:w="9295" w:type="dxa"/>
          </w:tcPr>
          <w:p w14:paraId="097646A9">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本项目符合国家和地方产业政策，符合相关规划，项目选址选线合理，符合</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固原</w:t>
            </w:r>
            <w:r>
              <w:rPr>
                <w:rFonts w:ascii="Times New Roman" w:hAnsi="Times New Roman" w:eastAsia="宋体"/>
                <w:color w:val="000000" w:themeColor="text1"/>
                <w:spacing w:val="0"/>
                <w:sz w:val="24"/>
                <w:highlight w:val="none"/>
                <w14:textFill>
                  <w14:solidFill>
                    <w14:schemeClr w14:val="tx1"/>
                  </w14:solidFill>
                </w14:textFill>
              </w:rPr>
              <w:t>市生态保护红线管控要求。本项目针对施工期和运行期存在的环境问题采取相应的防治措施，对评价区域环境质量影响较小。因此，建设单位认真落实设计和本报告表中的环保措施，从环境保护角度分析，</w:t>
            </w:r>
            <w:r>
              <w:rPr>
                <w:rFonts w:hint="eastAsia"/>
                <w:color w:val="000000" w:themeColor="text1"/>
                <w:spacing w:val="0"/>
                <w:sz w:val="24"/>
                <w:highlight w:val="none"/>
                <w:lang w:eastAsia="zh-CN"/>
                <w14:textFill>
                  <w14:solidFill>
                    <w14:schemeClr w14:val="tx1"/>
                  </w14:solidFill>
                </w14:textFill>
              </w:rPr>
              <w:t>宁夏固原三岔110千伏输变电工程</w:t>
            </w:r>
            <w:r>
              <w:rPr>
                <w:rFonts w:ascii="Times New Roman" w:hAnsi="Times New Roman" w:eastAsia="宋体"/>
                <w:color w:val="000000" w:themeColor="text1"/>
                <w:spacing w:val="0"/>
                <w:sz w:val="24"/>
                <w:highlight w:val="none"/>
                <w14:textFill>
                  <w14:solidFill>
                    <w14:schemeClr w14:val="tx1"/>
                  </w14:solidFill>
                </w14:textFill>
              </w:rPr>
              <w:t>项目的建设是可行的。</w:t>
            </w:r>
          </w:p>
          <w:p w14:paraId="19816CC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1536EEA7">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776E46C5">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5C9DE60E">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308F95E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0F76B19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57869157">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6082A10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0E677A82">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32D38A3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786A5AA3">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2324065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381328DE">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5213A583">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56C17CC3">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57DC2D7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34C8116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7A5095F3">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00957CF3">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01E71886">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19A48089">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62AB2EEA">
            <w:pPr>
              <w:pStyle w:val="7"/>
              <w:outlineLvl w:val="9"/>
              <w:rPr>
                <w:rFonts w:ascii="Times New Roman" w:hAnsi="Times New Roman" w:eastAsia="宋体"/>
                <w:color w:val="000000" w:themeColor="text1"/>
                <w:spacing w:val="0"/>
                <w:sz w:val="24"/>
                <w:highlight w:val="none"/>
                <w14:textFill>
                  <w14:solidFill>
                    <w14:schemeClr w14:val="tx1"/>
                  </w14:solidFill>
                </w14:textFill>
              </w:rPr>
            </w:pPr>
          </w:p>
          <w:p w14:paraId="75FE5D46">
            <w:pPr>
              <w:pStyle w:val="25"/>
              <w:outlineLvl w:val="9"/>
              <w:rPr>
                <w:rFonts w:ascii="Times New Roman" w:hAnsi="Times New Roman" w:eastAsia="宋体"/>
                <w:color w:val="000000" w:themeColor="text1"/>
                <w:spacing w:val="0"/>
                <w:sz w:val="24"/>
                <w:highlight w:val="none"/>
                <w14:textFill>
                  <w14:solidFill>
                    <w14:schemeClr w14:val="tx1"/>
                  </w14:solidFill>
                </w14:textFill>
              </w:rPr>
            </w:pPr>
          </w:p>
          <w:p w14:paraId="48CD15AB">
            <w:pPr>
              <w:pStyle w:val="25"/>
              <w:outlineLvl w:val="9"/>
              <w:rPr>
                <w:rFonts w:ascii="Times New Roman" w:hAnsi="Times New Roman" w:eastAsia="宋体"/>
                <w:color w:val="000000" w:themeColor="text1"/>
                <w:spacing w:val="0"/>
                <w:sz w:val="24"/>
                <w:highlight w:val="none"/>
                <w14:textFill>
                  <w14:solidFill>
                    <w14:schemeClr w14:val="tx1"/>
                  </w14:solidFill>
                </w14:textFill>
              </w:rPr>
            </w:pPr>
          </w:p>
          <w:p w14:paraId="5A5187BB">
            <w:pPr>
              <w:pStyle w:val="25"/>
              <w:outlineLvl w:val="9"/>
              <w:rPr>
                <w:rFonts w:ascii="Times New Roman" w:hAnsi="Times New Roman" w:eastAsia="宋体"/>
                <w:color w:val="000000" w:themeColor="text1"/>
                <w:spacing w:val="0"/>
                <w:sz w:val="24"/>
                <w:highlight w:val="none"/>
                <w14:textFill>
                  <w14:solidFill>
                    <w14:schemeClr w14:val="tx1"/>
                  </w14:solidFill>
                </w14:textFill>
              </w:rPr>
            </w:pPr>
          </w:p>
        </w:tc>
      </w:tr>
    </w:tbl>
    <w:p w14:paraId="798BEAE0">
      <w:pPr>
        <w:spacing w:line="360" w:lineRule="auto"/>
        <w:jc w:val="center"/>
        <w:outlineLvl w:val="9"/>
        <w:rPr>
          <w:rFonts w:ascii="Times New Roman" w:hAnsi="Times New Roman" w:eastAsia="宋体"/>
          <w:snapToGrid w:val="0"/>
          <w:color w:val="000000" w:themeColor="text1"/>
          <w:spacing w:val="0"/>
          <w:sz w:val="32"/>
          <w:szCs w:val="32"/>
          <w:highlight w:val="none"/>
          <w14:textFill>
            <w14:solidFill>
              <w14:schemeClr w14:val="tx1"/>
            </w14:solidFill>
          </w14:textFill>
        </w:rPr>
      </w:pPr>
      <w:r>
        <w:rPr>
          <w:rFonts w:ascii="Times New Roman" w:hAnsi="Times New Roman" w:eastAsia="宋体"/>
          <w:snapToGrid w:val="0"/>
          <w:color w:val="000000" w:themeColor="text1"/>
          <w:spacing w:val="0"/>
          <w:sz w:val="32"/>
          <w:szCs w:val="32"/>
          <w:highlight w:val="none"/>
          <w14:textFill>
            <w14:solidFill>
              <w14:schemeClr w14:val="tx1"/>
            </w14:solidFill>
          </w14:textFill>
        </w:rPr>
        <w:br w:type="page"/>
      </w:r>
      <w:bookmarkStart w:id="15" w:name="_Toc8394"/>
    </w:p>
    <w:p w14:paraId="07BE935B">
      <w:pPr>
        <w:spacing w:line="360" w:lineRule="auto"/>
        <w:jc w:val="center"/>
        <w:outlineLvl w:val="9"/>
        <w:rPr>
          <w:rFonts w:ascii="Times New Roman" w:hAnsi="Times New Roman" w:eastAsia="宋体"/>
          <w:snapToGrid w:val="0"/>
          <w:color w:val="000000" w:themeColor="text1"/>
          <w:spacing w:val="0"/>
          <w:sz w:val="32"/>
          <w:szCs w:val="32"/>
          <w:highlight w:val="none"/>
          <w14:textFill>
            <w14:solidFill>
              <w14:schemeClr w14:val="tx1"/>
            </w14:solidFill>
          </w14:textFill>
        </w:rPr>
      </w:pPr>
    </w:p>
    <w:p w14:paraId="3527C6D4">
      <w:pPr>
        <w:spacing w:line="360" w:lineRule="auto"/>
        <w:jc w:val="center"/>
        <w:outlineLvl w:val="9"/>
        <w:rPr>
          <w:rFonts w:ascii="Times New Roman" w:hAnsi="Times New Roman" w:eastAsia="宋体"/>
          <w:snapToGrid w:val="0"/>
          <w:color w:val="000000" w:themeColor="text1"/>
          <w:spacing w:val="0"/>
          <w:sz w:val="32"/>
          <w:szCs w:val="32"/>
          <w:highlight w:val="none"/>
          <w14:textFill>
            <w14:solidFill>
              <w14:schemeClr w14:val="tx1"/>
            </w14:solidFill>
          </w14:textFill>
        </w:rPr>
      </w:pPr>
    </w:p>
    <w:p w14:paraId="52037267">
      <w:pPr>
        <w:spacing w:line="360" w:lineRule="auto"/>
        <w:jc w:val="center"/>
        <w:outlineLvl w:val="9"/>
        <w:rPr>
          <w:rFonts w:hint="eastAsia" w:ascii="Times New Roman" w:hAnsi="Times New Roman" w:eastAsia="宋体"/>
          <w:b/>
          <w:bCs/>
          <w:snapToGrid w:val="0"/>
          <w:color w:val="000000" w:themeColor="text1"/>
          <w:spacing w:val="0"/>
          <w:sz w:val="32"/>
          <w:szCs w:val="32"/>
          <w:highlight w:val="none"/>
          <w:lang w:eastAsia="zh-CN"/>
          <w14:textFill>
            <w14:solidFill>
              <w14:schemeClr w14:val="tx1"/>
            </w14:solidFill>
          </w14:textFill>
        </w:rPr>
      </w:pPr>
      <w:r>
        <w:rPr>
          <w:rFonts w:hint="eastAsia"/>
          <w:b/>
          <w:bCs/>
          <w:snapToGrid w:val="0"/>
          <w:color w:val="000000" w:themeColor="text1"/>
          <w:spacing w:val="0"/>
          <w:sz w:val="32"/>
          <w:szCs w:val="32"/>
          <w:highlight w:val="none"/>
          <w:lang w:eastAsia="zh-CN"/>
          <w14:textFill>
            <w14:solidFill>
              <w14:schemeClr w14:val="tx1"/>
            </w14:solidFill>
          </w14:textFill>
        </w:rPr>
        <w:t>宁夏固原三岔110千伏输变电工程</w:t>
      </w:r>
    </w:p>
    <w:p w14:paraId="6948CCE1">
      <w:pPr>
        <w:spacing w:line="360" w:lineRule="auto"/>
        <w:jc w:val="center"/>
        <w:outlineLvl w:val="0"/>
        <w:rPr>
          <w:rFonts w:ascii="Times New Roman" w:hAnsi="Times New Roman" w:eastAsia="宋体"/>
          <w:b/>
          <w:color w:val="000000" w:themeColor="text1"/>
          <w:spacing w:val="0"/>
          <w:kern w:val="0"/>
          <w:sz w:val="32"/>
          <w:szCs w:val="32"/>
          <w:highlight w:val="none"/>
          <w14:textFill>
            <w14:solidFill>
              <w14:schemeClr w14:val="tx1"/>
            </w14:solidFill>
          </w14:textFill>
        </w:rPr>
      </w:pPr>
      <w:bookmarkStart w:id="16" w:name="_Toc11096"/>
      <w:bookmarkStart w:id="17" w:name="_Toc29301"/>
      <w:r>
        <w:rPr>
          <w:rFonts w:ascii="Times New Roman" w:hAnsi="Times New Roman" w:eastAsia="宋体"/>
          <w:b/>
          <w:color w:val="000000" w:themeColor="text1"/>
          <w:spacing w:val="0"/>
          <w:kern w:val="0"/>
          <w:sz w:val="32"/>
          <w:szCs w:val="32"/>
          <w:highlight w:val="none"/>
          <w14:textFill>
            <w14:solidFill>
              <w14:schemeClr w14:val="tx1"/>
            </w14:solidFill>
          </w14:textFill>
        </w:rPr>
        <w:t>电磁环境影响专题评价</w:t>
      </w:r>
      <w:bookmarkEnd w:id="16"/>
      <w:bookmarkEnd w:id="17"/>
    </w:p>
    <w:p w14:paraId="28E8D06C">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06907C4E">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6FFD713C">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68EDEDC6">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0AC7C330">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2C97BE63">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546FAD69">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5B5C7FFE">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06A70DDE">
      <w:pPr>
        <w:pStyle w:val="25"/>
        <w:ind w:firstLine="320"/>
        <w:outlineLvl w:val="9"/>
        <w:rPr>
          <w:rFonts w:ascii="Times New Roman" w:hAnsi="Times New Roman" w:eastAsia="宋体"/>
          <w:color w:val="000000" w:themeColor="text1"/>
          <w:spacing w:val="0"/>
          <w:highlight w:val="none"/>
          <w14:textFill>
            <w14:solidFill>
              <w14:schemeClr w14:val="tx1"/>
            </w14:solidFill>
          </w14:textFill>
        </w:rPr>
      </w:pPr>
    </w:p>
    <w:p w14:paraId="51CBA1EA">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0C0F648E">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45914732">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71651810">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4E5901EB">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47AB619F">
      <w:pPr>
        <w:pStyle w:val="25"/>
        <w:ind w:firstLine="320"/>
        <w:outlineLvl w:val="9"/>
        <w:rPr>
          <w:rFonts w:ascii="Times New Roman" w:hAnsi="Times New Roman" w:eastAsia="宋体"/>
          <w:color w:val="000000" w:themeColor="text1"/>
          <w:spacing w:val="0"/>
          <w:highlight w:val="none"/>
          <w14:textFill>
            <w14:solidFill>
              <w14:schemeClr w14:val="tx1"/>
            </w14:solidFill>
          </w14:textFill>
        </w:rPr>
      </w:pPr>
    </w:p>
    <w:p w14:paraId="14CCF505">
      <w:pPr>
        <w:pStyle w:val="7"/>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15E075A5">
      <w:pPr>
        <w:spacing w:line="360" w:lineRule="auto"/>
        <w:jc w:val="center"/>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p>
    <w:p w14:paraId="5F0DF097">
      <w:pPr>
        <w:spacing w:line="360" w:lineRule="auto"/>
        <w:jc w:val="center"/>
        <w:outlineLvl w:val="9"/>
        <w:rPr>
          <w:rFonts w:ascii="Times New Roman" w:hAnsi="Times New Roman" w:eastAsia="宋体"/>
          <w:b/>
          <w:color w:val="000000" w:themeColor="text1"/>
          <w:spacing w:val="0"/>
          <w:kern w:val="0"/>
          <w:sz w:val="32"/>
          <w:szCs w:val="32"/>
          <w:highlight w:val="none"/>
          <w14:textFill>
            <w14:solidFill>
              <w14:schemeClr w14:val="tx1"/>
            </w14:solidFill>
          </w14:textFill>
        </w:rPr>
      </w:pPr>
      <w:r>
        <w:rPr>
          <w:rFonts w:ascii="Times New Roman" w:hAnsi="Times New Roman" w:eastAsia="宋体"/>
          <w:b/>
          <w:color w:val="000000" w:themeColor="text1"/>
          <w:spacing w:val="0"/>
          <w:kern w:val="0"/>
          <w:sz w:val="32"/>
          <w:szCs w:val="32"/>
          <w:highlight w:val="none"/>
          <w14:textFill>
            <w14:solidFill>
              <w14:schemeClr w14:val="tx1"/>
            </w14:solidFill>
          </w14:textFill>
        </w:rPr>
        <w:t xml:space="preserve">  建设单位：国网宁夏电力有限公司</w:t>
      </w:r>
      <w:r>
        <w:rPr>
          <w:rFonts w:hint="eastAsia" w:ascii="Times New Roman" w:hAnsi="Times New Roman" w:eastAsia="宋体"/>
          <w:b/>
          <w:color w:val="000000" w:themeColor="text1"/>
          <w:spacing w:val="0"/>
          <w:kern w:val="0"/>
          <w:sz w:val="32"/>
          <w:szCs w:val="32"/>
          <w:highlight w:val="none"/>
          <w:lang w:val="en-US" w:eastAsia="zh-CN"/>
          <w14:textFill>
            <w14:solidFill>
              <w14:schemeClr w14:val="tx1"/>
            </w14:solidFill>
          </w14:textFill>
        </w:rPr>
        <w:t>固原</w:t>
      </w:r>
      <w:r>
        <w:rPr>
          <w:rFonts w:ascii="Times New Roman" w:hAnsi="Times New Roman" w:eastAsia="宋体"/>
          <w:b/>
          <w:color w:val="000000" w:themeColor="text1"/>
          <w:spacing w:val="0"/>
          <w:kern w:val="0"/>
          <w:sz w:val="32"/>
          <w:szCs w:val="32"/>
          <w:highlight w:val="none"/>
          <w14:textFill>
            <w14:solidFill>
              <w14:schemeClr w14:val="tx1"/>
            </w14:solidFill>
          </w14:textFill>
        </w:rPr>
        <w:t>供电公司</w:t>
      </w:r>
    </w:p>
    <w:p w14:paraId="3798BCB7">
      <w:pPr>
        <w:spacing w:line="360" w:lineRule="auto"/>
        <w:jc w:val="center"/>
        <w:outlineLvl w:val="9"/>
        <w:rPr>
          <w:rFonts w:ascii="Times New Roman" w:hAnsi="Times New Roman" w:eastAsia="宋体"/>
          <w:snapToGrid w:val="0"/>
          <w:color w:val="000000" w:themeColor="text1"/>
          <w:spacing w:val="0"/>
          <w:sz w:val="32"/>
          <w:szCs w:val="32"/>
          <w:highlight w:val="none"/>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798C9191">
      <w:pPr>
        <w:spacing w:line="360" w:lineRule="auto"/>
        <w:ind w:firstLine="482" w:firstLineChars="200"/>
        <w:outlineLvl w:val="9"/>
        <w:rPr>
          <w:rFonts w:ascii="Times New Roman" w:hAnsi="Times New Roman" w:eastAsia="宋体"/>
          <w:b/>
          <w:color w:val="000000" w:themeColor="text1"/>
          <w:spacing w:val="0"/>
          <w:kern w:val="0"/>
          <w:sz w:val="24"/>
          <w:highlight w:val="none"/>
          <w14:textFill>
            <w14:solidFill>
              <w14:schemeClr w14:val="tx1"/>
            </w14:solidFill>
          </w14:textFill>
        </w:rPr>
      </w:pPr>
      <w:r>
        <w:rPr>
          <w:rFonts w:ascii="Times New Roman" w:hAnsi="Times New Roman" w:eastAsia="宋体"/>
          <w:b/>
          <w:color w:val="000000" w:themeColor="text1"/>
          <w:spacing w:val="0"/>
          <w:kern w:val="0"/>
          <w:sz w:val="24"/>
          <w:highlight w:val="none"/>
          <w14:textFill>
            <w14:solidFill>
              <w14:schemeClr w14:val="tx1"/>
            </w14:solidFill>
          </w14:textFill>
        </w:rPr>
        <w:t>一、项目概况</w:t>
      </w:r>
      <w:bookmarkEnd w:id="15"/>
    </w:p>
    <w:p w14:paraId="20B966C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eastAsia="宋体"/>
          <w:bCs/>
          <w:color w:val="000000" w:themeColor="text1"/>
          <w:spacing w:val="0"/>
          <w:kern w:val="0"/>
          <w:sz w:val="24"/>
          <w:highlight w:val="none"/>
          <w14:textFill>
            <w14:solidFill>
              <w14:schemeClr w14:val="tx1"/>
            </w14:solidFill>
          </w14:textFill>
        </w:rPr>
      </w:pPr>
      <w:r>
        <w:rPr>
          <w:rFonts w:ascii="Times New Roman" w:hAnsi="Times New Roman" w:eastAsia="宋体"/>
          <w:bCs/>
          <w:color w:val="000000" w:themeColor="text1"/>
          <w:spacing w:val="0"/>
          <w:kern w:val="0"/>
          <w:sz w:val="24"/>
          <w:highlight w:val="none"/>
          <w14:textFill>
            <w14:solidFill>
              <w14:schemeClr w14:val="tx1"/>
            </w14:solidFill>
          </w14:textFill>
        </w:rPr>
        <w:t>本项目共包含</w:t>
      </w:r>
      <w:r>
        <w:rPr>
          <w:rFonts w:hint="eastAsia" w:ascii="Times New Roman" w:hAnsi="Times New Roman" w:eastAsia="宋体"/>
          <w:bCs/>
          <w:color w:val="000000" w:themeColor="text1"/>
          <w:spacing w:val="0"/>
          <w:kern w:val="0"/>
          <w:sz w:val="24"/>
          <w:highlight w:val="none"/>
          <w:lang w:val="en-US" w:eastAsia="zh-CN"/>
          <w14:textFill>
            <w14:solidFill>
              <w14:schemeClr w14:val="tx1"/>
            </w14:solidFill>
          </w14:textFill>
        </w:rPr>
        <w:t>四</w:t>
      </w:r>
      <w:r>
        <w:rPr>
          <w:rFonts w:ascii="Times New Roman" w:hAnsi="Times New Roman" w:eastAsia="宋体"/>
          <w:bCs/>
          <w:color w:val="000000" w:themeColor="text1"/>
          <w:spacing w:val="0"/>
          <w:kern w:val="0"/>
          <w:sz w:val="24"/>
          <w:highlight w:val="none"/>
          <w14:textFill>
            <w14:solidFill>
              <w14:schemeClr w14:val="tx1"/>
            </w14:solidFill>
          </w14:textFill>
        </w:rPr>
        <w:t>部分：</w:t>
      </w:r>
    </w:p>
    <w:p w14:paraId="11665630">
      <w:pPr>
        <w:pStyle w:val="25"/>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outlineLvl w:val="9"/>
        <w:rPr>
          <w:rFonts w:hint="eastAsia" w:ascii="Times New Roman" w:hAnsi="Times New Roman" w:eastAsia="宋体"/>
          <w:color w:val="000000" w:themeColor="text1"/>
          <w:spacing w:val="0"/>
          <w:sz w:val="24"/>
          <w:highlight w:val="none"/>
          <w14:textFill>
            <w14:solidFill>
              <w14:schemeClr w14:val="tx1"/>
            </w14:solidFill>
          </w14:textFill>
        </w:rPr>
      </w:pPr>
      <w:bookmarkStart w:id="18" w:name="_Toc20497"/>
      <w:r>
        <w:rPr>
          <w:rFonts w:hint="eastAsia" w:ascii="Times New Roman" w:hAnsi="Times New Roman" w:eastAsia="宋体"/>
          <w:color w:val="000000" w:themeColor="text1"/>
          <w:spacing w:val="0"/>
          <w:sz w:val="24"/>
          <w:highlight w:val="none"/>
          <w14:textFill>
            <w14:solidFill>
              <w14:schemeClr w14:val="tx1"/>
            </w14:solidFill>
          </w14:textFill>
        </w:rPr>
        <w:t>（1）三岔110千伏变电站新建工程：</w:t>
      </w:r>
      <w:r>
        <w:rPr>
          <w:rFonts w:hint="eastAsia" w:ascii="Times New Roman" w:hAnsi="Times New Roman"/>
          <w:color w:val="000000" w:themeColor="text1"/>
          <w:spacing w:val="0"/>
          <w:sz w:val="24"/>
          <w:highlight w:val="none"/>
          <w:lang w:val="en-US" w:eastAsia="zh-CN"/>
          <w14:textFill>
            <w14:solidFill>
              <w14:schemeClr w14:val="tx1"/>
            </w14:solidFill>
          </w14:textFill>
        </w:rPr>
        <w:t>拟建三岔变为户外变电站，</w:t>
      </w:r>
      <w:r>
        <w:rPr>
          <w:rFonts w:hint="eastAsia" w:ascii="Times New Roman" w:hAnsi="Times New Roman" w:eastAsia="宋体"/>
          <w:color w:val="000000" w:themeColor="text1"/>
          <w:spacing w:val="0"/>
          <w:sz w:val="24"/>
          <w:highlight w:val="none"/>
          <w14:textFill>
            <w14:solidFill>
              <w14:schemeClr w14:val="tx1"/>
            </w14:solidFill>
          </w14:textFill>
        </w:rPr>
        <w:t>新建1 号、2 号主变，主变容量2×50MVA；新建110kV出线2回，35kV出线6回，10kV出线16回；1号、2号主变低压侧装设1组3Mvar及1组6Mvar的并联电容器组；新上10kV接地变消弧线圈成套装置2套，二次绕组兼用作本站站用电源，分别接于10kVⅠ段及Ⅱ段母线上。</w:t>
      </w:r>
    </w:p>
    <w:p w14:paraId="55C0CEDC">
      <w:pPr>
        <w:pStyle w:val="25"/>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outlineLvl w:val="9"/>
        <w:rPr>
          <w:rFonts w:hint="eastAsia"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（2）</w:t>
      </w:r>
      <w:r>
        <w:rPr>
          <w:rFonts w:hint="eastAsia" w:ascii="Times New Roman" w:hAnsi="Times New Roman"/>
          <w:color w:val="000000" w:themeColor="text1"/>
          <w:spacing w:val="0"/>
          <w:sz w:val="24"/>
          <w:highlight w:val="none"/>
          <w:lang w:eastAsia="zh-CN"/>
          <w14:textFill>
            <w14:solidFill>
              <w14:schemeClr w14:val="tx1"/>
            </w14:solidFill>
          </w14:textFill>
        </w:rPr>
        <w:t>申庄~黄铎堡π入三岔变电站110千伏架空线路</w:t>
      </w:r>
      <w:r>
        <w:rPr>
          <w:rFonts w:hint="eastAsia" w:ascii="Times New Roman" w:hAnsi="Times New Roman" w:eastAsia="宋体"/>
          <w:color w:val="000000" w:themeColor="text1"/>
          <w:spacing w:val="0"/>
          <w:sz w:val="24"/>
          <w:highlight w:val="none"/>
          <w14:textFill>
            <w14:solidFill>
              <w14:schemeClr w14:val="tx1"/>
            </w14:solidFill>
          </w14:textFill>
        </w:rPr>
        <w:t>：新建线路路径全长约 3.5km</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全线采用两条单回路架空方式进行架设，长约1×1.75km+1×1.75km。导线推荐选用1×JL3/G1A-300/25钢芯高导电率铝绞线，两回线路地线 1 根采用48芯 OPGW 光纤复合架空地线，另 1 根采用 JLB40-80 铝包钢绞线。新建杆塔14基，其中双回路耐张塔2基，单回路耐张塔6基，单回路直线塔6基。</w:t>
      </w:r>
    </w:p>
    <w:p w14:paraId="077DD3B6">
      <w:pPr>
        <w:pStyle w:val="25"/>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outlineLvl w:val="9"/>
        <w:rPr>
          <w:rFonts w:hint="eastAsia"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（3）</w:t>
      </w:r>
      <w:r>
        <w:rPr>
          <w:rFonts w:hint="eastAsia" w:ascii="Times New Roman" w:hAnsi="Times New Roman"/>
          <w:color w:val="000000" w:themeColor="text1"/>
          <w:spacing w:val="0"/>
          <w:sz w:val="24"/>
          <w:highlight w:val="none"/>
          <w:lang w:eastAsia="zh-CN"/>
          <w14:textFill>
            <w14:solidFill>
              <w14:schemeClr w14:val="tx1"/>
            </w14:solidFill>
          </w14:textFill>
        </w:rPr>
        <w:t>申庄～黄铎堡改接清水河变电站110kV线路</w:t>
      </w:r>
      <w:r>
        <w:rPr>
          <w:rFonts w:hint="eastAsia" w:ascii="Times New Roman" w:hAnsi="Times New Roman" w:eastAsia="宋体"/>
          <w:color w:val="000000" w:themeColor="text1"/>
          <w:spacing w:val="0"/>
          <w:sz w:val="24"/>
          <w:highlight w:val="none"/>
          <w14:textFill>
            <w14:solidFill>
              <w14:schemeClr w14:val="tx1"/>
            </w14:solidFill>
          </w14:textFill>
        </w:rPr>
        <w:t>：新建线路路径全长约 2.38km</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采用架空与电缆混合方式进行架设，其中单回架空线路长约 0.04km；双回架空线路长约1.75km；单回电缆线路长约 0.28km，双回电缆线路长约0.31km。导线推荐选用 1×JL3/G1A-300/25钢芯高导电率铝绞线，地线2 根采用48芯OPGW 光纤复合架空地线；电缆推荐选用 YJLW03-64/110-1×630mm2交联聚乙烯绝缘皱纹铝护套聚乙烯外护套电力电缆</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随电缆各敷设1 根48芯非金属阻燃光缆。新建杆塔11基，其中双回路耐张塔6 基，双回路直线塔3基，双回路耐张钢管杆1 基，单回路耐张钢管1基。</w:t>
      </w:r>
    </w:p>
    <w:p w14:paraId="1002BAE8">
      <w:pPr>
        <w:pStyle w:val="25"/>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4</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color w:val="000000" w:themeColor="text1"/>
          <w:spacing w:val="0"/>
          <w:sz w:val="24"/>
          <w:highlight w:val="none"/>
          <w:lang w:eastAsia="zh-CN"/>
          <w14:textFill>
            <w14:solidFill>
              <w14:schemeClr w14:val="tx1"/>
            </w14:solidFill>
          </w14:textFill>
        </w:rPr>
        <w:t>清水河~申庄改接绿塬变电站110kV线路</w:t>
      </w:r>
      <w:r>
        <w:rPr>
          <w:rFonts w:hint="eastAsia" w:ascii="Times New Roman" w:hAnsi="Times New Roman" w:eastAsia="宋体"/>
          <w:color w:val="000000" w:themeColor="text1"/>
          <w:spacing w:val="0"/>
          <w:sz w:val="24"/>
          <w:highlight w:val="none"/>
          <w14:textFill>
            <w14:solidFill>
              <w14:schemeClr w14:val="tx1"/>
            </w14:solidFill>
          </w14:textFill>
        </w:rPr>
        <w:t>：新建线路路径全长约 0.25km</w:t>
      </w:r>
      <w:r>
        <w:rPr>
          <w:rFonts w:hint="eastAsia" w:ascii="Times New Roman" w:hAnsi="Times New Roman" w:eastAsia="宋体"/>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采用架空与电缆混合方式进行架设，其中单回架空线路长约 0.01km；单回电缆线路长约0.24km。新建1基钢管杆。</w:t>
      </w:r>
    </w:p>
    <w:p w14:paraId="53C90004">
      <w:pPr>
        <w:spacing w:line="360" w:lineRule="auto"/>
        <w:ind w:firstLine="482" w:firstLineChars="200"/>
        <w:outlineLvl w:val="9"/>
        <w:rPr>
          <w:rFonts w:ascii="Times New Roman" w:hAnsi="Times New Roman" w:eastAsia="宋体"/>
          <w:b/>
          <w:color w:val="000000" w:themeColor="text1"/>
          <w:spacing w:val="0"/>
          <w:kern w:val="0"/>
          <w:sz w:val="24"/>
          <w:highlight w:val="none"/>
          <w14:textFill>
            <w14:solidFill>
              <w14:schemeClr w14:val="tx1"/>
            </w14:solidFill>
          </w14:textFill>
        </w:rPr>
      </w:pPr>
      <w:r>
        <w:rPr>
          <w:rFonts w:ascii="Times New Roman" w:hAnsi="Times New Roman" w:eastAsia="宋体"/>
          <w:b/>
          <w:color w:val="000000" w:themeColor="text1"/>
          <w:spacing w:val="0"/>
          <w:kern w:val="0"/>
          <w:sz w:val="24"/>
          <w:highlight w:val="none"/>
          <w14:textFill>
            <w14:solidFill>
              <w14:schemeClr w14:val="tx1"/>
            </w14:solidFill>
          </w14:textFill>
        </w:rPr>
        <w:t>二、电磁评价因子和评价标准</w:t>
      </w:r>
      <w:bookmarkEnd w:id="18"/>
    </w:p>
    <w:p w14:paraId="611279F6">
      <w:pPr>
        <w:spacing w:line="360" w:lineRule="auto"/>
        <w:ind w:firstLine="482" w:firstLineChars="200"/>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1、评价因子</w:t>
      </w:r>
    </w:p>
    <w:p w14:paraId="1CDDAA69">
      <w:pPr>
        <w:spacing w:line="360" w:lineRule="auto"/>
        <w:ind w:firstLine="480" w:firstLineChars="200"/>
        <w:outlineLvl w:val="9"/>
        <w:rPr>
          <w:rFonts w:ascii="Times New Roman" w:hAnsi="Times New Roman" w:eastAsia="宋体"/>
          <w:bCs/>
          <w:color w:val="000000" w:themeColor="text1"/>
          <w:spacing w:val="0"/>
          <w:kern w:val="0"/>
          <w:sz w:val="24"/>
          <w:highlight w:val="none"/>
          <w14:textFill>
            <w14:solidFill>
              <w14:schemeClr w14:val="tx1"/>
            </w14:solidFill>
          </w14:textFill>
        </w:rPr>
      </w:pPr>
      <w:r>
        <w:rPr>
          <w:rFonts w:ascii="Times New Roman" w:hAnsi="Times New Roman" w:eastAsia="宋体"/>
          <w:bCs/>
          <w:color w:val="000000" w:themeColor="text1"/>
          <w:spacing w:val="0"/>
          <w:kern w:val="0"/>
          <w:sz w:val="24"/>
          <w:highlight w:val="none"/>
          <w14:textFill>
            <w14:solidFill>
              <w14:schemeClr w14:val="tx1"/>
            </w14:solidFill>
          </w14:textFill>
        </w:rPr>
        <w:t>工频电场、工频磁场。</w:t>
      </w:r>
    </w:p>
    <w:p w14:paraId="7EDF4207">
      <w:pPr>
        <w:spacing w:line="360" w:lineRule="auto"/>
        <w:ind w:firstLine="482" w:firstLineChars="200"/>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ascii="Times New Roman" w:hAnsi="Times New Roman" w:eastAsia="宋体"/>
          <w:b/>
          <w:bCs/>
          <w:color w:val="000000" w:themeColor="text1"/>
          <w:spacing w:val="0"/>
          <w:kern w:val="0"/>
          <w:sz w:val="24"/>
          <w:highlight w:val="none"/>
          <w14:textFill>
            <w14:solidFill>
              <w14:schemeClr w14:val="tx1"/>
            </w14:solidFill>
          </w14:textFill>
        </w:rPr>
        <w:t>2、评价标准</w:t>
      </w:r>
    </w:p>
    <w:p w14:paraId="55F4F61C">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根据</w:t>
      </w:r>
      <w:r>
        <w:rPr>
          <w:rFonts w:ascii="Times New Roman" w:hAnsi="Times New Roman" w:eastAsia="宋体"/>
          <w:bCs/>
          <w:color w:val="000000" w:themeColor="text1"/>
          <w:spacing w:val="0"/>
          <w:kern w:val="0"/>
          <w:sz w:val="24"/>
          <w:highlight w:val="none"/>
          <w14:textFill>
            <w14:solidFill>
              <w14:schemeClr w14:val="tx1"/>
            </w14:solidFill>
          </w14:textFill>
        </w:rPr>
        <w:t>《电磁环境控制限值》（GB8702-2014）</w:t>
      </w:r>
      <w:r>
        <w:rPr>
          <w:rFonts w:ascii="Times New Roman" w:hAnsi="Times New Roman" w:eastAsia="宋体"/>
          <w:color w:val="000000" w:themeColor="text1"/>
          <w:spacing w:val="0"/>
          <w:kern w:val="0"/>
          <w:sz w:val="24"/>
          <w:highlight w:val="none"/>
          <w14:textFill>
            <w14:solidFill>
              <w14:schemeClr w14:val="tx1"/>
            </w14:solidFill>
          </w14:textFill>
        </w:rPr>
        <w:t>中频率0.025kHz-1.2kHz的公众曝露控制限值的规定，确定电磁环境影响评价标准如下：</w:t>
      </w:r>
    </w:p>
    <w:p w14:paraId="308C533B">
      <w:pPr>
        <w:spacing w:line="360" w:lineRule="auto"/>
        <w:ind w:firstLine="480" w:firstLineChars="200"/>
        <w:rPr>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（1）工频电场：200/f为输变电工程评价标准，即频率f=50Hz时，工频电场强度E=4000</w:t>
      </w:r>
      <w:r>
        <w:rPr>
          <w:color w:val="000000" w:themeColor="text1"/>
          <w:kern w:val="0"/>
          <w:sz w:val="24"/>
          <w14:textFill>
            <w14:solidFill>
              <w14:schemeClr w14:val="tx1"/>
            </w14:solidFill>
          </w14:textFill>
        </w:rPr>
        <w:t>V/m。</w:t>
      </w:r>
    </w:p>
    <w:p w14:paraId="249A9B0D">
      <w:pPr>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（2）工频磁场：5/f为输变电工程评价标准，即频率f=50Hz时，工频磁感应强度B=100μT。</w:t>
      </w:r>
    </w:p>
    <w:p w14:paraId="5BA5E7FB">
      <w:pPr>
        <w:spacing w:line="360" w:lineRule="auto"/>
        <w:ind w:firstLine="480" w:firstLineChars="200"/>
        <w:outlineLvl w:val="9"/>
        <w:rPr>
          <w:rFonts w:ascii="Times New Roman" w:hAnsi="Times New Roman" w:eastAsia="宋体"/>
          <w:bCs/>
          <w:color w:val="000000" w:themeColor="text1"/>
          <w:spacing w:val="0"/>
          <w:kern w:val="0"/>
          <w:sz w:val="24"/>
          <w:highlight w:val="none"/>
          <w14:textFill>
            <w14:solidFill>
              <w14:schemeClr w14:val="tx1"/>
            </w14:solidFill>
          </w14:textFill>
        </w:rPr>
      </w:pPr>
      <w:r>
        <w:rPr>
          <w:bCs/>
          <w:color w:val="000000" w:themeColor="text1"/>
          <w:kern w:val="0"/>
          <w:sz w:val="24"/>
          <w14:textFill>
            <w14:solidFill>
              <w14:schemeClr w14:val="tx1"/>
            </w14:solidFill>
          </w14:textFill>
        </w:rPr>
        <w:t>（3）架空输电线路下的耕地、园地、牧草地、畜禽饲养地、养殖水面、道路等场所，其频率50Hz的工频电场强度控制限值为10kV/m，且应给出警示和防护指示标识</w:t>
      </w:r>
      <w:r>
        <w:rPr>
          <w:rFonts w:ascii="Times New Roman" w:hAnsi="Times New Roman" w:eastAsia="宋体"/>
          <w:bCs/>
          <w:color w:val="000000" w:themeColor="text1"/>
          <w:spacing w:val="0"/>
          <w:kern w:val="0"/>
          <w:sz w:val="24"/>
          <w:highlight w:val="none"/>
          <w14:textFill>
            <w14:solidFill>
              <w14:schemeClr w14:val="tx1"/>
            </w14:solidFill>
          </w14:textFill>
        </w:rPr>
        <w:t>。</w:t>
      </w:r>
    </w:p>
    <w:p w14:paraId="06C17236">
      <w:pPr>
        <w:spacing w:line="360" w:lineRule="auto"/>
        <w:ind w:firstLine="482" w:firstLineChars="200"/>
        <w:outlineLvl w:val="9"/>
        <w:rPr>
          <w:rFonts w:ascii="Times New Roman" w:hAnsi="Times New Roman" w:eastAsia="宋体"/>
          <w:b/>
          <w:color w:val="000000" w:themeColor="text1"/>
          <w:spacing w:val="0"/>
          <w:kern w:val="0"/>
          <w:sz w:val="24"/>
          <w:highlight w:val="none"/>
          <w14:textFill>
            <w14:solidFill>
              <w14:schemeClr w14:val="tx1"/>
            </w14:solidFill>
          </w14:textFill>
        </w:rPr>
      </w:pPr>
      <w:r>
        <w:rPr>
          <w:rFonts w:ascii="Times New Roman" w:hAnsi="Times New Roman" w:eastAsia="宋体"/>
          <w:b/>
          <w:color w:val="000000" w:themeColor="text1"/>
          <w:spacing w:val="0"/>
          <w:kern w:val="0"/>
          <w:sz w:val="24"/>
          <w:highlight w:val="none"/>
          <w14:textFill>
            <w14:solidFill>
              <w14:schemeClr w14:val="tx1"/>
            </w14:solidFill>
          </w14:textFill>
        </w:rPr>
        <w:t>三、电磁评价工作等级和评价范围</w:t>
      </w:r>
    </w:p>
    <w:p w14:paraId="464735EB">
      <w:pPr>
        <w:spacing w:line="360" w:lineRule="auto"/>
        <w:ind w:firstLine="482" w:firstLineChars="200"/>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1、评价工作等级</w:t>
      </w:r>
    </w:p>
    <w:p w14:paraId="34EC49F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本项目变电站电压等级为110kV，采用</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户外</w:t>
      </w:r>
      <w:r>
        <w:rPr>
          <w:rFonts w:ascii="Times New Roman" w:hAnsi="Times New Roman" w:eastAsia="宋体"/>
          <w:color w:val="000000" w:themeColor="text1"/>
          <w:spacing w:val="0"/>
          <w:sz w:val="24"/>
          <w:highlight w:val="none"/>
          <w14:textFill>
            <w14:solidFill>
              <w14:schemeClr w14:val="tx1"/>
            </w14:solidFill>
          </w14:textFill>
        </w:rPr>
        <w:t>布置。根据《环境影响评价技术导则 输变电》</w:t>
      </w:r>
      <w:r>
        <w:rPr>
          <w:rFonts w:ascii="Times New Roman" w:hAnsi="Times New Roman" w:eastAsia="宋体"/>
          <w:bCs/>
          <w:color w:val="000000" w:themeColor="text1"/>
          <w:spacing w:val="0"/>
          <w:sz w:val="24"/>
          <w:highlight w:val="none"/>
          <w14:textFill>
            <w14:solidFill>
              <w14:schemeClr w14:val="tx1"/>
            </w14:solidFill>
          </w14:textFill>
        </w:rPr>
        <w:t>（HJ24-2020）</w:t>
      </w:r>
      <w:r>
        <w:rPr>
          <w:rFonts w:ascii="Times New Roman" w:hAnsi="Times New Roman" w:eastAsia="宋体"/>
          <w:color w:val="000000" w:themeColor="text1"/>
          <w:spacing w:val="0"/>
          <w:sz w:val="24"/>
          <w:highlight w:val="none"/>
          <w14:textFill>
            <w14:solidFill>
              <w14:schemeClr w14:val="tx1"/>
            </w14:solidFill>
          </w14:textFill>
        </w:rPr>
        <w:t>，确定本项目变电站电磁环境影响评价等级为</w:t>
      </w:r>
      <w:r>
        <w:rPr>
          <w:rFonts w:hint="eastAsia" w:ascii="Times New Roman" w:hAnsi="Times New Roman" w:eastAsia="宋体"/>
          <w:color w:val="000000" w:themeColor="text1"/>
          <w:spacing w:val="0"/>
          <w:sz w:val="24"/>
          <w:highlight w:val="none"/>
          <w14:textFill>
            <w14:solidFill>
              <w14:schemeClr w14:val="tx1"/>
            </w14:solidFill>
          </w14:textFill>
        </w:rPr>
        <w:t>二</w:t>
      </w:r>
      <w:r>
        <w:rPr>
          <w:rFonts w:ascii="Times New Roman" w:hAnsi="Times New Roman" w:eastAsia="宋体"/>
          <w:color w:val="000000" w:themeColor="text1"/>
          <w:spacing w:val="0"/>
          <w:sz w:val="24"/>
          <w:highlight w:val="none"/>
          <w14:textFill>
            <w14:solidFill>
              <w14:schemeClr w14:val="tx1"/>
            </w14:solidFill>
          </w14:textFill>
        </w:rPr>
        <w:t>级。</w:t>
      </w:r>
    </w:p>
    <w:p w14:paraId="67DE8183">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本项目110kV输电线路采用</w:t>
      </w:r>
      <w:r>
        <w:rPr>
          <w:rFonts w:hint="eastAsia" w:ascii="Times New Roman" w:hAnsi="Times New Roman" w:eastAsia="宋体"/>
          <w:color w:val="000000" w:themeColor="text1"/>
          <w:spacing w:val="0"/>
          <w:sz w:val="24"/>
          <w:highlight w:val="none"/>
          <w14:textFill>
            <w14:solidFill>
              <w14:schemeClr w14:val="tx1"/>
            </w14:solidFill>
          </w14:textFill>
        </w:rPr>
        <w:t>采用单、双回路架空架设及地下电缆敷设</w:t>
      </w:r>
      <w:r>
        <w:rPr>
          <w:rFonts w:hint="eastAsia"/>
          <w:color w:val="000000" w:themeColor="text1"/>
          <w:spacing w:val="0"/>
          <w:sz w:val="24"/>
          <w:highlight w:val="none"/>
          <w:lang w:eastAsia="zh-CN"/>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架空线路边导线地面投影外</w:t>
      </w:r>
      <w:r>
        <w:rPr>
          <w:rFonts w:hint="eastAsia" w:ascii="Times New Roman" w:hAnsi="Times New Roman" w:eastAsia="宋体"/>
          <w:color w:val="000000" w:themeColor="text1"/>
          <w:spacing w:val="0"/>
          <w:sz w:val="24"/>
          <w:highlight w:val="none"/>
          <w14:textFill>
            <w14:solidFill>
              <w14:schemeClr w14:val="tx1"/>
            </w14:solidFill>
          </w14:textFill>
        </w:rPr>
        <w:t>两侧10m范围内</w:t>
      </w:r>
      <w:r>
        <w:rPr>
          <w:rFonts w:hint="eastAsia" w:ascii="Times New Roman" w:hAnsi="Times New Roman" w:eastAsia="宋体"/>
          <w:color w:val="000000" w:themeColor="text1"/>
          <w:spacing w:val="0"/>
          <w:sz w:val="24"/>
          <w:highlight w:val="none"/>
          <w:lang w:eastAsia="zh-CN"/>
          <w14:textFill>
            <w14:solidFill>
              <w14:schemeClr w14:val="tx1"/>
            </w14:solidFill>
          </w14:textFill>
        </w:rPr>
        <w:t>无</w:t>
      </w:r>
      <w:r>
        <w:rPr>
          <w:rFonts w:hint="eastAsia" w:ascii="Times New Roman" w:hAnsi="Times New Roman" w:eastAsia="宋体"/>
          <w:color w:val="000000" w:themeColor="text1"/>
          <w:spacing w:val="0"/>
          <w:sz w:val="24"/>
          <w:highlight w:val="none"/>
          <w14:textFill>
            <w14:solidFill>
              <w14:schemeClr w14:val="tx1"/>
            </w14:solidFill>
          </w14:textFill>
        </w:rPr>
        <w:t>环境敏感目标</w:t>
      </w:r>
      <w:r>
        <w:rPr>
          <w:rFonts w:hint="eastAsia"/>
          <w:color w:val="000000" w:themeColor="text1"/>
          <w:spacing w:val="0"/>
          <w:sz w:val="24"/>
          <w:highlight w:val="no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根据《环境影响评价技术导则 输变电》（HJ24-2020），确定本项目电磁环境影响评价等级为三级。</w:t>
      </w:r>
    </w:p>
    <w:p w14:paraId="5EBC9059">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综上，</w:t>
      </w:r>
      <w:r>
        <w:rPr>
          <w:rFonts w:hint="eastAsia"/>
          <w:color w:val="000000" w:themeColor="text1"/>
          <w:spacing w:val="0"/>
          <w:sz w:val="24"/>
          <w:highlight w:val="none"/>
          <w:lang w:val="en-US" w:eastAsia="zh-CN"/>
          <w14:textFill>
            <w14:solidFill>
              <w14:schemeClr w14:val="tx1"/>
            </w14:solidFill>
          </w14:textFill>
        </w:rPr>
        <w:t>项目电磁环境影响评价等级按较高等级确定，则</w:t>
      </w:r>
      <w:r>
        <w:rPr>
          <w:rFonts w:ascii="Times New Roman" w:hAnsi="Times New Roman" w:eastAsia="宋体"/>
          <w:color w:val="000000" w:themeColor="text1"/>
          <w:spacing w:val="0"/>
          <w:sz w:val="24"/>
          <w:highlight w:val="none"/>
          <w14:textFill>
            <w14:solidFill>
              <w14:schemeClr w14:val="tx1"/>
            </w14:solidFill>
          </w14:textFill>
        </w:rPr>
        <w:t>本项目电磁环境影响评价等级为</w:t>
      </w:r>
      <w:r>
        <w:rPr>
          <w:rFonts w:hint="eastAsia" w:ascii="Times New Roman" w:hAnsi="Times New Roman" w:eastAsia="宋体"/>
          <w:color w:val="000000" w:themeColor="text1"/>
          <w:spacing w:val="0"/>
          <w:sz w:val="24"/>
          <w:highlight w:val="none"/>
          <w14:textFill>
            <w14:solidFill>
              <w14:schemeClr w14:val="tx1"/>
            </w14:solidFill>
          </w14:textFill>
        </w:rPr>
        <w:t>二</w:t>
      </w:r>
      <w:r>
        <w:rPr>
          <w:rFonts w:ascii="Times New Roman" w:hAnsi="Times New Roman" w:eastAsia="宋体"/>
          <w:color w:val="000000" w:themeColor="text1"/>
          <w:spacing w:val="0"/>
          <w:sz w:val="24"/>
          <w:highlight w:val="none"/>
          <w14:textFill>
            <w14:solidFill>
              <w14:schemeClr w14:val="tx1"/>
            </w14:solidFill>
          </w14:textFill>
        </w:rPr>
        <w:t>级。</w:t>
      </w:r>
    </w:p>
    <w:p w14:paraId="02FA9C33">
      <w:pPr>
        <w:spacing w:line="360" w:lineRule="auto"/>
        <w:ind w:firstLine="482" w:firstLineChars="200"/>
        <w:outlineLvl w:val="9"/>
        <w:rPr>
          <w:rFonts w:ascii="Times New Roman" w:hAnsi="Times New Roman" w:eastAsia="宋体"/>
          <w:bCs/>
          <w:color w:val="000000" w:themeColor="text1"/>
          <w:spacing w:val="0"/>
          <w:kern w:val="0"/>
          <w:sz w:val="24"/>
          <w:highlight w:val="none"/>
          <w14:textFill>
            <w14:solidFill>
              <w14:schemeClr w14:val="tx1"/>
            </w14:solidFill>
          </w14:textFill>
        </w:rPr>
      </w:pPr>
      <w:r>
        <w:rPr>
          <w:rFonts w:ascii="Times New Roman" w:hAnsi="Times New Roman" w:eastAsia="宋体"/>
          <w:b/>
          <w:color w:val="000000" w:themeColor="text1"/>
          <w:spacing w:val="0"/>
          <w:kern w:val="0"/>
          <w:sz w:val="24"/>
          <w:highlight w:val="none"/>
          <w14:textFill>
            <w14:solidFill>
              <w14:schemeClr w14:val="tx1"/>
            </w14:solidFill>
          </w14:textFill>
        </w:rPr>
        <w:t>2、评价范围</w:t>
      </w:r>
    </w:p>
    <w:p w14:paraId="6346F949">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kern w:val="0"/>
          <w:sz w:val="24"/>
          <w:highlight w:val="none"/>
          <w14:textFill>
            <w14:solidFill>
              <w14:schemeClr w14:val="tx1"/>
            </w14:solidFill>
          </w14:textFill>
        </w:rPr>
        <w:t>根据《环境影响评价技术导则 输变电》</w:t>
      </w:r>
      <w:r>
        <w:rPr>
          <w:rFonts w:ascii="Times New Roman" w:hAnsi="Times New Roman" w:eastAsia="宋体"/>
          <w:bCs/>
          <w:color w:val="000000" w:themeColor="text1"/>
          <w:spacing w:val="0"/>
          <w:sz w:val="24"/>
          <w:highlight w:val="none"/>
          <w14:textFill>
            <w14:solidFill>
              <w14:schemeClr w14:val="tx1"/>
            </w14:solidFill>
          </w14:textFill>
        </w:rPr>
        <w:t>（HJ24-2020）</w:t>
      </w:r>
      <w:r>
        <w:rPr>
          <w:rFonts w:ascii="Times New Roman" w:hAnsi="Times New Roman" w:eastAsia="宋体"/>
          <w:bCs/>
          <w:color w:val="000000" w:themeColor="text1"/>
          <w:spacing w:val="0"/>
          <w:kern w:val="0"/>
          <w:sz w:val="24"/>
          <w:highlight w:val="none"/>
          <w14:textFill>
            <w14:solidFill>
              <w14:schemeClr w14:val="tx1"/>
            </w14:solidFill>
          </w14:textFill>
        </w:rPr>
        <w:t>要求，确定</w:t>
      </w:r>
      <w:r>
        <w:rPr>
          <w:rFonts w:ascii="Times New Roman" w:hAnsi="Times New Roman" w:eastAsia="宋体"/>
          <w:color w:val="000000" w:themeColor="text1"/>
          <w:spacing w:val="0"/>
          <w:sz w:val="24"/>
          <w:highlight w:val="none"/>
          <w14:textFill>
            <w14:solidFill>
              <w14:schemeClr w14:val="tx1"/>
            </w14:solidFill>
          </w14:textFill>
        </w:rPr>
        <w:t>110kV变电站</w:t>
      </w:r>
      <w:r>
        <w:rPr>
          <w:rFonts w:ascii="Times New Roman" w:hAnsi="Times New Roman" w:eastAsia="宋体"/>
          <w:color w:val="000000" w:themeColor="text1"/>
          <w:spacing w:val="0"/>
          <w:kern w:val="0"/>
          <w:sz w:val="24"/>
          <w:highlight w:val="none"/>
          <w14:textFill>
            <w14:solidFill>
              <w14:schemeClr w14:val="tx1"/>
            </w14:solidFill>
          </w14:textFill>
        </w:rPr>
        <w:t>为站界外30m内</w:t>
      </w:r>
      <w:r>
        <w:rPr>
          <w:rFonts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110kV</w:t>
      </w:r>
      <w:r>
        <w:rPr>
          <w:rFonts w:ascii="Times New Roman" w:hAnsi="Times New Roman" w:eastAsia="宋体"/>
          <w:color w:val="000000" w:themeColor="text1"/>
          <w:spacing w:val="0"/>
          <w:sz w:val="24"/>
          <w:highlight w:val="none"/>
          <w14:textFill>
            <w14:solidFill>
              <w14:schemeClr w14:val="tx1"/>
            </w14:solidFill>
          </w14:textFill>
        </w:rPr>
        <w:t>架空线路为边导线地面投影外两侧各30m；地下电缆线路为管廊两侧边缘各外延5m（水平距离）。</w:t>
      </w:r>
    </w:p>
    <w:p w14:paraId="34D65E88">
      <w:pPr>
        <w:spacing w:line="360" w:lineRule="auto"/>
        <w:ind w:firstLine="482" w:firstLineChars="200"/>
        <w:outlineLvl w:val="9"/>
        <w:rPr>
          <w:rFonts w:ascii="Times New Roman" w:hAnsi="Times New Roman" w:eastAsia="宋体"/>
          <w:b/>
          <w:color w:val="000000" w:themeColor="text1"/>
          <w:spacing w:val="0"/>
          <w:kern w:val="0"/>
          <w:sz w:val="24"/>
          <w:highlight w:val="none"/>
          <w14:textFill>
            <w14:solidFill>
              <w14:schemeClr w14:val="tx1"/>
            </w14:solidFill>
          </w14:textFill>
        </w:rPr>
      </w:pPr>
      <w:r>
        <w:rPr>
          <w:rFonts w:ascii="Times New Roman" w:hAnsi="Times New Roman" w:eastAsia="宋体"/>
          <w:b/>
          <w:color w:val="000000" w:themeColor="text1"/>
          <w:spacing w:val="0"/>
          <w:kern w:val="0"/>
          <w:sz w:val="24"/>
          <w:highlight w:val="none"/>
          <w14:textFill>
            <w14:solidFill>
              <w14:schemeClr w14:val="tx1"/>
            </w14:solidFill>
          </w14:textFill>
        </w:rPr>
        <w:t>四、电磁环境敏感目标</w:t>
      </w:r>
    </w:p>
    <w:p w14:paraId="1EF55F4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本项目评价范围内</w:t>
      </w:r>
      <w:r>
        <w:rPr>
          <w:rFonts w:ascii="Times New Roman" w:hAnsi="Times New Roman" w:eastAsia="宋体"/>
          <w:color w:val="000000" w:themeColor="text1"/>
          <w:spacing w:val="0"/>
          <w:sz w:val="24"/>
          <w:highlight w:val="none"/>
          <w14:textFill>
            <w14:solidFill>
              <w14:schemeClr w14:val="tx1"/>
            </w14:solidFill>
          </w14:textFill>
        </w:rPr>
        <w:t>电磁环境敏感目标详见</w:t>
      </w:r>
      <w:r>
        <w:rPr>
          <w:rFonts w:hint="eastAsia" w:ascii="Times New Roman" w:hAnsi="Times New Roman" w:eastAsia="宋体"/>
          <w:b/>
          <w:bCs/>
          <w:color w:val="000000" w:themeColor="text1"/>
          <w:spacing w:val="0"/>
          <w:sz w:val="24"/>
          <w:highlight w:val="none"/>
          <w14:textFill>
            <w14:solidFill>
              <w14:schemeClr w14:val="tx1"/>
            </w14:solidFill>
          </w14:textFill>
        </w:rPr>
        <w:t>“</w:t>
      </w:r>
      <w:r>
        <w:rPr>
          <w:rFonts w:ascii="Times New Roman" w:hAnsi="Times New Roman" w:eastAsia="宋体"/>
          <w:b/>
          <w:bCs/>
          <w:color w:val="000000" w:themeColor="text1"/>
          <w:spacing w:val="0"/>
          <w:sz w:val="24"/>
          <w:highlight w:val="none"/>
          <w14:textFill>
            <w14:solidFill>
              <w14:schemeClr w14:val="tx1"/>
            </w14:solidFill>
          </w14:textFill>
        </w:rPr>
        <w:t>三、生态环境现状、保护目标及评价标准章节中生态环境保护目标小节</w:t>
      </w:r>
      <w:r>
        <w:rPr>
          <w:rFonts w:hint="eastAsia" w:ascii="Times New Roman" w:hAnsi="Times New Roman" w:eastAsia="宋体"/>
          <w:b/>
          <w:bCs/>
          <w:color w:val="000000" w:themeColor="text1"/>
          <w:spacing w:val="0"/>
          <w:sz w:val="24"/>
          <w:highlight w:val="none"/>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w:t>
      </w:r>
    </w:p>
    <w:p w14:paraId="4655C2EC">
      <w:pPr>
        <w:spacing w:line="360" w:lineRule="auto"/>
        <w:ind w:firstLine="482" w:firstLineChars="200"/>
        <w:outlineLvl w:val="9"/>
        <w:rPr>
          <w:rFonts w:ascii="Times New Roman" w:hAnsi="Times New Roman" w:eastAsia="宋体"/>
          <w:b/>
          <w:color w:val="000000" w:themeColor="text1"/>
          <w:spacing w:val="0"/>
          <w:kern w:val="0"/>
          <w:sz w:val="24"/>
          <w:highlight w:val="none"/>
          <w14:textFill>
            <w14:solidFill>
              <w14:schemeClr w14:val="tx1"/>
            </w14:solidFill>
          </w14:textFill>
        </w:rPr>
      </w:pPr>
      <w:r>
        <w:rPr>
          <w:rFonts w:ascii="Times New Roman" w:hAnsi="Times New Roman" w:eastAsia="宋体"/>
          <w:b/>
          <w:color w:val="000000" w:themeColor="text1"/>
          <w:spacing w:val="0"/>
          <w:kern w:val="0"/>
          <w:sz w:val="24"/>
          <w:highlight w:val="none"/>
          <w14:textFill>
            <w14:solidFill>
              <w14:schemeClr w14:val="tx1"/>
            </w14:solidFill>
          </w14:textFill>
        </w:rPr>
        <w:t>五、电磁环境现状评价</w:t>
      </w:r>
    </w:p>
    <w:p w14:paraId="6323A92E">
      <w:pPr>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为了解本项目运行前的电磁环境质量现状，</w:t>
      </w:r>
      <w:r>
        <w:rPr>
          <w:rFonts w:ascii="Times New Roman" w:hAnsi="Times New Roman" w:eastAsia="宋体"/>
          <w:color w:val="000000" w:themeColor="text1"/>
          <w:spacing w:val="0"/>
          <w:sz w:val="24"/>
          <w:highlight w:val="none"/>
          <w14:textFill>
            <w14:solidFill>
              <w14:schemeClr w14:val="tx1"/>
            </w14:solidFill>
          </w14:textFill>
        </w:rPr>
        <w:t>我单位委托</w:t>
      </w:r>
      <w:r>
        <w:rPr>
          <w:rFonts w:hint="eastAsia" w:ascii="Times New Roman" w:hAnsi="Times New Roman" w:eastAsia="宋体"/>
          <w:color w:val="000000" w:themeColor="text1"/>
          <w:spacing w:val="0"/>
          <w:sz w:val="24"/>
          <w:highlight w:val="none"/>
          <w14:textFill>
            <w14:solidFill>
              <w14:schemeClr w14:val="tx1"/>
            </w14:solidFill>
          </w14:textFill>
        </w:rPr>
        <w:t>长润安测科技有限公司</w:t>
      </w:r>
      <w:r>
        <w:rPr>
          <w:rFonts w:ascii="Times New Roman" w:hAnsi="Times New Roman" w:eastAsia="宋体"/>
          <w:color w:val="000000" w:themeColor="text1"/>
          <w:spacing w:val="0"/>
          <w:sz w:val="24"/>
          <w:highlight w:val="none"/>
          <w14:textFill>
            <w14:solidFill>
              <w14:schemeClr w14:val="tx1"/>
            </w14:solidFill>
          </w14:textFill>
        </w:rPr>
        <w:t>于</w:t>
      </w:r>
      <w:r>
        <w:rPr>
          <w:rFonts w:hint="eastAsia" w:ascii="Times New Roman" w:hAnsi="Times New Roman" w:eastAsia="宋体"/>
          <w:color w:val="000000" w:themeColor="text1"/>
          <w:spacing w:val="0"/>
          <w:sz w:val="24"/>
          <w:highlight w:val="none"/>
          <w14:textFill>
            <w14:solidFill>
              <w14:schemeClr w14:val="tx1"/>
            </w14:solidFill>
          </w14:textFill>
        </w:rPr>
        <w:t>2025年12月1</w:t>
      </w:r>
      <w:r>
        <w:rPr>
          <w:rFonts w:hint="eastAsia"/>
          <w:color w:val="000000" w:themeColor="text1"/>
          <w:spacing w:val="0"/>
          <w:sz w:val="24"/>
          <w:highlight w:val="none"/>
          <w:lang w:val="en-US" w:eastAsia="zh-CN"/>
          <w14:textFill>
            <w14:solidFill>
              <w14:schemeClr w14:val="tx1"/>
            </w14:solidFill>
          </w14:textFill>
        </w:rPr>
        <w:t>3</w:t>
      </w:r>
      <w:r>
        <w:rPr>
          <w:rFonts w:hint="eastAsia" w:ascii="Times New Roman" w:hAnsi="Times New Roman" w:eastAsia="宋体"/>
          <w:color w:val="000000" w:themeColor="text1"/>
          <w:spacing w:val="0"/>
          <w:sz w:val="24"/>
          <w:highlight w:val="none"/>
          <w14:textFill>
            <w14:solidFill>
              <w14:schemeClr w14:val="tx1"/>
            </w14:solidFill>
          </w14:textFill>
        </w:rPr>
        <w:t>日</w:t>
      </w:r>
      <w:r>
        <w:rPr>
          <w:rFonts w:ascii="Times New Roman" w:hAnsi="Times New Roman" w:eastAsia="宋体"/>
          <w:color w:val="000000" w:themeColor="text1"/>
          <w:spacing w:val="0"/>
          <w:sz w:val="24"/>
          <w:highlight w:val="none"/>
          <w14:textFill>
            <w14:solidFill>
              <w14:schemeClr w14:val="tx1"/>
            </w14:solidFill>
          </w14:textFill>
        </w:rPr>
        <w:t>对项目周边的电磁环境进行了现状监测，具体详见附件</w:t>
      </w:r>
      <w:r>
        <w:rPr>
          <w:rFonts w:hint="eastAsia" w:ascii="Times New Roman" w:hAnsi="Times New Roman" w:eastAsia="宋体"/>
          <w:color w:val="000000" w:themeColor="text1"/>
          <w:spacing w:val="0"/>
          <w:sz w:val="24"/>
          <w:highlight w:val="none"/>
          <w14:textFill>
            <w14:solidFill>
              <w14:schemeClr w14:val="tx1"/>
            </w14:solidFill>
          </w14:textFill>
        </w:rPr>
        <w:t>5</w:t>
      </w:r>
      <w:r>
        <w:rPr>
          <w:rFonts w:ascii="Times New Roman" w:hAnsi="Times New Roman" w:eastAsia="宋体"/>
          <w:color w:val="000000" w:themeColor="text1"/>
          <w:spacing w:val="0"/>
          <w:sz w:val="24"/>
          <w:highlight w:val="none"/>
          <w14:textFill>
            <w14:solidFill>
              <w14:schemeClr w14:val="tx1"/>
            </w14:solidFill>
          </w14:textFill>
        </w:rPr>
        <w:t>。</w:t>
      </w:r>
    </w:p>
    <w:p w14:paraId="6A1E348E">
      <w:pPr>
        <w:spacing w:line="360" w:lineRule="auto"/>
        <w:ind w:firstLine="482" w:firstLineChars="200"/>
        <w:outlineLvl w:val="9"/>
        <w:rPr>
          <w:rFonts w:ascii="Times New Roman" w:hAnsi="Times New Roman" w:eastAsia="宋体"/>
          <w:b/>
          <w:bCs/>
          <w:color w:val="000000" w:themeColor="text1"/>
          <w:spacing w:val="0"/>
          <w:sz w:val="24"/>
          <w:szCs w:val="22"/>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1、监测项目</w:t>
      </w:r>
    </w:p>
    <w:p w14:paraId="23D32C8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测量离地1.5m高度处的工频电场强度、工频磁感应强度。</w:t>
      </w:r>
    </w:p>
    <w:p w14:paraId="776074C2">
      <w:pPr>
        <w:spacing w:line="360" w:lineRule="auto"/>
        <w:ind w:firstLine="472" w:firstLineChars="196"/>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2、监测方法</w:t>
      </w:r>
    </w:p>
    <w:p w14:paraId="4A6C3362">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监测方法严格按《交流输变电工程电磁环境监测方法》（试行）（HJ681-2013）进行监测。</w:t>
      </w:r>
    </w:p>
    <w:p w14:paraId="33FC08A6">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3、监测仪器</w:t>
      </w:r>
    </w:p>
    <w:p w14:paraId="66E49E2C">
      <w:pPr>
        <w:adjustRightInd w:val="0"/>
        <w:snapToGrid w:val="0"/>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olor w:val="000000" w:themeColor="text1"/>
          <w:spacing w:val="0"/>
          <w:kern w:val="0"/>
          <w:sz w:val="24"/>
          <w:highlight w:val="none"/>
          <w14:textFill>
            <w14:solidFill>
              <w14:schemeClr w14:val="tx1"/>
            </w14:solidFill>
          </w14:textFill>
        </w:rPr>
        <w:t>工频电场、工频磁场</w:t>
      </w:r>
      <w:r>
        <w:rPr>
          <w:rFonts w:ascii="Times New Roman" w:hAnsi="Times New Roman" w:eastAsia="宋体"/>
          <w:color w:val="000000" w:themeColor="text1"/>
          <w:spacing w:val="0"/>
          <w:kern w:val="0"/>
          <w:sz w:val="24"/>
          <w:highlight w:val="none"/>
          <w14:textFill>
            <w14:solidFill>
              <w14:schemeClr w14:val="tx1"/>
            </w14:solidFill>
          </w14:textFill>
        </w:rPr>
        <w:t>监测仪器见</w:t>
      </w:r>
      <w:r>
        <w:rPr>
          <w:rFonts w:hint="eastAsia" w:ascii="Times New Roman" w:hAnsi="Times New Roman" w:eastAsia="宋体"/>
          <w:color w:val="000000" w:themeColor="text1"/>
          <w:spacing w:val="0"/>
          <w:kern w:val="0"/>
          <w:sz w:val="24"/>
          <w:highlight w:val="none"/>
          <w14:textFill>
            <w14:solidFill>
              <w14:schemeClr w14:val="tx1"/>
            </w14:solidFill>
          </w14:textFill>
        </w:rPr>
        <w:t>专题表1</w:t>
      </w:r>
      <w:r>
        <w:rPr>
          <w:rFonts w:ascii="Times New Roman" w:hAnsi="Times New Roman" w:eastAsia="宋体"/>
          <w:color w:val="000000" w:themeColor="text1"/>
          <w:spacing w:val="0"/>
          <w:kern w:val="0"/>
          <w:sz w:val="24"/>
          <w:highlight w:val="none"/>
          <w14:textFill>
            <w14:solidFill>
              <w14:schemeClr w14:val="tx1"/>
            </w14:solidFill>
          </w14:textFill>
        </w:rPr>
        <w:t>。</w:t>
      </w:r>
    </w:p>
    <w:p w14:paraId="6B94DDF7">
      <w:pPr>
        <w:adjustRightInd w:val="0"/>
        <w:snapToGrid w:val="0"/>
        <w:spacing w:line="360" w:lineRule="auto"/>
        <w:ind w:firstLine="482" w:firstLineChars="200"/>
        <w:jc w:val="center"/>
        <w:outlineLvl w:val="9"/>
        <w:rPr>
          <w:rFonts w:ascii="Times New Roman" w:hAnsi="Times New Roman" w:eastAsia="宋体"/>
          <w:b/>
          <w:bCs/>
          <w:color w:val="000000" w:themeColor="text1"/>
          <w:spacing w:val="0"/>
          <w:kern w:val="0"/>
          <w:sz w:val="24"/>
          <w:highlight w:val="none"/>
          <w14:textFill>
            <w14:solidFill>
              <w14:schemeClr w14:val="tx1"/>
            </w14:solidFill>
          </w14:textFill>
        </w:rPr>
      </w:pPr>
      <w:r>
        <w:rPr>
          <w:rFonts w:hint="eastAsia" w:ascii="Times New Roman" w:hAnsi="Times New Roman" w:eastAsia="宋体"/>
          <w:b/>
          <w:bCs/>
          <w:color w:val="000000" w:themeColor="text1"/>
          <w:spacing w:val="0"/>
          <w:kern w:val="0"/>
          <w:sz w:val="24"/>
          <w:highlight w:val="none"/>
          <w14:textFill>
            <w14:solidFill>
              <w14:schemeClr w14:val="tx1"/>
            </w14:solidFill>
          </w14:textFill>
        </w:rPr>
        <w:t>专题表1</w:t>
      </w:r>
      <w:r>
        <w:rPr>
          <w:rFonts w:ascii="Times New Roman" w:hAnsi="Times New Roman" w:eastAsia="宋体"/>
          <w:b/>
          <w:bCs/>
          <w:color w:val="000000" w:themeColor="text1"/>
          <w:spacing w:val="0"/>
          <w:kern w:val="0"/>
          <w:sz w:val="24"/>
          <w:highlight w:val="none"/>
          <w14:textFill>
            <w14:solidFill>
              <w14:schemeClr w14:val="tx1"/>
            </w14:solidFill>
          </w14:textFill>
        </w:rPr>
        <w:t xml:space="preserve">  监测仪器一览表</w:t>
      </w:r>
    </w:p>
    <w:tbl>
      <w:tblPr>
        <w:tblStyle w:val="26"/>
        <w:tblW w:w="525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350"/>
        <w:gridCol w:w="1459"/>
        <w:gridCol w:w="3340"/>
      </w:tblGrid>
      <w:tr w14:paraId="3AE2A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009" w:type="pct"/>
            <w:tcBorders>
              <w:tl2br w:val="nil"/>
              <w:tr2bl w:val="nil"/>
            </w:tcBorders>
            <w:shd w:val="clear" w:color="auto" w:fill="FFFFFF"/>
            <w:noWrap w:val="0"/>
            <w:vAlign w:val="center"/>
          </w:tcPr>
          <w:p w14:paraId="4C40C7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仪器名称及型号</w:t>
            </w:r>
          </w:p>
        </w:tc>
        <w:tc>
          <w:tcPr>
            <w:tcW w:w="1311" w:type="pct"/>
            <w:tcBorders>
              <w:tl2br w:val="nil"/>
              <w:tr2bl w:val="nil"/>
            </w:tcBorders>
            <w:shd w:val="clear" w:color="auto" w:fill="FFFFFF"/>
            <w:noWrap w:val="0"/>
            <w:vAlign w:val="center"/>
          </w:tcPr>
          <w:p w14:paraId="051FE4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测量范围</w:t>
            </w:r>
          </w:p>
        </w:tc>
        <w:tc>
          <w:tcPr>
            <w:tcW w:w="814" w:type="pct"/>
            <w:tcBorders>
              <w:tl2br w:val="nil"/>
              <w:tr2bl w:val="nil"/>
            </w:tcBorders>
            <w:shd w:val="clear" w:color="auto" w:fill="FFFFFF"/>
            <w:noWrap w:val="0"/>
            <w:vAlign w:val="center"/>
          </w:tcPr>
          <w:p w14:paraId="30CDDB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生产厂家</w:t>
            </w:r>
          </w:p>
        </w:tc>
        <w:tc>
          <w:tcPr>
            <w:tcW w:w="1864" w:type="pct"/>
            <w:tcBorders>
              <w:tl2br w:val="nil"/>
              <w:tr2bl w:val="nil"/>
            </w:tcBorders>
            <w:shd w:val="clear" w:color="auto" w:fill="FFFFFF"/>
            <w:noWrap w:val="0"/>
            <w:vAlign w:val="center"/>
          </w:tcPr>
          <w:p w14:paraId="48C51A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检定与校准</w:t>
            </w:r>
          </w:p>
        </w:tc>
      </w:tr>
      <w:tr w14:paraId="74587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009" w:type="pct"/>
            <w:tcBorders>
              <w:tl2br w:val="nil"/>
              <w:tr2bl w:val="nil"/>
            </w:tcBorders>
            <w:shd w:val="clear" w:color="auto" w:fill="FFFFFF"/>
            <w:noWrap w:val="0"/>
            <w:vAlign w:val="center"/>
          </w:tcPr>
          <w:p w14:paraId="58E74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SEM-600</w:t>
            </w:r>
          </w:p>
          <w:p w14:paraId="396C8E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LF-01</w:t>
            </w:r>
            <w:r>
              <w:rPr>
                <w:rFonts w:hint="eastAsia" w:ascii="Times New Roman" w:hAnsi="Times New Roman" w:eastAsia="宋体"/>
                <w:b w:val="0"/>
                <w:bCs/>
                <w:color w:val="000000" w:themeColor="text1"/>
                <w:spacing w:val="0"/>
                <w:sz w:val="21"/>
                <w:szCs w:val="21"/>
                <w14:textFill>
                  <w14:solidFill>
                    <w14:schemeClr w14:val="tx1"/>
                  </w14:solidFill>
                </w14:textFill>
              </w:rPr>
              <w:t>D</w:t>
            </w:r>
          </w:p>
          <w:p w14:paraId="388E71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电磁</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场</w:t>
            </w:r>
            <w:r>
              <w:rPr>
                <w:rFonts w:ascii="Times New Roman" w:hAnsi="Times New Roman" w:eastAsia="宋体"/>
                <w:b w:val="0"/>
                <w:bCs/>
                <w:color w:val="000000" w:themeColor="text1"/>
                <w:spacing w:val="0"/>
                <w:sz w:val="21"/>
                <w:szCs w:val="21"/>
                <w14:textFill>
                  <w14:solidFill>
                    <w14:schemeClr w14:val="tx1"/>
                  </w14:solidFill>
                </w14:textFill>
              </w:rPr>
              <w:t>探头和读出装置</w:t>
            </w:r>
          </w:p>
        </w:tc>
        <w:tc>
          <w:tcPr>
            <w:tcW w:w="1311" w:type="pct"/>
            <w:tcBorders>
              <w:tl2br w:val="nil"/>
              <w:tr2bl w:val="nil"/>
            </w:tcBorders>
            <w:shd w:val="clear" w:color="auto" w:fill="FFFFFF"/>
            <w:noWrap w:val="0"/>
            <w:vAlign w:val="center"/>
          </w:tcPr>
          <w:p w14:paraId="73E928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color w:val="000000" w:themeColor="text1"/>
                <w:spacing w:val="0"/>
                <w:sz w:val="21"/>
                <w:szCs w:val="21"/>
                <w:lang w:eastAsia="zh-CN"/>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工频电</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场</w:t>
            </w:r>
          </w:p>
          <w:p w14:paraId="211259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w:t>
            </w:r>
            <w:r>
              <w:rPr>
                <w:rFonts w:ascii="Times New Roman" w:hAnsi="Times New Roman" w:eastAsia="宋体"/>
                <w:b w:val="0"/>
                <w:bCs/>
                <w:color w:val="000000" w:themeColor="text1"/>
                <w:spacing w:val="0"/>
                <w:sz w:val="21"/>
                <w:szCs w:val="21"/>
                <w14:textFill>
                  <w14:solidFill>
                    <w14:schemeClr w14:val="tx1"/>
                  </w14:solidFill>
                </w14:textFill>
              </w:rPr>
              <w:t>0.</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01</w:t>
            </w:r>
            <w:r>
              <w:rPr>
                <w:rFonts w:ascii="Times New Roman" w:hAnsi="Times New Roman" w:eastAsia="宋体"/>
                <w:b w:val="0"/>
                <w:bCs/>
                <w:color w:val="000000" w:themeColor="text1"/>
                <w:spacing w:val="0"/>
                <w:sz w:val="21"/>
                <w:szCs w:val="21"/>
                <w14:textFill>
                  <w14:solidFill>
                    <w14:schemeClr w14:val="tx1"/>
                  </w14:solidFill>
                </w14:textFill>
              </w:rPr>
              <w:t>V/m~100kV/m</w:t>
            </w:r>
            <w:r>
              <w:rPr>
                <w:rFonts w:hint="eastAsia" w:ascii="Times New Roman" w:hAnsi="Times New Roman" w:eastAsia="宋体"/>
                <w:b w:val="0"/>
                <w:bCs/>
                <w:color w:val="000000" w:themeColor="text1"/>
                <w:spacing w:val="0"/>
                <w:sz w:val="21"/>
                <w:szCs w:val="21"/>
                <w14:textFill>
                  <w14:solidFill>
                    <w14:schemeClr w14:val="tx1"/>
                  </w14:solidFill>
                </w14:textFill>
              </w:rPr>
              <w:t>)</w:t>
            </w:r>
          </w:p>
          <w:p w14:paraId="051D69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color w:val="000000" w:themeColor="text1"/>
                <w:spacing w:val="0"/>
                <w:sz w:val="21"/>
                <w:szCs w:val="21"/>
                <w:lang w:eastAsia="zh-CN"/>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工频磁</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场</w:t>
            </w:r>
          </w:p>
          <w:p w14:paraId="658BDB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（10nT~3mT）</w:t>
            </w:r>
          </w:p>
        </w:tc>
        <w:tc>
          <w:tcPr>
            <w:tcW w:w="814" w:type="pct"/>
            <w:tcBorders>
              <w:tl2br w:val="nil"/>
              <w:tr2bl w:val="nil"/>
            </w:tcBorders>
            <w:shd w:val="clear" w:color="auto" w:fill="FFFFFF"/>
            <w:noWrap w:val="0"/>
            <w:vAlign w:val="center"/>
          </w:tcPr>
          <w:p w14:paraId="42761E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北京森馥科技股份有限公司</w:t>
            </w:r>
          </w:p>
        </w:tc>
        <w:tc>
          <w:tcPr>
            <w:tcW w:w="1864" w:type="pct"/>
            <w:tcBorders>
              <w:tl2br w:val="nil"/>
              <w:tr2bl w:val="nil"/>
            </w:tcBorders>
            <w:shd w:val="clear" w:color="auto" w:fill="FFFFFF"/>
            <w:noWrap w:val="0"/>
            <w:vAlign w:val="center"/>
          </w:tcPr>
          <w:p w14:paraId="35E5CC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出厂编号：</w:t>
            </w:r>
            <w:r>
              <w:rPr>
                <w:rFonts w:hint="eastAsia" w:ascii="Times New Roman" w:hAnsi="Times New Roman" w:eastAsia="宋体"/>
                <w:b w:val="0"/>
                <w:bCs/>
                <w:color w:val="000000" w:themeColor="text1"/>
                <w:spacing w:val="0"/>
                <w:sz w:val="21"/>
                <w:szCs w:val="21"/>
                <w14:textFill>
                  <w14:solidFill>
                    <w14:schemeClr w14:val="tx1"/>
                  </w14:solidFill>
                </w14:textFill>
              </w:rPr>
              <w:t>G</w:t>
            </w:r>
            <w:r>
              <w:rPr>
                <w:rFonts w:ascii="Times New Roman" w:hAnsi="Times New Roman" w:eastAsia="宋体"/>
                <w:b w:val="0"/>
                <w:bCs/>
                <w:color w:val="000000" w:themeColor="text1"/>
                <w:spacing w:val="0"/>
                <w:sz w:val="21"/>
                <w:szCs w:val="21"/>
                <w14:textFill>
                  <w14:solidFill>
                    <w14:schemeClr w14:val="tx1"/>
                  </w14:solidFill>
                </w14:textFill>
              </w:rPr>
              <w:t>-</w:t>
            </w:r>
            <w:r>
              <w:rPr>
                <w:rFonts w:hint="eastAsia" w:ascii="Times New Roman" w:hAnsi="Times New Roman" w:eastAsia="宋体"/>
                <w:b w:val="0"/>
                <w:bCs/>
                <w:color w:val="000000" w:themeColor="text1"/>
                <w:spacing w:val="0"/>
                <w:sz w:val="21"/>
                <w:szCs w:val="21"/>
                <w14:textFill>
                  <w14:solidFill>
                    <w14:schemeClr w14:val="tx1"/>
                  </w14:solidFill>
                </w14:textFill>
              </w:rPr>
              <w:t>2</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437</w:t>
            </w:r>
            <w:r>
              <w:rPr>
                <w:rFonts w:ascii="Times New Roman" w:hAnsi="Times New Roman" w:eastAsia="宋体"/>
                <w:b w:val="0"/>
                <w:bCs/>
                <w:color w:val="000000" w:themeColor="text1"/>
                <w:spacing w:val="0"/>
                <w:sz w:val="21"/>
                <w:szCs w:val="21"/>
                <w14:textFill>
                  <w14:solidFill>
                    <w14:schemeClr w14:val="tx1"/>
                  </w14:solidFill>
                </w14:textFill>
              </w:rPr>
              <w:t>/</w:t>
            </w:r>
            <w:r>
              <w:rPr>
                <w:rFonts w:hint="eastAsia" w:ascii="Times New Roman" w:hAnsi="Times New Roman" w:eastAsia="宋体"/>
                <w:b w:val="0"/>
                <w:bCs/>
                <w:color w:val="000000" w:themeColor="text1"/>
                <w:spacing w:val="0"/>
                <w:sz w:val="21"/>
                <w:szCs w:val="21"/>
                <w14:textFill>
                  <w14:solidFill>
                    <w14:schemeClr w14:val="tx1"/>
                  </w14:solidFill>
                </w14:textFill>
              </w:rPr>
              <w:t>D</w:t>
            </w:r>
            <w:r>
              <w:rPr>
                <w:rFonts w:ascii="Times New Roman" w:hAnsi="Times New Roman" w:eastAsia="宋体"/>
                <w:b w:val="0"/>
                <w:bCs/>
                <w:color w:val="000000" w:themeColor="text1"/>
                <w:spacing w:val="0"/>
                <w:sz w:val="21"/>
                <w:szCs w:val="21"/>
                <w14:textFill>
                  <w14:solidFill>
                    <w14:schemeClr w14:val="tx1"/>
                  </w14:solidFill>
                </w14:textFill>
              </w:rPr>
              <w:t>-</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247</w:t>
            </w:r>
            <w:r>
              <w:rPr>
                <w:rFonts w:hint="eastAsia" w:ascii="Times New Roman" w:hAnsi="Times New Roman" w:eastAsia="宋体"/>
                <w:b w:val="0"/>
                <w:bCs/>
                <w:color w:val="000000" w:themeColor="text1"/>
                <w:spacing w:val="0"/>
                <w:sz w:val="21"/>
                <w:szCs w:val="21"/>
                <w14:textFill>
                  <w14:solidFill>
                    <w14:schemeClr w14:val="tx1"/>
                  </w14:solidFill>
                </w14:textFill>
              </w:rPr>
              <w:t>8</w:t>
            </w:r>
          </w:p>
          <w:p w14:paraId="4B2270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color w:val="000000" w:themeColor="text1"/>
                <w:spacing w:val="0"/>
                <w:sz w:val="21"/>
                <w:szCs w:val="21"/>
                <w:lang w:val="en-US"/>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设备编号：</w:t>
            </w:r>
            <w:r>
              <w:rPr>
                <w:rFonts w:hint="eastAsia" w:ascii="Times New Roman" w:hAnsi="Times New Roman" w:eastAsia="宋体" w:cs="Times New Roman"/>
                <w:b w:val="0"/>
                <w:bCs/>
                <w:color w:val="000000" w:themeColor="text1"/>
                <w:spacing w:val="0"/>
                <w:sz w:val="21"/>
                <w:szCs w:val="21"/>
                <w:lang w:val="en-US" w:eastAsia="zh-CN"/>
                <w14:textFill>
                  <w14:solidFill>
                    <w14:schemeClr w14:val="tx1"/>
                  </w14:solidFill>
                </w14:textFill>
              </w:rPr>
              <w:t>LB-YQ-OO1</w:t>
            </w:r>
          </w:p>
          <w:p w14:paraId="4B7B53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ascii="Times New Roman" w:hAnsi="Times New Roman" w:eastAsia="宋体"/>
                <w:b w:val="0"/>
                <w:bCs/>
                <w:color w:val="000000" w:themeColor="text1"/>
                <w:spacing w:val="0"/>
                <w:sz w:val="21"/>
                <w:szCs w:val="21"/>
                <w14:textFill>
                  <w14:solidFill>
                    <w14:schemeClr w14:val="tx1"/>
                  </w14:solidFill>
                </w14:textFill>
              </w:rPr>
            </w:pPr>
            <w:r>
              <w:rPr>
                <w:rFonts w:ascii="Times New Roman" w:hAnsi="Times New Roman" w:eastAsia="宋体"/>
                <w:b w:val="0"/>
                <w:bCs/>
                <w:color w:val="000000" w:themeColor="text1"/>
                <w:spacing w:val="0"/>
                <w:sz w:val="21"/>
                <w:szCs w:val="21"/>
                <w14:textFill>
                  <w14:solidFill>
                    <w14:schemeClr w14:val="tx1"/>
                  </w14:solidFill>
                </w14:textFill>
              </w:rPr>
              <w:t>检定单位：</w:t>
            </w:r>
          </w:p>
          <w:p w14:paraId="24EFEC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b w:val="0"/>
                <w:bCs/>
                <w:color w:val="000000" w:themeColor="text1"/>
                <w:spacing w:val="0"/>
                <w:sz w:val="21"/>
                <w:szCs w:val="21"/>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华东国家计量测试中心</w:t>
            </w:r>
          </w:p>
          <w:p w14:paraId="551BA1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检定证书号：WWD202507158</w:t>
            </w:r>
          </w:p>
          <w:p w14:paraId="0B5F1BF2">
            <w:pPr>
              <w:pStyle w:val="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b w:val="0"/>
                <w:bCs/>
                <w:color w:val="000000" w:themeColor="text1"/>
                <w:spacing w:val="0"/>
                <w:sz w:val="21"/>
                <w:szCs w:val="21"/>
                <w14:textFill>
                  <w14:solidFill>
                    <w14:schemeClr w14:val="tx1"/>
                  </w14:solidFill>
                </w14:textFill>
              </w:rPr>
              <w:t>有效期：202</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5</w:t>
            </w:r>
            <w:r>
              <w:rPr>
                <w:rFonts w:hint="eastAsia" w:ascii="Times New Roman" w:hAnsi="Times New Roman" w:eastAsia="宋体"/>
                <w:b w:val="0"/>
                <w:bCs/>
                <w:color w:val="000000" w:themeColor="text1"/>
                <w:spacing w:val="0"/>
                <w:sz w:val="21"/>
                <w:szCs w:val="21"/>
                <w14:textFill>
                  <w14:solidFill>
                    <w14:schemeClr w14:val="tx1"/>
                  </w14:solidFill>
                </w14:textFill>
              </w:rPr>
              <w:t>.</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5</w:t>
            </w:r>
            <w:r>
              <w:rPr>
                <w:rFonts w:hint="eastAsia" w:ascii="Times New Roman" w:hAnsi="Times New Roman" w:eastAsia="宋体"/>
                <w:b w:val="0"/>
                <w:bCs/>
                <w:color w:val="000000" w:themeColor="text1"/>
                <w:spacing w:val="0"/>
                <w:sz w:val="21"/>
                <w:szCs w:val="21"/>
                <w14:textFill>
                  <w14:solidFill>
                    <w14:schemeClr w14:val="tx1"/>
                  </w14:solidFill>
                </w14:textFill>
              </w:rPr>
              <w:t>.</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30</w:t>
            </w:r>
            <w:r>
              <w:rPr>
                <w:rFonts w:hint="eastAsia" w:ascii="Times New Roman" w:hAnsi="Times New Roman" w:eastAsia="宋体"/>
                <w:b w:val="0"/>
                <w:bCs/>
                <w:color w:val="000000" w:themeColor="text1"/>
                <w:spacing w:val="0"/>
                <w:sz w:val="21"/>
                <w:szCs w:val="21"/>
                <w14:textFill>
                  <w14:solidFill>
                    <w14:schemeClr w14:val="tx1"/>
                  </w14:solidFill>
                </w14:textFill>
              </w:rPr>
              <w:t>-202</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6</w:t>
            </w:r>
            <w:r>
              <w:rPr>
                <w:rFonts w:hint="eastAsia" w:ascii="Times New Roman" w:hAnsi="Times New Roman" w:eastAsia="宋体"/>
                <w:b w:val="0"/>
                <w:bCs/>
                <w:color w:val="000000" w:themeColor="text1"/>
                <w:spacing w:val="0"/>
                <w:sz w:val="21"/>
                <w:szCs w:val="21"/>
                <w14:textFill>
                  <w14:solidFill>
                    <w14:schemeClr w14:val="tx1"/>
                  </w14:solidFill>
                </w14:textFill>
              </w:rPr>
              <w:t>.</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5</w:t>
            </w:r>
            <w:r>
              <w:rPr>
                <w:rFonts w:hint="eastAsia" w:ascii="Times New Roman" w:hAnsi="Times New Roman" w:eastAsia="宋体"/>
                <w:b w:val="0"/>
                <w:bCs/>
                <w:color w:val="000000" w:themeColor="text1"/>
                <w:spacing w:val="0"/>
                <w:sz w:val="21"/>
                <w:szCs w:val="21"/>
                <w14:textFill>
                  <w14:solidFill>
                    <w14:schemeClr w14:val="tx1"/>
                  </w14:solidFill>
                </w14:textFill>
              </w:rPr>
              <w:t>.</w:t>
            </w:r>
            <w:r>
              <w:rPr>
                <w:rFonts w:hint="eastAsia" w:ascii="Times New Roman" w:hAnsi="Times New Roman" w:eastAsia="宋体"/>
                <w:b w:val="0"/>
                <w:bCs/>
                <w:color w:val="000000" w:themeColor="text1"/>
                <w:spacing w:val="0"/>
                <w:sz w:val="21"/>
                <w:szCs w:val="21"/>
                <w:lang w:val="en-US" w:eastAsia="zh-CN"/>
                <w14:textFill>
                  <w14:solidFill>
                    <w14:schemeClr w14:val="tx1"/>
                  </w14:solidFill>
                </w14:textFill>
              </w:rPr>
              <w:t>29</w:t>
            </w:r>
          </w:p>
        </w:tc>
      </w:tr>
    </w:tbl>
    <w:p w14:paraId="7E6AAA6C">
      <w:pPr>
        <w:spacing w:line="360" w:lineRule="auto"/>
        <w:ind w:firstLine="482" w:firstLineChars="200"/>
        <w:outlineLvl w:val="9"/>
        <w:rPr>
          <w:rFonts w:ascii="Times New Roman" w:hAnsi="Times New Roman" w:eastAsia="宋体"/>
          <w:b/>
          <w:bCs/>
          <w:color w:val="000000" w:themeColor="text1"/>
          <w:spacing w:val="0"/>
          <w:sz w:val="24"/>
          <w:szCs w:val="22"/>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4、监测布点</w:t>
      </w:r>
    </w:p>
    <w:p w14:paraId="5D18FB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按照《环境影响评价技术导则 输变电》（HJ 24-2020）布点。</w:t>
      </w:r>
    </w:p>
    <w:p w14:paraId="4FBA99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pacing w:val="0"/>
          <w:sz w:val="24"/>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①三岔110千伏变电站新建工程：</w:t>
      </w:r>
      <w:r>
        <w:rPr>
          <w:rFonts w:hint="default" w:ascii="Times New Roman" w:hAnsi="Times New Roman" w:eastAsia="宋体" w:cs="Times New Roman"/>
          <w:color w:val="000000" w:themeColor="text1"/>
          <w:spacing w:val="0"/>
          <w:sz w:val="24"/>
          <w14:textFill>
            <w14:solidFill>
              <w14:schemeClr w14:val="tx1"/>
            </w14:solidFill>
          </w14:textFill>
        </w:rPr>
        <w:t>本次监测选择拟建站界四周围墙外</w:t>
      </w:r>
      <w:r>
        <w:rPr>
          <w:rFonts w:hint="eastAsia" w:ascii="Times New Roman" w:hAnsi="Times New Roman" w:eastAsia="宋体" w:cs="Times New Roman"/>
          <w:color w:val="000000" w:themeColor="text1"/>
          <w:spacing w:val="0"/>
          <w:sz w:val="24"/>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14:textFill>
            <w14:solidFill>
              <w14:schemeClr w14:val="tx1"/>
            </w14:solidFill>
          </w14:textFill>
        </w:rPr>
        <w:t>m布设监测点，共布设4个现状监测点。</w:t>
      </w:r>
    </w:p>
    <w:p w14:paraId="7B9899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kern w:val="2"/>
          <w:position w:val="0"/>
          <w:sz w:val="24"/>
          <w:szCs w:val="24"/>
          <w:lang w:val="en-US" w:eastAsia="zh-CN" w:bidi="ar-SA"/>
          <w14:textFill>
            <w14:solidFill>
              <w14:schemeClr w14:val="tx1"/>
            </w14:solidFill>
          </w14:textFill>
        </w:rPr>
        <w:t>②</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申铎线π入三岔变110kV线路工程：</w:t>
      </w:r>
      <w:r>
        <w:rPr>
          <w:rFonts w:ascii="Times New Roman" w:hAnsi="Times New Roman" w:eastAsia="宋体"/>
          <w:color w:val="000000" w:themeColor="text1"/>
          <w:spacing w:val="0"/>
          <w:kern w:val="0"/>
          <w:sz w:val="24"/>
          <w:highlight w:val="none"/>
          <w14:textFill>
            <w14:solidFill>
              <w14:schemeClr w14:val="tx1"/>
            </w14:solidFill>
          </w14:textFill>
        </w:rPr>
        <w:t>监测点布设尽量沿线路路径均匀布点，兼顾行政区及环境特征的代表性</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进行布设</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本次在两条π接线路路径上各</w:t>
      </w:r>
      <w:r>
        <w:rPr>
          <w:rFonts w:ascii="Times New Roman" w:hAnsi="Times New Roman" w:eastAsia="宋体"/>
          <w:color w:val="000000" w:themeColor="text1"/>
          <w:spacing w:val="0"/>
          <w:kern w:val="0"/>
          <w:sz w:val="24"/>
          <w:highlight w:val="none"/>
          <w14:textFill>
            <w14:solidFill>
              <w14:schemeClr w14:val="tx1"/>
            </w14:solidFill>
          </w14:textFill>
        </w:rPr>
        <w:t>布设</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2</w:t>
      </w:r>
      <w:r>
        <w:rPr>
          <w:rFonts w:ascii="Times New Roman" w:hAnsi="Times New Roman" w:eastAsia="宋体"/>
          <w:color w:val="000000" w:themeColor="text1"/>
          <w:spacing w:val="0"/>
          <w:kern w:val="0"/>
          <w:sz w:val="24"/>
          <w:highlight w:val="none"/>
          <w14:textFill>
            <w14:solidFill>
              <w14:schemeClr w14:val="tx1"/>
            </w14:solidFill>
          </w14:textFill>
        </w:rPr>
        <w:t>监测点</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14:textFill>
            <w14:solidFill>
              <w14:schemeClr w14:val="tx1"/>
            </w14:solidFill>
          </w14:textFill>
        </w:rPr>
        <w:t>共布设4个现状监测点</w:t>
      </w:r>
      <w:r>
        <w:rPr>
          <w:rFonts w:ascii="Times New Roman" w:hAnsi="Times New Roman" w:eastAsia="宋体"/>
          <w:color w:val="000000" w:themeColor="text1"/>
          <w:spacing w:val="0"/>
          <w:kern w:val="0"/>
          <w:sz w:val="24"/>
          <w:highlight w:val="none"/>
          <w14:textFill>
            <w14:solidFill>
              <w14:schemeClr w14:val="tx1"/>
            </w14:solidFill>
          </w14:textFill>
        </w:rPr>
        <w:t>。</w:t>
      </w:r>
    </w:p>
    <w:p w14:paraId="7BFB1F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③</w:t>
      </w:r>
      <w:r>
        <w:rPr>
          <w:rFonts w:hint="eastAsia"/>
          <w:color w:val="000000" w:themeColor="text1"/>
          <w:spacing w:val="0"/>
          <w:sz w:val="24"/>
          <w:highlight w:val="none"/>
          <w:lang w:val="en-US" w:eastAsia="zh-CN"/>
          <w14:textFill>
            <w14:solidFill>
              <w14:schemeClr w14:val="tx1"/>
            </w14:solidFill>
          </w14:textFill>
        </w:rPr>
        <w:t>申庄～黄铎堡改接清水河变电站110kV线路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工程：</w:t>
      </w:r>
      <w:r>
        <w:rPr>
          <w:rFonts w:ascii="Times New Roman" w:hAnsi="Times New Roman" w:eastAsia="宋体"/>
          <w:color w:val="000000" w:themeColor="text1"/>
          <w:spacing w:val="0"/>
          <w:kern w:val="0"/>
          <w:sz w:val="24"/>
          <w:highlight w:val="none"/>
          <w14:textFill>
            <w14:solidFill>
              <w14:schemeClr w14:val="tx1"/>
            </w14:solidFill>
          </w14:textFill>
        </w:rPr>
        <w:t>监测点布设尽量沿线路路径均匀布点，兼顾行政区及环境特征的代表性</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进行布设，在架空线路段布设2个监测点，电缆线路段布设1个监测点，共布设3</w:t>
      </w:r>
      <w:r>
        <w:rPr>
          <w:rFonts w:ascii="Times New Roman" w:hAnsi="Times New Roman" w:eastAsia="宋体"/>
          <w:color w:val="000000" w:themeColor="text1"/>
          <w:spacing w:val="0"/>
          <w:kern w:val="0"/>
          <w:sz w:val="24"/>
          <w:highlight w:val="none"/>
          <w14:textFill>
            <w14:solidFill>
              <w14:schemeClr w14:val="tx1"/>
            </w14:solidFill>
          </w14:textFill>
        </w:rPr>
        <w:t>监测点</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p>
    <w:p w14:paraId="2E665E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000000" w:themeColor="text1"/>
          <w:spacing w:val="0"/>
          <w:w w:val="100"/>
          <w:position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④</w:t>
      </w:r>
      <w:r>
        <w:rPr>
          <w:rFonts w:hint="eastAsia"/>
          <w:color w:val="000000" w:themeColor="text1"/>
          <w:spacing w:val="0"/>
          <w:sz w:val="24"/>
          <w:highlight w:val="none"/>
          <w:lang w:val="en-US" w:eastAsia="zh-CN"/>
          <w14:textFill>
            <w14:solidFill>
              <w14:schemeClr w14:val="tx1"/>
            </w14:solidFill>
          </w14:textFill>
        </w:rPr>
        <w:t>清水河~申庄改接绿塬变电站110kV线路</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工程：</w:t>
      </w:r>
      <w:r>
        <w:rPr>
          <w:rFonts w:ascii="Times New Roman" w:hAnsi="Times New Roman" w:eastAsia="宋体"/>
          <w:color w:val="000000" w:themeColor="text1"/>
          <w:spacing w:val="0"/>
          <w:kern w:val="0"/>
          <w:sz w:val="24"/>
          <w:highlight w:val="none"/>
          <w14:textFill>
            <w14:solidFill>
              <w14:schemeClr w14:val="tx1"/>
            </w14:solidFill>
          </w14:textFill>
        </w:rPr>
        <w:t>监测点布设尽量沿线路路径均匀布点，兼顾行政区及环境特征的代表性</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进行布设</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本条线路较短，在架空线路段布设1个监测点，电缆线路段布设1个监测点，共布设2</w:t>
      </w:r>
      <w:r>
        <w:rPr>
          <w:rFonts w:ascii="Times New Roman" w:hAnsi="Times New Roman" w:eastAsia="宋体"/>
          <w:color w:val="000000" w:themeColor="text1"/>
          <w:spacing w:val="0"/>
          <w:kern w:val="0"/>
          <w:sz w:val="24"/>
          <w:highlight w:val="none"/>
          <w14:textFill>
            <w14:solidFill>
              <w14:schemeClr w14:val="tx1"/>
            </w14:solidFill>
          </w14:textFill>
        </w:rPr>
        <w:t>监测点。</w:t>
      </w:r>
    </w:p>
    <w:p w14:paraId="341793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⑤</w:t>
      </w:r>
      <w:r>
        <w:rPr>
          <w:rFonts w:ascii="Times New Roman" w:hAnsi="Times New Roman" w:eastAsia="宋体"/>
          <w:color w:val="000000" w:themeColor="text1"/>
          <w:spacing w:val="0"/>
          <w:kern w:val="0"/>
          <w:sz w:val="24"/>
          <w:highlight w:val="none"/>
          <w14:textFill>
            <w14:solidFill>
              <w14:schemeClr w14:val="tx1"/>
            </w14:solidFill>
          </w14:textFill>
        </w:rPr>
        <w:t>环境敏感目标：</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拟建变电站无敏感目标，敏感目标全部在输电线路段。</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本次</w:t>
      </w:r>
      <w:r>
        <w:rPr>
          <w:rFonts w:hint="default" w:ascii="Times New Roman" w:hAnsi="Times New Roman" w:eastAsia="宋体" w:cs="Times New Roman"/>
          <w:b w:val="0"/>
          <w:bCs w:val="0"/>
          <w:color w:val="000000" w:themeColor="text1"/>
          <w:spacing w:val="0"/>
          <w:w w:val="100"/>
          <w:kern w:val="0"/>
          <w:position w:val="0"/>
          <w:sz w:val="24"/>
          <w:highlight w:val="none"/>
          <w:lang w:val="en-US" w:eastAsia="zh-CN"/>
          <w14:textFill>
            <w14:solidFill>
              <w14:schemeClr w14:val="tx1"/>
            </w14:solidFill>
          </w14:textFill>
        </w:rPr>
        <w:t>监测点选在环境敏感目标建筑物户外，距离墙壁1m处，距离地面1.5m的位置</w:t>
      </w:r>
      <w:r>
        <w:rPr>
          <w:rFonts w:hint="eastAsia" w:ascii="Times New Roman" w:hAnsi="Times New Roman" w:eastAsia="宋体" w:cs="Times New Roman"/>
          <w:b w:val="0"/>
          <w:bCs w:val="0"/>
          <w:color w:val="000000" w:themeColor="text1"/>
          <w:spacing w:val="0"/>
          <w:w w:val="100"/>
          <w:kern w:val="0"/>
          <w:position w:val="0"/>
          <w:sz w:val="24"/>
          <w:highlight w:val="none"/>
          <w:lang w:val="en-US" w:eastAsia="zh-CN"/>
          <w14:textFill>
            <w14:solidFill>
              <w14:schemeClr w14:val="tx1"/>
            </w14:solidFill>
          </w14:textFill>
        </w:rPr>
        <w:t>，</w:t>
      </w:r>
      <w:r>
        <w:rPr>
          <w:rFonts w:ascii="Times New Roman" w:hAnsi="Times New Roman" w:eastAsia="宋体"/>
          <w:color w:val="000000" w:themeColor="text1"/>
          <w:spacing w:val="0"/>
          <w:kern w:val="0"/>
          <w:sz w:val="24"/>
          <w:highlight w:val="none"/>
          <w14:textFill>
            <w14:solidFill>
              <w14:schemeClr w14:val="tx1"/>
            </w14:solidFill>
          </w14:textFill>
        </w:rPr>
        <w:t>共布设</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4</w:t>
      </w:r>
      <w:r>
        <w:rPr>
          <w:rFonts w:ascii="Times New Roman" w:hAnsi="Times New Roman" w:eastAsia="宋体"/>
          <w:color w:val="000000" w:themeColor="text1"/>
          <w:spacing w:val="0"/>
          <w:kern w:val="0"/>
          <w:sz w:val="24"/>
          <w:highlight w:val="none"/>
          <w14:textFill>
            <w14:solidFill>
              <w14:schemeClr w14:val="tx1"/>
            </w14:solidFill>
          </w14:textFill>
        </w:rPr>
        <w:t>个监测点。</w:t>
      </w:r>
    </w:p>
    <w:p w14:paraId="09A3CE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具体监测点位</w:t>
      </w:r>
      <w:r>
        <w:rPr>
          <w:rFonts w:hint="eastAsia"/>
          <w:color w:val="000000" w:themeColor="text1"/>
          <w:spacing w:val="0"/>
          <w:sz w:val="24"/>
          <w:highlight w:val="none"/>
          <w:lang w:val="en-US" w:eastAsia="zh-CN"/>
          <w14:textFill>
            <w14:solidFill>
              <w14:schemeClr w14:val="tx1"/>
            </w14:solidFill>
          </w14:textFill>
        </w:rPr>
        <w:t>图</w:t>
      </w:r>
      <w:r>
        <w:rPr>
          <w:rFonts w:ascii="Times New Roman" w:hAnsi="Times New Roman" w:eastAsia="宋体"/>
          <w:color w:val="000000" w:themeColor="text1"/>
          <w:spacing w:val="0"/>
          <w:sz w:val="24"/>
          <w:highlight w:val="none"/>
          <w14:textFill>
            <w14:solidFill>
              <w14:schemeClr w14:val="tx1"/>
            </w14:solidFill>
          </w14:textFill>
        </w:rPr>
        <w:t>详见</w:t>
      </w:r>
      <w:r>
        <w:rPr>
          <w:rFonts w:hint="eastAsia"/>
          <w:color w:val="000000" w:themeColor="text1"/>
          <w:spacing w:val="0"/>
          <w:sz w:val="24"/>
          <w:highlight w:val="none"/>
          <w:lang w:val="en-US" w:eastAsia="zh-CN"/>
          <w14:textFill>
            <w14:solidFill>
              <w14:schemeClr w14:val="tx1"/>
            </w14:solidFill>
          </w14:textFill>
        </w:rPr>
        <w:t>第三章节</w:t>
      </w:r>
      <w:r>
        <w:rPr>
          <w:rFonts w:ascii="Times New Roman" w:hAnsi="Times New Roman" w:eastAsia="宋体"/>
          <w:color w:val="000000" w:themeColor="text1"/>
          <w:spacing w:val="0"/>
          <w:sz w:val="24"/>
          <w:highlight w:val="none"/>
          <w14:textFill>
            <w14:solidFill>
              <w14:schemeClr w14:val="tx1"/>
            </w14:solidFill>
          </w14:textFill>
        </w:rPr>
        <w:t>。</w:t>
      </w:r>
    </w:p>
    <w:p w14:paraId="536DB3A0">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5、监测频次</w:t>
      </w:r>
    </w:p>
    <w:p w14:paraId="3290DB44">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监测1次，监测1天。</w:t>
      </w:r>
    </w:p>
    <w:p w14:paraId="7A3886E2">
      <w:pPr>
        <w:spacing w:line="360" w:lineRule="auto"/>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 xml:space="preserve">    </w:t>
      </w:r>
      <w:r>
        <w:rPr>
          <w:rFonts w:ascii="Times New Roman" w:hAnsi="Times New Roman" w:eastAsia="宋体"/>
          <w:b/>
          <w:bCs/>
          <w:color w:val="000000" w:themeColor="text1"/>
          <w:spacing w:val="0"/>
          <w:sz w:val="24"/>
          <w:highlight w:val="none"/>
          <w14:textFill>
            <w14:solidFill>
              <w14:schemeClr w14:val="tx1"/>
            </w14:solidFill>
          </w14:textFill>
        </w:rPr>
        <w:t>6、监测条件</w:t>
      </w:r>
    </w:p>
    <w:p w14:paraId="659B7B5E">
      <w:pPr>
        <w:numPr>
          <w:ilvl w:val="0"/>
          <w:numId w:val="0"/>
        </w:numPr>
        <w:adjustRightInd w:val="0"/>
        <w:snapToGrid w:val="0"/>
        <w:spacing w:line="360" w:lineRule="auto"/>
        <w:ind w:firstLine="480" w:firstLineChars="200"/>
        <w:jc w:val="left"/>
        <w:outlineLvl w:val="9"/>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pP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12月13日昼间天气晴，温度 0℃，湿度 33.2%，风速 1.8m/s。</w:t>
      </w:r>
    </w:p>
    <w:p w14:paraId="18D8BB50">
      <w:pPr>
        <w:spacing w:line="360" w:lineRule="auto"/>
        <w:ind w:firstLine="482" w:firstLineChars="200"/>
        <w:jc w:val="left"/>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7、质量控制</w:t>
      </w:r>
    </w:p>
    <w:p w14:paraId="4D96B0B2">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（1）每次监测前，按仪器使用要求，对仪器进行校准。</w:t>
      </w:r>
    </w:p>
    <w:p w14:paraId="2905853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（2）监测地点选在地势较平坦，尽量远离高大建筑物和树木、电力线和通信设施的地方。</w:t>
      </w:r>
    </w:p>
    <w:p w14:paraId="53D36B3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（3）监测人员与天线的相对位置应不影响测量读数，其他人员和设备应远离测试场地。</w:t>
      </w:r>
    </w:p>
    <w:p w14:paraId="70C3E7B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（4）监测仪器经校验，并在有效期内。</w:t>
      </w:r>
    </w:p>
    <w:p w14:paraId="269DBBD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（5）监测的条件符合技术规范的要求。</w:t>
      </w:r>
    </w:p>
    <w:p w14:paraId="0C3CD957">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8、监测结果</w:t>
      </w:r>
    </w:p>
    <w:p w14:paraId="156AA019">
      <w:pPr>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电磁环境现状监测结果见专题表</w:t>
      </w:r>
      <w:r>
        <w:rPr>
          <w:rFonts w:hint="eastAsia" w:ascii="Times New Roman" w:hAnsi="Times New Roman" w:eastAsia="宋体"/>
          <w:color w:val="000000" w:themeColor="text1"/>
          <w:spacing w:val="0"/>
          <w:sz w:val="24"/>
          <w:highlight w:val="none"/>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w:t>
      </w:r>
    </w:p>
    <w:p w14:paraId="368C891E">
      <w:pPr>
        <w:spacing w:line="360" w:lineRule="auto"/>
        <w:jc w:val="center"/>
        <w:outlineLvl w:val="9"/>
        <w:rPr>
          <w:rFonts w:hint="eastAsia" w:ascii="Times New Roman" w:hAnsi="Times New Roman" w:eastAsia="宋体"/>
          <w:b/>
          <w:color w:val="000000" w:themeColor="text1"/>
          <w:spacing w:val="0"/>
          <w:sz w:val="24"/>
          <w:highlight w:val="yellow"/>
          <w:lang w:val="en-US" w:eastAsia="zh-CN"/>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专题表</w:t>
      </w:r>
      <w:r>
        <w:rPr>
          <w:rFonts w:hint="eastAsia" w:ascii="Times New Roman" w:hAnsi="Times New Roman" w:eastAsia="宋体"/>
          <w:b/>
          <w:color w:val="000000" w:themeColor="text1"/>
          <w:spacing w:val="0"/>
          <w:sz w:val="24"/>
          <w:highlight w:val="none"/>
          <w14:textFill>
            <w14:solidFill>
              <w14:schemeClr w14:val="tx1"/>
            </w14:solidFill>
          </w14:textFill>
        </w:rPr>
        <w:t>2</w:t>
      </w:r>
      <w:r>
        <w:rPr>
          <w:rFonts w:ascii="Times New Roman" w:hAnsi="Times New Roman" w:eastAsia="宋体"/>
          <w:b/>
          <w:color w:val="000000" w:themeColor="text1"/>
          <w:spacing w:val="0"/>
          <w:sz w:val="24"/>
          <w:highlight w:val="none"/>
          <w14:textFill>
            <w14:solidFill>
              <w14:schemeClr w14:val="tx1"/>
            </w14:solidFill>
          </w14:textFill>
        </w:rPr>
        <w:t xml:space="preserve">  电磁环境现状监测结果统计表</w:t>
      </w:r>
    </w:p>
    <w:tbl>
      <w:tblPr>
        <w:tblStyle w:val="26"/>
        <w:tblW w:w="8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690"/>
        <w:gridCol w:w="1824"/>
        <w:gridCol w:w="981"/>
        <w:gridCol w:w="1245"/>
        <w:gridCol w:w="1245"/>
        <w:gridCol w:w="1271"/>
      </w:tblGrid>
      <w:tr w14:paraId="11B80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tcBorders>
              <w:tl2br w:val="nil"/>
              <w:tr2bl w:val="nil"/>
            </w:tcBorders>
            <w:noWrap w:val="0"/>
            <w:vAlign w:val="center"/>
          </w:tcPr>
          <w:p w14:paraId="686ED43D">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项目</w:t>
            </w:r>
          </w:p>
        </w:tc>
        <w:tc>
          <w:tcPr>
            <w:tcW w:w="690" w:type="dxa"/>
            <w:tcBorders>
              <w:tl2br w:val="nil"/>
              <w:tr2bl w:val="nil"/>
            </w:tcBorders>
            <w:noWrap w:val="0"/>
            <w:vAlign w:val="center"/>
          </w:tcPr>
          <w:p w14:paraId="20EF2C3A">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序号</w:t>
            </w:r>
          </w:p>
        </w:tc>
        <w:tc>
          <w:tcPr>
            <w:tcW w:w="1824" w:type="dxa"/>
            <w:tcBorders>
              <w:tl2br w:val="nil"/>
              <w:tr2bl w:val="nil"/>
            </w:tcBorders>
            <w:shd w:val="clear" w:color="auto" w:fill="auto"/>
            <w:noWrap w:val="0"/>
            <w:vAlign w:val="center"/>
          </w:tcPr>
          <w:p w14:paraId="0C0638DA">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点位</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描述</w:t>
            </w:r>
          </w:p>
        </w:tc>
        <w:tc>
          <w:tcPr>
            <w:tcW w:w="981" w:type="dxa"/>
            <w:tcBorders>
              <w:tl2br w:val="nil"/>
              <w:tr2bl w:val="nil"/>
            </w:tcBorders>
            <w:noWrap w:val="0"/>
            <w:vAlign w:val="center"/>
          </w:tcPr>
          <w:p w14:paraId="6703BFF0">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测量高度（m）</w:t>
            </w:r>
          </w:p>
        </w:tc>
        <w:tc>
          <w:tcPr>
            <w:tcW w:w="1245" w:type="dxa"/>
            <w:tcBorders>
              <w:tl2br w:val="nil"/>
              <w:tr2bl w:val="nil"/>
            </w:tcBorders>
            <w:noWrap w:val="0"/>
            <w:vAlign w:val="center"/>
          </w:tcPr>
          <w:p w14:paraId="7D58D8E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工频电场强度</w:t>
            </w:r>
          </w:p>
          <w:p w14:paraId="0DAE8B1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（V/m）</w:t>
            </w:r>
          </w:p>
        </w:tc>
        <w:tc>
          <w:tcPr>
            <w:tcW w:w="1245" w:type="dxa"/>
            <w:tcBorders>
              <w:tl2br w:val="nil"/>
              <w:tr2bl w:val="nil"/>
            </w:tcBorders>
            <w:noWrap w:val="0"/>
            <w:vAlign w:val="center"/>
          </w:tcPr>
          <w:p w14:paraId="23F4B70D">
            <w:pPr>
              <w:keepNext w:val="0"/>
              <w:keepLines w:val="0"/>
              <w:suppressLineNumbers w:val="0"/>
              <w:tabs>
                <w:tab w:val="left" w:pos="1058"/>
              </w:tabs>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工频磁感应强度（μT）</w:t>
            </w:r>
          </w:p>
        </w:tc>
        <w:tc>
          <w:tcPr>
            <w:tcW w:w="1271" w:type="dxa"/>
            <w:tcBorders>
              <w:tl2br w:val="nil"/>
              <w:tr2bl w:val="nil"/>
            </w:tcBorders>
            <w:noWrap w:val="0"/>
            <w:vAlign w:val="center"/>
          </w:tcPr>
          <w:p w14:paraId="244A70F1">
            <w:pPr>
              <w:keepNext w:val="0"/>
              <w:keepLines w:val="0"/>
              <w:suppressLineNumbers w:val="0"/>
              <w:tabs>
                <w:tab w:val="left" w:pos="1058"/>
              </w:tabs>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备注</w:t>
            </w:r>
          </w:p>
        </w:tc>
      </w:tr>
      <w:tr w14:paraId="72CB6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restart"/>
            <w:tcBorders>
              <w:tl2br w:val="nil"/>
              <w:tr2bl w:val="nil"/>
            </w:tcBorders>
            <w:shd w:val="clear" w:color="auto" w:fill="F1F1F1" w:themeFill="background1" w:themeFillShade="F2"/>
            <w:noWrap w:val="0"/>
            <w:vAlign w:val="center"/>
          </w:tcPr>
          <w:p w14:paraId="5A71642E">
            <w:pPr>
              <w:keepNext w:val="0"/>
              <w:keepLines w:val="0"/>
              <w:widowControl/>
              <w:suppressLineNumbers w:val="0"/>
              <w:spacing w:before="0" w:beforeAutospacing="0" w:after="0" w:afterAutospacing="0"/>
              <w:ind w:left="0" w:right="0"/>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三岔</w:t>
            </w:r>
            <w:r>
              <w:rPr>
                <w:rFonts w:hint="default" w:ascii="Calibri" w:hAnsi="Calibri" w:eastAsia="宋体" w:cs="Times New Roman"/>
                <w:color w:val="000000" w:themeColor="text1"/>
                <w:kern w:val="0"/>
                <w:sz w:val="21"/>
                <w:szCs w:val="21"/>
                <w:lang w:val="en-US" w:eastAsia="zh-CN" w:bidi="ar"/>
                <w14:textFill>
                  <w14:solidFill>
                    <w14:schemeClr w14:val="tx1"/>
                  </w14:solidFill>
                </w14:textFill>
              </w:rPr>
              <w:t>110</w:t>
            </w:r>
            <w:r>
              <w:rPr>
                <w:rFonts w:hint="eastAsia" w:ascii="宋体" w:hAnsi="宋体" w:eastAsia="宋体" w:cs="宋体"/>
                <w:color w:val="000000" w:themeColor="text1"/>
                <w:kern w:val="0"/>
                <w:sz w:val="21"/>
                <w:szCs w:val="21"/>
                <w:lang w:val="en-US" w:eastAsia="zh-CN" w:bidi="ar"/>
                <w14:textFill>
                  <w14:solidFill>
                    <w14:schemeClr w14:val="tx1"/>
                  </w14:solidFill>
                </w14:textFill>
              </w:rPr>
              <w:t>千伏变电站新建工程</w:t>
            </w:r>
          </w:p>
        </w:tc>
        <w:tc>
          <w:tcPr>
            <w:tcW w:w="690" w:type="dxa"/>
            <w:tcBorders>
              <w:tl2br w:val="nil"/>
              <w:tr2bl w:val="nil"/>
            </w:tcBorders>
            <w:shd w:val="clear" w:color="auto" w:fill="F1F1F1" w:themeFill="background1" w:themeFillShade="F2"/>
            <w:noWrap w:val="0"/>
            <w:vAlign w:val="center"/>
          </w:tcPr>
          <w:p w14:paraId="1F85B4BC">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p>
        </w:tc>
        <w:tc>
          <w:tcPr>
            <w:tcW w:w="1824" w:type="dxa"/>
            <w:tcBorders>
              <w:tl2br w:val="nil"/>
              <w:tr2bl w:val="nil"/>
            </w:tcBorders>
            <w:shd w:val="clear" w:color="auto" w:fill="F1F1F1" w:themeFill="background1" w:themeFillShade="F2"/>
            <w:noWrap w:val="0"/>
            <w:vAlign w:val="center"/>
          </w:tcPr>
          <w:p w14:paraId="4581F48C">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拟建变电站东侧站界外5</w:t>
            </w:r>
            <w:r>
              <w:rPr>
                <w:rFonts w:hint="default" w:ascii="宋体" w:hAnsi="宋体" w:eastAsia="宋体" w:cs="宋体"/>
                <w:color w:val="000000" w:themeColor="text1"/>
                <w:kern w:val="0"/>
                <w:sz w:val="21"/>
                <w:szCs w:val="21"/>
                <w:lang w:val="en-US" w:eastAsia="zh-CN" w:bidi="ar"/>
                <w14:textFill>
                  <w14:solidFill>
                    <w14:schemeClr w14:val="tx1"/>
                  </w14:solidFill>
                </w14:textFill>
              </w:rPr>
              <w:t>m</w:t>
            </w:r>
            <w:r>
              <w:rPr>
                <w:rFonts w:hint="eastAsia" w:ascii="宋体" w:hAnsi="宋体" w:eastAsia="宋体" w:cs="宋体"/>
                <w:color w:val="000000" w:themeColor="text1"/>
                <w:kern w:val="0"/>
                <w:sz w:val="21"/>
                <w:szCs w:val="21"/>
                <w:lang w:val="en-US" w:eastAsia="zh-CN" w:bidi="ar"/>
                <w14:textFill>
                  <w14:solidFill>
                    <w14:schemeClr w14:val="tx1"/>
                  </w14:solidFill>
                </w14:textFill>
              </w:rPr>
              <w:t>处</w:t>
            </w:r>
          </w:p>
        </w:tc>
        <w:tc>
          <w:tcPr>
            <w:tcW w:w="981" w:type="dxa"/>
            <w:tcBorders>
              <w:tl2br w:val="nil"/>
              <w:tr2bl w:val="nil"/>
            </w:tcBorders>
            <w:shd w:val="clear" w:color="auto" w:fill="F1F1F1" w:themeFill="background1" w:themeFillShade="F2"/>
            <w:noWrap w:val="0"/>
            <w:vAlign w:val="center"/>
          </w:tcPr>
          <w:p w14:paraId="5E7C80E0">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1245" w:type="dxa"/>
            <w:tcBorders>
              <w:tl2br w:val="nil"/>
              <w:tr2bl w:val="nil"/>
            </w:tcBorders>
            <w:shd w:val="clear" w:color="auto" w:fill="auto"/>
            <w:noWrap w:val="0"/>
            <w:vAlign w:val="center"/>
          </w:tcPr>
          <w:p w14:paraId="558FEDFC">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1.050</w:t>
            </w:r>
          </w:p>
        </w:tc>
        <w:tc>
          <w:tcPr>
            <w:tcW w:w="1245" w:type="dxa"/>
            <w:tcBorders>
              <w:tl2br w:val="nil"/>
              <w:tr2bl w:val="nil"/>
            </w:tcBorders>
            <w:shd w:val="clear" w:color="auto" w:fill="auto"/>
            <w:noWrap w:val="0"/>
            <w:vAlign w:val="center"/>
          </w:tcPr>
          <w:p w14:paraId="5A139872">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0.051</w:t>
            </w:r>
          </w:p>
        </w:tc>
        <w:tc>
          <w:tcPr>
            <w:tcW w:w="1271" w:type="dxa"/>
            <w:tcBorders>
              <w:tl2br w:val="nil"/>
              <w:tr2bl w:val="nil"/>
            </w:tcBorders>
            <w:noWrap w:val="0"/>
            <w:vAlign w:val="center"/>
          </w:tcPr>
          <w:p w14:paraId="496137FB">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1273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continue"/>
            <w:tcBorders>
              <w:tl2br w:val="nil"/>
              <w:tr2bl w:val="nil"/>
            </w:tcBorders>
            <w:shd w:val="clear" w:color="auto" w:fill="F1F1F1" w:themeFill="background1" w:themeFillShade="F2"/>
            <w:noWrap w:val="0"/>
            <w:vAlign w:val="center"/>
          </w:tcPr>
          <w:p w14:paraId="5233DF45">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690" w:type="dxa"/>
            <w:tcBorders>
              <w:tl2br w:val="nil"/>
              <w:tr2bl w:val="nil"/>
            </w:tcBorders>
            <w:shd w:val="clear" w:color="auto" w:fill="F1F1F1" w:themeFill="background1" w:themeFillShade="F2"/>
            <w:noWrap w:val="0"/>
            <w:vAlign w:val="center"/>
          </w:tcPr>
          <w:p w14:paraId="26CD6596">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p>
        </w:tc>
        <w:tc>
          <w:tcPr>
            <w:tcW w:w="1824" w:type="dxa"/>
            <w:tcBorders>
              <w:tl2br w:val="nil"/>
              <w:tr2bl w:val="nil"/>
            </w:tcBorders>
            <w:shd w:val="clear" w:color="auto" w:fill="F1F1F1" w:themeFill="background1" w:themeFillShade="F2"/>
            <w:noWrap w:val="0"/>
            <w:vAlign w:val="center"/>
          </w:tcPr>
          <w:p w14:paraId="188308C3">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拟建变电站南侧站界外5</w:t>
            </w:r>
            <w:r>
              <w:rPr>
                <w:rFonts w:hint="default" w:ascii="宋体" w:hAnsi="宋体" w:eastAsia="宋体" w:cs="宋体"/>
                <w:color w:val="000000" w:themeColor="text1"/>
                <w:kern w:val="0"/>
                <w:sz w:val="21"/>
                <w:szCs w:val="21"/>
                <w:lang w:val="en-US" w:eastAsia="zh-CN" w:bidi="ar"/>
                <w14:textFill>
                  <w14:solidFill>
                    <w14:schemeClr w14:val="tx1"/>
                  </w14:solidFill>
                </w14:textFill>
              </w:rPr>
              <w:t>m</w:t>
            </w:r>
            <w:r>
              <w:rPr>
                <w:rFonts w:hint="eastAsia" w:ascii="宋体" w:hAnsi="宋体" w:eastAsia="宋体" w:cs="宋体"/>
                <w:color w:val="000000" w:themeColor="text1"/>
                <w:kern w:val="0"/>
                <w:sz w:val="21"/>
                <w:szCs w:val="21"/>
                <w:lang w:val="en-US" w:eastAsia="zh-CN" w:bidi="ar"/>
                <w14:textFill>
                  <w14:solidFill>
                    <w14:schemeClr w14:val="tx1"/>
                  </w14:solidFill>
                </w14:textFill>
              </w:rPr>
              <w:t>处</w:t>
            </w:r>
          </w:p>
        </w:tc>
        <w:tc>
          <w:tcPr>
            <w:tcW w:w="981" w:type="dxa"/>
            <w:tcBorders>
              <w:tl2br w:val="nil"/>
              <w:tr2bl w:val="nil"/>
            </w:tcBorders>
            <w:shd w:val="clear" w:color="auto" w:fill="F1F1F1" w:themeFill="background1" w:themeFillShade="F2"/>
            <w:noWrap w:val="0"/>
            <w:vAlign w:val="center"/>
          </w:tcPr>
          <w:p w14:paraId="47B0F161">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0412149F">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3.491</w:t>
            </w:r>
          </w:p>
        </w:tc>
        <w:tc>
          <w:tcPr>
            <w:tcW w:w="1245" w:type="dxa"/>
            <w:tcBorders>
              <w:tl2br w:val="nil"/>
              <w:tr2bl w:val="nil"/>
            </w:tcBorders>
            <w:shd w:val="clear" w:color="auto" w:fill="auto"/>
            <w:noWrap w:val="0"/>
            <w:vAlign w:val="center"/>
          </w:tcPr>
          <w:p w14:paraId="384528D2">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0.145</w:t>
            </w:r>
          </w:p>
        </w:tc>
        <w:tc>
          <w:tcPr>
            <w:tcW w:w="1271" w:type="dxa"/>
            <w:tcBorders>
              <w:tl2br w:val="nil"/>
              <w:tr2bl w:val="nil"/>
            </w:tcBorders>
            <w:noWrap w:val="0"/>
            <w:vAlign w:val="center"/>
          </w:tcPr>
          <w:p w14:paraId="5D127326">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68FC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continue"/>
            <w:tcBorders>
              <w:tl2br w:val="nil"/>
              <w:tr2bl w:val="nil"/>
            </w:tcBorders>
            <w:shd w:val="clear" w:color="auto" w:fill="F1F1F1" w:themeFill="background1" w:themeFillShade="F2"/>
            <w:noWrap w:val="0"/>
            <w:vAlign w:val="center"/>
          </w:tcPr>
          <w:p w14:paraId="2D30A0D3">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690" w:type="dxa"/>
            <w:tcBorders>
              <w:tl2br w:val="nil"/>
              <w:tr2bl w:val="nil"/>
            </w:tcBorders>
            <w:shd w:val="clear" w:color="auto" w:fill="F1F1F1" w:themeFill="background1" w:themeFillShade="F2"/>
            <w:noWrap w:val="0"/>
            <w:vAlign w:val="center"/>
          </w:tcPr>
          <w:p w14:paraId="542AC11F">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w:t>
            </w:r>
          </w:p>
        </w:tc>
        <w:tc>
          <w:tcPr>
            <w:tcW w:w="1824" w:type="dxa"/>
            <w:tcBorders>
              <w:tl2br w:val="nil"/>
              <w:tr2bl w:val="nil"/>
            </w:tcBorders>
            <w:shd w:val="clear" w:color="auto" w:fill="F1F1F1" w:themeFill="background1" w:themeFillShade="F2"/>
            <w:noWrap w:val="0"/>
            <w:vAlign w:val="center"/>
          </w:tcPr>
          <w:p w14:paraId="356036DA">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拟建变电站西侧站界外5</w:t>
            </w:r>
            <w:r>
              <w:rPr>
                <w:rFonts w:hint="default" w:ascii="宋体" w:hAnsi="宋体" w:eastAsia="宋体" w:cs="宋体"/>
                <w:color w:val="000000" w:themeColor="text1"/>
                <w:kern w:val="0"/>
                <w:sz w:val="21"/>
                <w:szCs w:val="21"/>
                <w:lang w:val="en-US" w:eastAsia="zh-CN" w:bidi="ar"/>
                <w14:textFill>
                  <w14:solidFill>
                    <w14:schemeClr w14:val="tx1"/>
                  </w14:solidFill>
                </w14:textFill>
              </w:rPr>
              <w:t>m</w:t>
            </w:r>
            <w:r>
              <w:rPr>
                <w:rFonts w:hint="eastAsia" w:ascii="宋体" w:hAnsi="宋体" w:eastAsia="宋体" w:cs="宋体"/>
                <w:color w:val="000000" w:themeColor="text1"/>
                <w:kern w:val="0"/>
                <w:sz w:val="21"/>
                <w:szCs w:val="21"/>
                <w:lang w:val="en-US" w:eastAsia="zh-CN" w:bidi="ar"/>
                <w14:textFill>
                  <w14:solidFill>
                    <w14:schemeClr w14:val="tx1"/>
                  </w14:solidFill>
                </w14:textFill>
              </w:rPr>
              <w:t>处</w:t>
            </w:r>
          </w:p>
        </w:tc>
        <w:tc>
          <w:tcPr>
            <w:tcW w:w="981" w:type="dxa"/>
            <w:tcBorders>
              <w:tl2br w:val="nil"/>
              <w:tr2bl w:val="nil"/>
            </w:tcBorders>
            <w:shd w:val="clear" w:color="auto" w:fill="F1F1F1" w:themeFill="background1" w:themeFillShade="F2"/>
            <w:noWrap w:val="0"/>
            <w:vAlign w:val="center"/>
          </w:tcPr>
          <w:p w14:paraId="5363C00A">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12ED9AA2">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10.060</w:t>
            </w:r>
          </w:p>
        </w:tc>
        <w:tc>
          <w:tcPr>
            <w:tcW w:w="1245" w:type="dxa"/>
            <w:tcBorders>
              <w:tl2br w:val="nil"/>
              <w:tr2bl w:val="nil"/>
            </w:tcBorders>
            <w:shd w:val="clear" w:color="auto" w:fill="auto"/>
            <w:noWrap w:val="0"/>
            <w:vAlign w:val="center"/>
          </w:tcPr>
          <w:p w14:paraId="539D39A2">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0.463</w:t>
            </w:r>
          </w:p>
        </w:tc>
        <w:tc>
          <w:tcPr>
            <w:tcW w:w="1271" w:type="dxa"/>
            <w:tcBorders>
              <w:tl2br w:val="nil"/>
              <w:tr2bl w:val="nil"/>
            </w:tcBorders>
            <w:noWrap w:val="0"/>
            <w:vAlign w:val="center"/>
          </w:tcPr>
          <w:p w14:paraId="77D0DAA0">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A83D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continue"/>
            <w:tcBorders>
              <w:tl2br w:val="nil"/>
              <w:tr2bl w:val="nil"/>
            </w:tcBorders>
            <w:shd w:val="clear" w:color="auto" w:fill="F1F1F1" w:themeFill="background1" w:themeFillShade="F2"/>
            <w:noWrap w:val="0"/>
            <w:vAlign w:val="center"/>
          </w:tcPr>
          <w:p w14:paraId="46116E05">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690" w:type="dxa"/>
            <w:tcBorders>
              <w:tl2br w:val="nil"/>
              <w:tr2bl w:val="nil"/>
            </w:tcBorders>
            <w:shd w:val="clear" w:color="auto" w:fill="F1F1F1" w:themeFill="background1" w:themeFillShade="F2"/>
            <w:noWrap w:val="0"/>
            <w:vAlign w:val="center"/>
          </w:tcPr>
          <w:p w14:paraId="148DA50A">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w:t>
            </w:r>
          </w:p>
        </w:tc>
        <w:tc>
          <w:tcPr>
            <w:tcW w:w="1824" w:type="dxa"/>
            <w:tcBorders>
              <w:tl2br w:val="nil"/>
              <w:tr2bl w:val="nil"/>
            </w:tcBorders>
            <w:shd w:val="clear" w:color="auto" w:fill="F1F1F1" w:themeFill="background1" w:themeFillShade="F2"/>
            <w:noWrap w:val="0"/>
            <w:vAlign w:val="center"/>
          </w:tcPr>
          <w:p w14:paraId="51A75A3A">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拟建变电站北侧站界外5</w:t>
            </w:r>
            <w:r>
              <w:rPr>
                <w:rFonts w:hint="default" w:ascii="宋体" w:hAnsi="宋体" w:eastAsia="宋体" w:cs="宋体"/>
                <w:color w:val="000000" w:themeColor="text1"/>
                <w:kern w:val="0"/>
                <w:sz w:val="21"/>
                <w:szCs w:val="21"/>
                <w:lang w:val="en-US" w:eastAsia="zh-CN" w:bidi="ar"/>
                <w14:textFill>
                  <w14:solidFill>
                    <w14:schemeClr w14:val="tx1"/>
                  </w14:solidFill>
                </w14:textFill>
              </w:rPr>
              <w:t>m</w:t>
            </w:r>
            <w:r>
              <w:rPr>
                <w:rFonts w:hint="eastAsia" w:ascii="宋体" w:hAnsi="宋体" w:eastAsia="宋体" w:cs="宋体"/>
                <w:color w:val="000000" w:themeColor="text1"/>
                <w:kern w:val="0"/>
                <w:sz w:val="21"/>
                <w:szCs w:val="21"/>
                <w:lang w:val="en-US" w:eastAsia="zh-CN" w:bidi="ar"/>
                <w14:textFill>
                  <w14:solidFill>
                    <w14:schemeClr w14:val="tx1"/>
                  </w14:solidFill>
                </w14:textFill>
              </w:rPr>
              <w:t>处</w:t>
            </w:r>
          </w:p>
        </w:tc>
        <w:tc>
          <w:tcPr>
            <w:tcW w:w="981" w:type="dxa"/>
            <w:tcBorders>
              <w:tl2br w:val="nil"/>
              <w:tr2bl w:val="nil"/>
            </w:tcBorders>
            <w:shd w:val="clear" w:color="auto" w:fill="F1F1F1" w:themeFill="background1" w:themeFillShade="F2"/>
            <w:noWrap w:val="0"/>
            <w:vAlign w:val="center"/>
          </w:tcPr>
          <w:p w14:paraId="3603112D">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395EFB99">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10.870</w:t>
            </w:r>
          </w:p>
        </w:tc>
        <w:tc>
          <w:tcPr>
            <w:tcW w:w="1245" w:type="dxa"/>
            <w:tcBorders>
              <w:tl2br w:val="nil"/>
              <w:tr2bl w:val="nil"/>
            </w:tcBorders>
            <w:shd w:val="clear" w:color="auto" w:fill="auto"/>
            <w:noWrap w:val="0"/>
            <w:vAlign w:val="center"/>
          </w:tcPr>
          <w:p w14:paraId="1300B128">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0.433</w:t>
            </w:r>
          </w:p>
        </w:tc>
        <w:tc>
          <w:tcPr>
            <w:tcW w:w="1271" w:type="dxa"/>
            <w:tcBorders>
              <w:tl2br w:val="nil"/>
              <w:tr2bl w:val="nil"/>
            </w:tcBorders>
            <w:noWrap w:val="0"/>
            <w:vAlign w:val="center"/>
          </w:tcPr>
          <w:p w14:paraId="2C9956BF">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171A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restart"/>
            <w:tcBorders>
              <w:tl2br w:val="nil"/>
              <w:tr2bl w:val="nil"/>
            </w:tcBorders>
            <w:noWrap w:val="0"/>
            <w:vAlign w:val="center"/>
          </w:tcPr>
          <w:p w14:paraId="25792DED">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申庄~黄铎堡π入三岔变电站110千伏架空线路工程（黄铎堡变侧）</w:t>
            </w:r>
          </w:p>
        </w:tc>
        <w:tc>
          <w:tcPr>
            <w:tcW w:w="690" w:type="dxa"/>
            <w:tcBorders>
              <w:tl2br w:val="nil"/>
              <w:tr2bl w:val="nil"/>
            </w:tcBorders>
            <w:noWrap w:val="0"/>
            <w:vAlign w:val="center"/>
          </w:tcPr>
          <w:p w14:paraId="21A3FB64">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5</w:t>
            </w:r>
          </w:p>
        </w:tc>
        <w:tc>
          <w:tcPr>
            <w:tcW w:w="1824" w:type="dxa"/>
            <w:tcBorders>
              <w:tl2br w:val="nil"/>
              <w:tr2bl w:val="nil"/>
            </w:tcBorders>
            <w:shd w:val="clear" w:color="auto" w:fill="auto"/>
            <w:noWrap w:val="0"/>
            <w:vAlign w:val="center"/>
          </w:tcPr>
          <w:p w14:paraId="58069492">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拟建线路路径处</w:t>
            </w:r>
            <w:r>
              <w:rPr>
                <w:rFonts w:hint="default" w:ascii="宋体" w:hAnsi="宋体" w:eastAsia="宋体" w:cs="宋体"/>
                <w:color w:val="000000" w:themeColor="text1"/>
                <w:kern w:val="0"/>
                <w:sz w:val="21"/>
                <w:szCs w:val="21"/>
                <w:lang w:val="en-US" w:eastAsia="zh-CN" w:bidi="ar"/>
                <w14:textFill>
                  <w14:solidFill>
                    <w14:schemeClr w14:val="tx1"/>
                  </w14:solidFill>
                </w14:textFill>
              </w:rPr>
              <w:t>1</w:t>
            </w:r>
          </w:p>
        </w:tc>
        <w:tc>
          <w:tcPr>
            <w:tcW w:w="981" w:type="dxa"/>
            <w:tcBorders>
              <w:tl2br w:val="nil"/>
              <w:tr2bl w:val="nil"/>
            </w:tcBorders>
            <w:noWrap w:val="0"/>
            <w:vAlign w:val="center"/>
          </w:tcPr>
          <w:p w14:paraId="0BEFC253">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576B969A">
            <w:pPr>
              <w:keepNext w:val="0"/>
              <w:keepLines w:val="0"/>
              <w:widowControl w:val="0"/>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0.313</w:t>
            </w:r>
          </w:p>
        </w:tc>
        <w:tc>
          <w:tcPr>
            <w:tcW w:w="1245" w:type="dxa"/>
            <w:tcBorders>
              <w:tl2br w:val="nil"/>
              <w:tr2bl w:val="nil"/>
            </w:tcBorders>
            <w:shd w:val="clear" w:color="auto" w:fill="auto"/>
            <w:noWrap w:val="0"/>
            <w:vAlign w:val="center"/>
          </w:tcPr>
          <w:p w14:paraId="56B574C9">
            <w:pPr>
              <w:keepNext w:val="0"/>
              <w:keepLines w:val="0"/>
              <w:widowControl w:val="0"/>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0.075</w:t>
            </w:r>
          </w:p>
        </w:tc>
        <w:tc>
          <w:tcPr>
            <w:tcW w:w="1271" w:type="dxa"/>
            <w:tcBorders>
              <w:tl2br w:val="nil"/>
              <w:tr2bl w:val="nil"/>
            </w:tcBorders>
            <w:noWrap w:val="0"/>
            <w:vAlign w:val="center"/>
          </w:tcPr>
          <w:p w14:paraId="4FA08029">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5BD7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continue"/>
            <w:tcBorders>
              <w:tl2br w:val="nil"/>
              <w:tr2bl w:val="nil"/>
            </w:tcBorders>
            <w:noWrap w:val="0"/>
            <w:vAlign w:val="center"/>
          </w:tcPr>
          <w:p w14:paraId="1BC50FDE">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p>
        </w:tc>
        <w:tc>
          <w:tcPr>
            <w:tcW w:w="690" w:type="dxa"/>
            <w:tcBorders>
              <w:tl2br w:val="nil"/>
              <w:tr2bl w:val="nil"/>
            </w:tcBorders>
            <w:noWrap w:val="0"/>
            <w:vAlign w:val="center"/>
          </w:tcPr>
          <w:p w14:paraId="58BE0D89">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6</w:t>
            </w:r>
          </w:p>
        </w:tc>
        <w:tc>
          <w:tcPr>
            <w:tcW w:w="1824" w:type="dxa"/>
            <w:tcBorders>
              <w:tl2br w:val="nil"/>
              <w:tr2bl w:val="nil"/>
            </w:tcBorders>
            <w:shd w:val="clear" w:color="auto" w:fill="auto"/>
            <w:noWrap w:val="0"/>
            <w:vAlign w:val="center"/>
          </w:tcPr>
          <w:p w14:paraId="1EEFB4AE">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拟建线路路径处</w:t>
            </w:r>
            <w:r>
              <w:rPr>
                <w:rFonts w:hint="default" w:ascii="宋体" w:hAnsi="宋体" w:eastAsia="宋体" w:cs="宋体"/>
                <w:color w:val="000000" w:themeColor="text1"/>
                <w:kern w:val="0"/>
                <w:sz w:val="21"/>
                <w:szCs w:val="21"/>
                <w:lang w:val="en-US" w:eastAsia="zh-CN" w:bidi="ar"/>
                <w14:textFill>
                  <w14:solidFill>
                    <w14:schemeClr w14:val="tx1"/>
                  </w14:solidFill>
                </w14:textFill>
              </w:rPr>
              <w:t>2</w:t>
            </w:r>
          </w:p>
        </w:tc>
        <w:tc>
          <w:tcPr>
            <w:tcW w:w="981" w:type="dxa"/>
            <w:tcBorders>
              <w:tl2br w:val="nil"/>
              <w:tr2bl w:val="nil"/>
            </w:tcBorders>
            <w:noWrap w:val="0"/>
            <w:vAlign w:val="center"/>
          </w:tcPr>
          <w:p w14:paraId="72639B7F">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2B05460D">
            <w:pPr>
              <w:keepNext w:val="0"/>
              <w:keepLines w:val="0"/>
              <w:widowControl w:val="0"/>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8.600</w:t>
            </w:r>
          </w:p>
        </w:tc>
        <w:tc>
          <w:tcPr>
            <w:tcW w:w="1245" w:type="dxa"/>
            <w:tcBorders>
              <w:tl2br w:val="nil"/>
              <w:tr2bl w:val="nil"/>
            </w:tcBorders>
            <w:shd w:val="clear" w:color="auto" w:fill="auto"/>
            <w:noWrap w:val="0"/>
            <w:vAlign w:val="center"/>
          </w:tcPr>
          <w:p w14:paraId="713D9909">
            <w:pPr>
              <w:keepNext w:val="0"/>
              <w:keepLines w:val="0"/>
              <w:widowControl w:val="0"/>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0.325</w:t>
            </w:r>
          </w:p>
        </w:tc>
        <w:tc>
          <w:tcPr>
            <w:tcW w:w="1271" w:type="dxa"/>
            <w:tcBorders>
              <w:tl2br w:val="nil"/>
              <w:tr2bl w:val="nil"/>
            </w:tcBorders>
            <w:noWrap w:val="0"/>
            <w:vAlign w:val="center"/>
          </w:tcPr>
          <w:p w14:paraId="3FE0A635">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79F3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restart"/>
            <w:tcBorders>
              <w:tl2br w:val="nil"/>
              <w:tr2bl w:val="nil"/>
            </w:tcBorders>
            <w:noWrap w:val="0"/>
            <w:vAlign w:val="center"/>
          </w:tcPr>
          <w:p w14:paraId="258B79E4">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申庄~黄铎堡π入三岔变电站110千伏架空线路工程（清水河变侧）</w:t>
            </w:r>
          </w:p>
        </w:tc>
        <w:tc>
          <w:tcPr>
            <w:tcW w:w="690" w:type="dxa"/>
            <w:tcBorders>
              <w:tl2br w:val="nil"/>
              <w:tr2bl w:val="nil"/>
            </w:tcBorders>
            <w:noWrap w:val="0"/>
            <w:vAlign w:val="center"/>
          </w:tcPr>
          <w:p w14:paraId="72B4B62C">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7</w:t>
            </w:r>
          </w:p>
        </w:tc>
        <w:tc>
          <w:tcPr>
            <w:tcW w:w="1824" w:type="dxa"/>
            <w:tcBorders>
              <w:tl2br w:val="nil"/>
              <w:tr2bl w:val="nil"/>
            </w:tcBorders>
            <w:shd w:val="clear" w:color="auto" w:fill="auto"/>
            <w:noWrap w:val="0"/>
            <w:vAlign w:val="center"/>
          </w:tcPr>
          <w:p w14:paraId="1B24E775">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拟建线路路径处</w:t>
            </w:r>
            <w:r>
              <w:rPr>
                <w:rFonts w:hint="default" w:ascii="宋体" w:hAnsi="宋体" w:eastAsia="宋体" w:cs="宋体"/>
                <w:color w:val="000000" w:themeColor="text1"/>
                <w:kern w:val="0"/>
                <w:sz w:val="21"/>
                <w:szCs w:val="21"/>
                <w:lang w:val="en-US" w:eastAsia="zh-CN" w:bidi="ar"/>
                <w14:textFill>
                  <w14:solidFill>
                    <w14:schemeClr w14:val="tx1"/>
                  </w14:solidFill>
                </w14:textFill>
              </w:rPr>
              <w:t>1</w:t>
            </w:r>
          </w:p>
        </w:tc>
        <w:tc>
          <w:tcPr>
            <w:tcW w:w="981" w:type="dxa"/>
            <w:tcBorders>
              <w:tl2br w:val="nil"/>
              <w:tr2bl w:val="nil"/>
            </w:tcBorders>
            <w:noWrap w:val="0"/>
            <w:vAlign w:val="center"/>
          </w:tcPr>
          <w:p w14:paraId="5EDC3BAF">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3C7EAFD8">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7.156</w:t>
            </w:r>
          </w:p>
        </w:tc>
        <w:tc>
          <w:tcPr>
            <w:tcW w:w="1245" w:type="dxa"/>
            <w:tcBorders>
              <w:tl2br w:val="nil"/>
              <w:tr2bl w:val="nil"/>
            </w:tcBorders>
            <w:shd w:val="clear" w:color="auto" w:fill="auto"/>
            <w:noWrap w:val="0"/>
            <w:vAlign w:val="center"/>
          </w:tcPr>
          <w:p w14:paraId="7FFDCBEA">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0.263</w:t>
            </w:r>
          </w:p>
        </w:tc>
        <w:tc>
          <w:tcPr>
            <w:tcW w:w="1271" w:type="dxa"/>
            <w:tcBorders>
              <w:tl2br w:val="nil"/>
              <w:tr2bl w:val="nil"/>
            </w:tcBorders>
            <w:noWrap w:val="0"/>
            <w:vAlign w:val="center"/>
          </w:tcPr>
          <w:p w14:paraId="6077C090">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4BE1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continue"/>
            <w:tcBorders>
              <w:tl2br w:val="nil"/>
              <w:tr2bl w:val="nil"/>
            </w:tcBorders>
            <w:noWrap w:val="0"/>
            <w:vAlign w:val="center"/>
          </w:tcPr>
          <w:p w14:paraId="724CA119">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p>
        </w:tc>
        <w:tc>
          <w:tcPr>
            <w:tcW w:w="690" w:type="dxa"/>
            <w:tcBorders>
              <w:tl2br w:val="nil"/>
              <w:tr2bl w:val="nil"/>
            </w:tcBorders>
            <w:noWrap w:val="0"/>
            <w:vAlign w:val="center"/>
          </w:tcPr>
          <w:p w14:paraId="141B439F">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8</w:t>
            </w:r>
          </w:p>
        </w:tc>
        <w:tc>
          <w:tcPr>
            <w:tcW w:w="1824" w:type="dxa"/>
            <w:tcBorders>
              <w:tl2br w:val="nil"/>
              <w:tr2bl w:val="nil"/>
            </w:tcBorders>
            <w:shd w:val="clear" w:color="auto" w:fill="auto"/>
            <w:noWrap w:val="0"/>
            <w:vAlign w:val="center"/>
          </w:tcPr>
          <w:p w14:paraId="48BAF51A">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拟建线路路径处</w:t>
            </w:r>
            <w:r>
              <w:rPr>
                <w:rFonts w:hint="default" w:ascii="宋体" w:hAnsi="宋体" w:eastAsia="宋体" w:cs="宋体"/>
                <w:color w:val="000000" w:themeColor="text1"/>
                <w:kern w:val="0"/>
                <w:sz w:val="21"/>
                <w:szCs w:val="21"/>
                <w:lang w:val="en-US" w:eastAsia="zh-CN" w:bidi="ar"/>
                <w14:textFill>
                  <w14:solidFill>
                    <w14:schemeClr w14:val="tx1"/>
                  </w14:solidFill>
                </w14:textFill>
              </w:rPr>
              <w:t>2</w:t>
            </w:r>
          </w:p>
        </w:tc>
        <w:tc>
          <w:tcPr>
            <w:tcW w:w="981" w:type="dxa"/>
            <w:tcBorders>
              <w:tl2br w:val="nil"/>
              <w:tr2bl w:val="nil"/>
            </w:tcBorders>
            <w:noWrap w:val="0"/>
            <w:vAlign w:val="center"/>
          </w:tcPr>
          <w:p w14:paraId="69DF9E49">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561813E1">
            <w:pPr>
              <w:keepNext w:val="0"/>
              <w:keepLines w:val="0"/>
              <w:widowControl w:val="0"/>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13.759</w:t>
            </w:r>
          </w:p>
        </w:tc>
        <w:tc>
          <w:tcPr>
            <w:tcW w:w="1245" w:type="dxa"/>
            <w:tcBorders>
              <w:tl2br w:val="nil"/>
              <w:tr2bl w:val="nil"/>
            </w:tcBorders>
            <w:shd w:val="clear" w:color="auto" w:fill="auto"/>
            <w:noWrap w:val="0"/>
            <w:vAlign w:val="center"/>
          </w:tcPr>
          <w:p w14:paraId="69DEEBA8">
            <w:pPr>
              <w:keepNext w:val="0"/>
              <w:keepLines w:val="0"/>
              <w:widowControl w:val="0"/>
              <w:suppressLineNumbers w:val="0"/>
              <w:spacing w:before="0" w:beforeAutospacing="0" w:after="0" w:afterAutospacing="0" w:line="240" w:lineRule="atLeast"/>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0.525</w:t>
            </w:r>
          </w:p>
        </w:tc>
        <w:tc>
          <w:tcPr>
            <w:tcW w:w="1271" w:type="dxa"/>
            <w:tcBorders>
              <w:tl2br w:val="nil"/>
              <w:tr2bl w:val="nil"/>
            </w:tcBorders>
            <w:noWrap w:val="0"/>
            <w:vAlign w:val="center"/>
          </w:tcPr>
          <w:p w14:paraId="05ABD88B">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受已建线路影响</w:t>
            </w:r>
          </w:p>
        </w:tc>
      </w:tr>
      <w:tr w14:paraId="586BD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restart"/>
            <w:tcBorders>
              <w:tl2br w:val="nil"/>
              <w:tr2bl w:val="nil"/>
            </w:tcBorders>
            <w:shd w:val="clear" w:color="auto" w:fill="F1F1F1" w:themeFill="background1" w:themeFillShade="F2"/>
            <w:noWrap w:val="0"/>
            <w:vAlign w:val="center"/>
          </w:tcPr>
          <w:p w14:paraId="50E777C0">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敏感目标</w:t>
            </w:r>
          </w:p>
        </w:tc>
        <w:tc>
          <w:tcPr>
            <w:tcW w:w="690" w:type="dxa"/>
            <w:tcBorders>
              <w:tl2br w:val="nil"/>
              <w:tr2bl w:val="nil"/>
            </w:tcBorders>
            <w:shd w:val="clear" w:color="auto" w:fill="F1F1F1" w:themeFill="background1" w:themeFillShade="F2"/>
            <w:noWrap w:val="0"/>
            <w:vAlign w:val="center"/>
          </w:tcPr>
          <w:p w14:paraId="471C1184">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9</w:t>
            </w:r>
          </w:p>
        </w:tc>
        <w:tc>
          <w:tcPr>
            <w:tcW w:w="1824" w:type="dxa"/>
            <w:tcBorders>
              <w:tl2br w:val="nil"/>
              <w:tr2bl w:val="nil"/>
            </w:tcBorders>
            <w:shd w:val="clear" w:color="auto" w:fill="F1F1F1" w:themeFill="background1" w:themeFillShade="F2"/>
            <w:noWrap w:val="0"/>
            <w:vAlign w:val="center"/>
          </w:tcPr>
          <w:p w14:paraId="39772C54">
            <w:pPr>
              <w:keepNext w:val="0"/>
              <w:keepLines w:val="0"/>
              <w:widowControl/>
              <w:suppressLineNumbers w:val="0"/>
              <w:spacing w:before="0" w:beforeAutospacing="0" w:after="0" w:afterAutospacing="0"/>
              <w:ind w:left="0" w:right="0"/>
              <w:jc w:val="center"/>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981" w:type="dxa"/>
            <w:tcBorders>
              <w:tl2br w:val="nil"/>
              <w:tr2bl w:val="nil"/>
            </w:tcBorders>
            <w:shd w:val="clear" w:color="auto" w:fill="F1F1F1" w:themeFill="background1" w:themeFillShade="F2"/>
            <w:noWrap w:val="0"/>
            <w:vAlign w:val="center"/>
          </w:tcPr>
          <w:p w14:paraId="234FB66B">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12CC5955">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14.675</w:t>
            </w:r>
          </w:p>
        </w:tc>
        <w:tc>
          <w:tcPr>
            <w:tcW w:w="1245" w:type="dxa"/>
            <w:tcBorders>
              <w:tl2br w:val="nil"/>
              <w:tr2bl w:val="nil"/>
            </w:tcBorders>
            <w:shd w:val="clear" w:color="auto" w:fill="auto"/>
            <w:noWrap w:val="0"/>
            <w:vAlign w:val="center"/>
          </w:tcPr>
          <w:p w14:paraId="2B732342">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0.390</w:t>
            </w:r>
          </w:p>
        </w:tc>
        <w:tc>
          <w:tcPr>
            <w:tcW w:w="1271" w:type="dxa"/>
            <w:tcBorders>
              <w:tl2br w:val="nil"/>
              <w:tr2bl w:val="nil"/>
            </w:tcBorders>
            <w:shd w:val="clear" w:color="auto" w:fill="F1F1F1" w:themeFill="background1" w:themeFillShade="F2"/>
            <w:noWrap w:val="0"/>
            <w:vAlign w:val="center"/>
          </w:tcPr>
          <w:p w14:paraId="32823C1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受已建线路影响</w:t>
            </w:r>
          </w:p>
        </w:tc>
      </w:tr>
      <w:tr w14:paraId="51981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continue"/>
            <w:tcBorders>
              <w:tl2br w:val="nil"/>
              <w:tr2bl w:val="nil"/>
            </w:tcBorders>
            <w:shd w:val="clear" w:color="auto" w:fill="F1F1F1" w:themeFill="background1" w:themeFillShade="F2"/>
            <w:noWrap w:val="0"/>
            <w:vAlign w:val="center"/>
          </w:tcPr>
          <w:p w14:paraId="1DA2DD8D">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p>
        </w:tc>
        <w:tc>
          <w:tcPr>
            <w:tcW w:w="690" w:type="dxa"/>
            <w:tcBorders>
              <w:tl2br w:val="nil"/>
              <w:tr2bl w:val="nil"/>
            </w:tcBorders>
            <w:shd w:val="clear" w:color="auto" w:fill="F1F1F1" w:themeFill="background1" w:themeFillShade="F2"/>
            <w:noWrap w:val="0"/>
            <w:vAlign w:val="center"/>
          </w:tcPr>
          <w:p w14:paraId="7BDDF0B4">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10</w:t>
            </w:r>
          </w:p>
        </w:tc>
        <w:tc>
          <w:tcPr>
            <w:tcW w:w="1824" w:type="dxa"/>
            <w:tcBorders>
              <w:tl2br w:val="nil"/>
              <w:tr2bl w:val="nil"/>
            </w:tcBorders>
            <w:shd w:val="clear" w:color="auto" w:fill="F1F1F1" w:themeFill="background1" w:themeFillShade="F2"/>
            <w:noWrap w:val="0"/>
            <w:vAlign w:val="center"/>
          </w:tcPr>
          <w:p w14:paraId="14A6C1DD">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981" w:type="dxa"/>
            <w:tcBorders>
              <w:tl2br w:val="nil"/>
              <w:tr2bl w:val="nil"/>
            </w:tcBorders>
            <w:shd w:val="clear" w:color="auto" w:fill="F1F1F1" w:themeFill="background1" w:themeFillShade="F2"/>
            <w:noWrap w:val="0"/>
            <w:vAlign w:val="center"/>
          </w:tcPr>
          <w:p w14:paraId="440BD1F6">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67DC3134">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17.823</w:t>
            </w:r>
          </w:p>
        </w:tc>
        <w:tc>
          <w:tcPr>
            <w:tcW w:w="1245" w:type="dxa"/>
            <w:tcBorders>
              <w:tl2br w:val="nil"/>
              <w:tr2bl w:val="nil"/>
            </w:tcBorders>
            <w:shd w:val="clear" w:color="auto" w:fill="auto"/>
            <w:noWrap w:val="0"/>
            <w:vAlign w:val="center"/>
          </w:tcPr>
          <w:p w14:paraId="588F88AF">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1.867</w:t>
            </w:r>
          </w:p>
        </w:tc>
        <w:tc>
          <w:tcPr>
            <w:tcW w:w="1271" w:type="dxa"/>
            <w:tcBorders>
              <w:tl2br w:val="nil"/>
              <w:tr2bl w:val="nil"/>
            </w:tcBorders>
            <w:shd w:val="clear" w:color="auto" w:fill="F1F1F1" w:themeFill="background1" w:themeFillShade="F2"/>
            <w:noWrap w:val="0"/>
            <w:vAlign w:val="center"/>
          </w:tcPr>
          <w:p w14:paraId="786A989D">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受已建线路影响</w:t>
            </w:r>
          </w:p>
        </w:tc>
      </w:tr>
      <w:tr w14:paraId="34C0A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continue"/>
            <w:tcBorders>
              <w:tl2br w:val="nil"/>
              <w:tr2bl w:val="nil"/>
            </w:tcBorders>
            <w:shd w:val="clear" w:color="auto" w:fill="F1F1F1" w:themeFill="background1" w:themeFillShade="F2"/>
            <w:noWrap w:val="0"/>
            <w:vAlign w:val="center"/>
          </w:tcPr>
          <w:p w14:paraId="56025F0B">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p>
        </w:tc>
        <w:tc>
          <w:tcPr>
            <w:tcW w:w="690" w:type="dxa"/>
            <w:tcBorders>
              <w:tl2br w:val="nil"/>
              <w:tr2bl w:val="nil"/>
            </w:tcBorders>
            <w:shd w:val="clear" w:color="auto" w:fill="F1F1F1" w:themeFill="background1" w:themeFillShade="F2"/>
            <w:noWrap w:val="0"/>
            <w:vAlign w:val="center"/>
          </w:tcPr>
          <w:p w14:paraId="6446E6CC">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11</w:t>
            </w:r>
          </w:p>
        </w:tc>
        <w:tc>
          <w:tcPr>
            <w:tcW w:w="1824" w:type="dxa"/>
            <w:tcBorders>
              <w:tl2br w:val="nil"/>
              <w:tr2bl w:val="nil"/>
            </w:tcBorders>
            <w:shd w:val="clear" w:color="auto" w:fill="F1F1F1" w:themeFill="background1" w:themeFillShade="F2"/>
            <w:noWrap w:val="0"/>
            <w:vAlign w:val="center"/>
          </w:tcPr>
          <w:p w14:paraId="0AA94663">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981" w:type="dxa"/>
            <w:tcBorders>
              <w:tl2br w:val="nil"/>
              <w:tr2bl w:val="nil"/>
            </w:tcBorders>
            <w:shd w:val="clear" w:color="auto" w:fill="F1F1F1" w:themeFill="background1" w:themeFillShade="F2"/>
            <w:noWrap w:val="0"/>
            <w:vAlign w:val="center"/>
          </w:tcPr>
          <w:p w14:paraId="12E6CD0F">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624E33B1">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3.204</w:t>
            </w:r>
          </w:p>
        </w:tc>
        <w:tc>
          <w:tcPr>
            <w:tcW w:w="1245" w:type="dxa"/>
            <w:tcBorders>
              <w:tl2br w:val="nil"/>
              <w:tr2bl w:val="nil"/>
            </w:tcBorders>
            <w:shd w:val="clear" w:color="auto" w:fill="auto"/>
            <w:noWrap w:val="0"/>
            <w:vAlign w:val="center"/>
          </w:tcPr>
          <w:p w14:paraId="3D8DC430">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0.086</w:t>
            </w:r>
          </w:p>
        </w:tc>
        <w:tc>
          <w:tcPr>
            <w:tcW w:w="1271" w:type="dxa"/>
            <w:tcBorders>
              <w:tl2br w:val="nil"/>
              <w:tr2bl w:val="nil"/>
            </w:tcBorders>
            <w:shd w:val="clear" w:color="auto" w:fill="F1F1F1" w:themeFill="background1" w:themeFillShade="F2"/>
            <w:noWrap w:val="0"/>
            <w:vAlign w:val="center"/>
          </w:tcPr>
          <w:p w14:paraId="5309030F">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957A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continue"/>
            <w:tcBorders>
              <w:tl2br w:val="nil"/>
              <w:tr2bl w:val="nil"/>
            </w:tcBorders>
            <w:shd w:val="clear" w:color="auto" w:fill="F1F1F1" w:themeFill="background1" w:themeFillShade="F2"/>
            <w:noWrap w:val="0"/>
            <w:vAlign w:val="center"/>
          </w:tcPr>
          <w:p w14:paraId="3AACE232">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p>
        </w:tc>
        <w:tc>
          <w:tcPr>
            <w:tcW w:w="690" w:type="dxa"/>
            <w:tcBorders>
              <w:tl2br w:val="nil"/>
              <w:tr2bl w:val="nil"/>
            </w:tcBorders>
            <w:shd w:val="clear" w:color="auto" w:fill="F1F1F1" w:themeFill="background1" w:themeFillShade="F2"/>
            <w:noWrap w:val="0"/>
            <w:vAlign w:val="center"/>
          </w:tcPr>
          <w:p w14:paraId="266CBCF4">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12</w:t>
            </w:r>
          </w:p>
        </w:tc>
        <w:tc>
          <w:tcPr>
            <w:tcW w:w="1824" w:type="dxa"/>
            <w:tcBorders>
              <w:tl2br w:val="nil"/>
              <w:tr2bl w:val="nil"/>
            </w:tcBorders>
            <w:shd w:val="clear" w:color="auto" w:fill="F1F1F1" w:themeFill="background1" w:themeFillShade="F2"/>
            <w:noWrap w:val="0"/>
            <w:vAlign w:val="center"/>
          </w:tcPr>
          <w:p w14:paraId="0D9C14FF">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981" w:type="dxa"/>
            <w:tcBorders>
              <w:tl2br w:val="nil"/>
              <w:tr2bl w:val="nil"/>
            </w:tcBorders>
            <w:shd w:val="clear" w:color="auto" w:fill="F1F1F1" w:themeFill="background1" w:themeFillShade="F2"/>
            <w:noWrap w:val="0"/>
            <w:vAlign w:val="center"/>
          </w:tcPr>
          <w:p w14:paraId="666C0E48">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482E2097">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1.647</w:t>
            </w:r>
          </w:p>
        </w:tc>
        <w:tc>
          <w:tcPr>
            <w:tcW w:w="1245" w:type="dxa"/>
            <w:tcBorders>
              <w:tl2br w:val="nil"/>
              <w:tr2bl w:val="nil"/>
            </w:tcBorders>
            <w:shd w:val="clear" w:color="auto" w:fill="auto"/>
            <w:noWrap w:val="0"/>
            <w:vAlign w:val="center"/>
          </w:tcPr>
          <w:p w14:paraId="0006C68C">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0.033</w:t>
            </w:r>
          </w:p>
        </w:tc>
        <w:tc>
          <w:tcPr>
            <w:tcW w:w="1271" w:type="dxa"/>
            <w:tcBorders>
              <w:tl2br w:val="nil"/>
              <w:tr2bl w:val="nil"/>
            </w:tcBorders>
            <w:shd w:val="clear" w:color="auto" w:fill="F1F1F1" w:themeFill="background1" w:themeFillShade="F2"/>
            <w:noWrap w:val="0"/>
            <w:vAlign w:val="center"/>
          </w:tcPr>
          <w:p w14:paraId="1F1B811C">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2F89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restart"/>
            <w:tcBorders>
              <w:tl2br w:val="nil"/>
              <w:tr2bl w:val="nil"/>
            </w:tcBorders>
            <w:noWrap w:val="0"/>
            <w:vAlign w:val="center"/>
          </w:tcPr>
          <w:p w14:paraId="4D77F104">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申庄～黄铎堡改接清水河变电站110kV线路工程（架空段）</w:t>
            </w:r>
          </w:p>
        </w:tc>
        <w:tc>
          <w:tcPr>
            <w:tcW w:w="690" w:type="dxa"/>
            <w:tcBorders>
              <w:tl2br w:val="nil"/>
              <w:tr2bl w:val="nil"/>
            </w:tcBorders>
            <w:noWrap w:val="0"/>
            <w:vAlign w:val="center"/>
          </w:tcPr>
          <w:p w14:paraId="0934DAAD">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13</w:t>
            </w:r>
          </w:p>
        </w:tc>
        <w:tc>
          <w:tcPr>
            <w:tcW w:w="1824" w:type="dxa"/>
            <w:tcBorders>
              <w:tl2br w:val="nil"/>
              <w:tr2bl w:val="nil"/>
            </w:tcBorders>
            <w:shd w:val="clear" w:color="auto" w:fill="auto"/>
            <w:noWrap w:val="0"/>
            <w:vAlign w:val="center"/>
          </w:tcPr>
          <w:p w14:paraId="0508FB72">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拟建线路路径处</w:t>
            </w:r>
            <w:r>
              <w:rPr>
                <w:rFonts w:hint="default" w:ascii="宋体" w:hAnsi="宋体" w:eastAsia="宋体" w:cs="宋体"/>
                <w:color w:val="000000" w:themeColor="text1"/>
                <w:kern w:val="0"/>
                <w:sz w:val="21"/>
                <w:szCs w:val="21"/>
                <w:lang w:val="en-US" w:eastAsia="zh-CN" w:bidi="ar"/>
                <w14:textFill>
                  <w14:solidFill>
                    <w14:schemeClr w14:val="tx1"/>
                  </w14:solidFill>
                </w14:textFill>
              </w:rPr>
              <w:t>1</w:t>
            </w:r>
          </w:p>
        </w:tc>
        <w:tc>
          <w:tcPr>
            <w:tcW w:w="981" w:type="dxa"/>
            <w:tcBorders>
              <w:tl2br w:val="nil"/>
              <w:tr2bl w:val="nil"/>
            </w:tcBorders>
            <w:noWrap w:val="0"/>
            <w:vAlign w:val="center"/>
          </w:tcPr>
          <w:p w14:paraId="67697431">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0EF47658">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6.888</w:t>
            </w:r>
          </w:p>
        </w:tc>
        <w:tc>
          <w:tcPr>
            <w:tcW w:w="1245" w:type="dxa"/>
            <w:tcBorders>
              <w:tl2br w:val="nil"/>
              <w:tr2bl w:val="nil"/>
            </w:tcBorders>
            <w:shd w:val="clear" w:color="auto" w:fill="auto"/>
            <w:noWrap w:val="0"/>
            <w:vAlign w:val="center"/>
          </w:tcPr>
          <w:p w14:paraId="1E147811">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0.035</w:t>
            </w:r>
          </w:p>
        </w:tc>
        <w:tc>
          <w:tcPr>
            <w:tcW w:w="1271" w:type="dxa"/>
            <w:tcBorders>
              <w:tl2br w:val="nil"/>
              <w:tr2bl w:val="nil"/>
            </w:tcBorders>
            <w:noWrap w:val="0"/>
            <w:vAlign w:val="center"/>
          </w:tcPr>
          <w:p w14:paraId="4B6CF143">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058F9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vMerge w:val="continue"/>
            <w:tcBorders>
              <w:tl2br w:val="nil"/>
              <w:tr2bl w:val="nil"/>
            </w:tcBorders>
            <w:noWrap w:val="0"/>
            <w:vAlign w:val="center"/>
          </w:tcPr>
          <w:p w14:paraId="54F18096">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p>
        </w:tc>
        <w:tc>
          <w:tcPr>
            <w:tcW w:w="690" w:type="dxa"/>
            <w:tcBorders>
              <w:tl2br w:val="nil"/>
              <w:tr2bl w:val="nil"/>
            </w:tcBorders>
            <w:noWrap w:val="0"/>
            <w:vAlign w:val="center"/>
          </w:tcPr>
          <w:p w14:paraId="2C88B02D">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14</w:t>
            </w:r>
          </w:p>
        </w:tc>
        <w:tc>
          <w:tcPr>
            <w:tcW w:w="1824" w:type="dxa"/>
            <w:tcBorders>
              <w:tl2br w:val="nil"/>
              <w:tr2bl w:val="nil"/>
            </w:tcBorders>
            <w:shd w:val="clear" w:color="auto" w:fill="auto"/>
            <w:noWrap w:val="0"/>
            <w:vAlign w:val="center"/>
          </w:tcPr>
          <w:p w14:paraId="39B5CED1">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拟建线路路径处</w:t>
            </w:r>
            <w:r>
              <w:rPr>
                <w:rFonts w:hint="default" w:ascii="宋体" w:hAnsi="宋体" w:eastAsia="宋体" w:cs="宋体"/>
                <w:color w:val="000000" w:themeColor="text1"/>
                <w:kern w:val="0"/>
                <w:sz w:val="21"/>
                <w:szCs w:val="21"/>
                <w:lang w:val="en-US" w:eastAsia="zh-CN" w:bidi="ar"/>
                <w14:textFill>
                  <w14:solidFill>
                    <w14:schemeClr w14:val="tx1"/>
                  </w14:solidFill>
                </w14:textFill>
              </w:rPr>
              <w:t>2</w:t>
            </w:r>
          </w:p>
        </w:tc>
        <w:tc>
          <w:tcPr>
            <w:tcW w:w="981" w:type="dxa"/>
            <w:tcBorders>
              <w:tl2br w:val="nil"/>
              <w:tr2bl w:val="nil"/>
            </w:tcBorders>
            <w:noWrap w:val="0"/>
            <w:vAlign w:val="center"/>
          </w:tcPr>
          <w:p w14:paraId="6137B40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2AF3B203">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30.959</w:t>
            </w:r>
          </w:p>
        </w:tc>
        <w:tc>
          <w:tcPr>
            <w:tcW w:w="1245" w:type="dxa"/>
            <w:tcBorders>
              <w:tl2br w:val="nil"/>
              <w:tr2bl w:val="nil"/>
            </w:tcBorders>
            <w:shd w:val="clear" w:color="auto" w:fill="auto"/>
            <w:noWrap w:val="0"/>
            <w:vAlign w:val="center"/>
          </w:tcPr>
          <w:p w14:paraId="5AC40C2A">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0.671</w:t>
            </w:r>
          </w:p>
        </w:tc>
        <w:tc>
          <w:tcPr>
            <w:tcW w:w="1271" w:type="dxa"/>
            <w:tcBorders>
              <w:tl2br w:val="nil"/>
              <w:tr2bl w:val="nil"/>
            </w:tcBorders>
            <w:noWrap w:val="0"/>
            <w:vAlign w:val="center"/>
          </w:tcPr>
          <w:p w14:paraId="58CED663">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受已建线路影响</w:t>
            </w:r>
          </w:p>
        </w:tc>
      </w:tr>
      <w:tr w14:paraId="0CFBC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tcBorders>
              <w:tl2br w:val="nil"/>
              <w:tr2bl w:val="nil"/>
            </w:tcBorders>
            <w:noWrap w:val="0"/>
            <w:vAlign w:val="center"/>
          </w:tcPr>
          <w:p w14:paraId="322FBC80">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申庄～黄铎堡改接清水河变电站110kV线路工程（电缆段）</w:t>
            </w:r>
          </w:p>
        </w:tc>
        <w:tc>
          <w:tcPr>
            <w:tcW w:w="690" w:type="dxa"/>
            <w:tcBorders>
              <w:tl2br w:val="nil"/>
              <w:tr2bl w:val="nil"/>
            </w:tcBorders>
            <w:noWrap w:val="0"/>
            <w:vAlign w:val="center"/>
          </w:tcPr>
          <w:p w14:paraId="34FD3039">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15</w:t>
            </w:r>
          </w:p>
        </w:tc>
        <w:tc>
          <w:tcPr>
            <w:tcW w:w="1824" w:type="dxa"/>
            <w:tcBorders>
              <w:tl2br w:val="nil"/>
              <w:tr2bl w:val="nil"/>
            </w:tcBorders>
            <w:shd w:val="clear" w:color="auto" w:fill="auto"/>
            <w:noWrap w:val="0"/>
            <w:vAlign w:val="center"/>
          </w:tcPr>
          <w:p w14:paraId="544174D0">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拟建线路路径处</w:t>
            </w:r>
            <w:r>
              <w:rPr>
                <w:rFonts w:hint="default" w:ascii="宋体" w:hAnsi="宋体" w:eastAsia="宋体" w:cs="宋体"/>
                <w:color w:val="000000" w:themeColor="text1"/>
                <w:kern w:val="0"/>
                <w:sz w:val="21"/>
                <w:szCs w:val="21"/>
                <w:lang w:val="en-US" w:eastAsia="zh-CN" w:bidi="ar"/>
                <w14:textFill>
                  <w14:solidFill>
                    <w14:schemeClr w14:val="tx1"/>
                  </w14:solidFill>
                </w14:textFill>
              </w:rPr>
              <w:t>1</w:t>
            </w:r>
          </w:p>
        </w:tc>
        <w:tc>
          <w:tcPr>
            <w:tcW w:w="981" w:type="dxa"/>
            <w:tcBorders>
              <w:tl2br w:val="nil"/>
              <w:tr2bl w:val="nil"/>
            </w:tcBorders>
            <w:noWrap w:val="0"/>
            <w:vAlign w:val="center"/>
          </w:tcPr>
          <w:p w14:paraId="44D686BB">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5A1F9769">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2.344</w:t>
            </w:r>
          </w:p>
        </w:tc>
        <w:tc>
          <w:tcPr>
            <w:tcW w:w="1245" w:type="dxa"/>
            <w:tcBorders>
              <w:tl2br w:val="nil"/>
              <w:tr2bl w:val="nil"/>
            </w:tcBorders>
            <w:shd w:val="clear" w:color="auto" w:fill="auto"/>
            <w:noWrap w:val="0"/>
            <w:vAlign w:val="center"/>
          </w:tcPr>
          <w:p w14:paraId="73BB93BA">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17.902</w:t>
            </w:r>
          </w:p>
        </w:tc>
        <w:tc>
          <w:tcPr>
            <w:tcW w:w="1271" w:type="dxa"/>
            <w:tcBorders>
              <w:tl2br w:val="nil"/>
              <w:tr2bl w:val="nil"/>
            </w:tcBorders>
            <w:noWrap w:val="0"/>
            <w:vAlign w:val="center"/>
          </w:tcPr>
          <w:p w14:paraId="2394C9BA">
            <w:pPr>
              <w:keepNext w:val="0"/>
              <w:keepLines w:val="0"/>
              <w:widowControl w:val="0"/>
              <w:suppressLineNumbers w:val="0"/>
              <w:spacing w:before="0" w:beforeAutospacing="0" w:after="0" w:afterAutospacing="0" w:line="240" w:lineRule="atLeast"/>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075CB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tcBorders>
              <w:tl2br w:val="nil"/>
              <w:tr2bl w:val="nil"/>
            </w:tcBorders>
            <w:noWrap w:val="0"/>
            <w:vAlign w:val="center"/>
          </w:tcPr>
          <w:p w14:paraId="366152B9">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清水河~申庄改接绿塬变电站110kV线路工程（架空段）</w:t>
            </w:r>
          </w:p>
        </w:tc>
        <w:tc>
          <w:tcPr>
            <w:tcW w:w="690" w:type="dxa"/>
            <w:tcBorders>
              <w:tl2br w:val="nil"/>
              <w:tr2bl w:val="nil"/>
            </w:tcBorders>
            <w:noWrap w:val="0"/>
            <w:vAlign w:val="center"/>
          </w:tcPr>
          <w:p w14:paraId="1D00BB9F">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16</w:t>
            </w:r>
          </w:p>
        </w:tc>
        <w:tc>
          <w:tcPr>
            <w:tcW w:w="1824" w:type="dxa"/>
            <w:tcBorders>
              <w:tl2br w:val="nil"/>
              <w:tr2bl w:val="nil"/>
            </w:tcBorders>
            <w:shd w:val="clear" w:color="auto" w:fill="auto"/>
            <w:noWrap w:val="0"/>
            <w:vAlign w:val="center"/>
          </w:tcPr>
          <w:p w14:paraId="0EBB1D75">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拟建线路路径处</w:t>
            </w:r>
            <w:r>
              <w:rPr>
                <w:rFonts w:hint="default" w:ascii="宋体" w:hAnsi="宋体" w:eastAsia="宋体" w:cs="宋体"/>
                <w:color w:val="000000" w:themeColor="text1"/>
                <w:kern w:val="0"/>
                <w:sz w:val="21"/>
                <w:szCs w:val="21"/>
                <w:lang w:val="en-US" w:eastAsia="zh-CN" w:bidi="ar"/>
                <w14:textFill>
                  <w14:solidFill>
                    <w14:schemeClr w14:val="tx1"/>
                  </w14:solidFill>
                </w14:textFill>
              </w:rPr>
              <w:t>1</w:t>
            </w:r>
          </w:p>
        </w:tc>
        <w:tc>
          <w:tcPr>
            <w:tcW w:w="981" w:type="dxa"/>
            <w:tcBorders>
              <w:tl2br w:val="nil"/>
              <w:tr2bl w:val="nil"/>
            </w:tcBorders>
            <w:noWrap w:val="0"/>
            <w:vAlign w:val="center"/>
          </w:tcPr>
          <w:p w14:paraId="7B71C586">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2B88D4E0">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87.600</w:t>
            </w:r>
          </w:p>
        </w:tc>
        <w:tc>
          <w:tcPr>
            <w:tcW w:w="1245" w:type="dxa"/>
            <w:tcBorders>
              <w:tl2br w:val="nil"/>
              <w:tr2bl w:val="nil"/>
            </w:tcBorders>
            <w:shd w:val="clear" w:color="auto" w:fill="auto"/>
            <w:noWrap w:val="0"/>
            <w:vAlign w:val="center"/>
          </w:tcPr>
          <w:p w14:paraId="6E940A21">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1.034</w:t>
            </w:r>
          </w:p>
        </w:tc>
        <w:tc>
          <w:tcPr>
            <w:tcW w:w="1271" w:type="dxa"/>
            <w:tcBorders>
              <w:tl2br w:val="nil"/>
              <w:tr2bl w:val="nil"/>
            </w:tcBorders>
            <w:noWrap w:val="0"/>
            <w:vAlign w:val="center"/>
          </w:tcPr>
          <w:p w14:paraId="5DA3F1E1">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受已建线路影响</w:t>
            </w:r>
          </w:p>
        </w:tc>
      </w:tr>
      <w:tr w14:paraId="312F1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1" w:type="dxa"/>
            <w:tcBorders>
              <w:tl2br w:val="nil"/>
              <w:tr2bl w:val="nil"/>
            </w:tcBorders>
            <w:noWrap w:val="0"/>
            <w:vAlign w:val="center"/>
          </w:tcPr>
          <w:p w14:paraId="5EEF5E36">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清水河~申庄改接绿塬变电站110kV线路工程（电缆段）</w:t>
            </w:r>
          </w:p>
        </w:tc>
        <w:tc>
          <w:tcPr>
            <w:tcW w:w="690" w:type="dxa"/>
            <w:tcBorders>
              <w:tl2br w:val="nil"/>
              <w:tr2bl w:val="nil"/>
            </w:tcBorders>
            <w:noWrap w:val="0"/>
            <w:vAlign w:val="center"/>
          </w:tcPr>
          <w:p w14:paraId="12DBC01B">
            <w:pPr>
              <w:pStyle w:val="4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17</w:t>
            </w:r>
          </w:p>
        </w:tc>
        <w:tc>
          <w:tcPr>
            <w:tcW w:w="1824" w:type="dxa"/>
            <w:tcBorders>
              <w:tl2br w:val="nil"/>
              <w:tr2bl w:val="nil"/>
            </w:tcBorders>
            <w:shd w:val="clear" w:color="auto" w:fill="auto"/>
            <w:noWrap w:val="0"/>
            <w:vAlign w:val="center"/>
          </w:tcPr>
          <w:p w14:paraId="1E7F9348">
            <w:pPr>
              <w:keepNext w:val="0"/>
              <w:keepLines w:val="0"/>
              <w:widowControl/>
              <w:suppressLineNumbers w:val="0"/>
              <w:spacing w:before="0" w:beforeAutospacing="0" w:after="0" w:afterAutospacing="0"/>
              <w:ind w:left="0" w:right="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拟建线路路径处</w:t>
            </w:r>
            <w:r>
              <w:rPr>
                <w:rFonts w:hint="default" w:ascii="宋体" w:hAnsi="宋体" w:eastAsia="宋体" w:cs="宋体"/>
                <w:color w:val="000000" w:themeColor="text1"/>
                <w:kern w:val="0"/>
                <w:sz w:val="21"/>
                <w:szCs w:val="21"/>
                <w:lang w:val="en-US" w:eastAsia="zh-CN" w:bidi="ar"/>
                <w14:textFill>
                  <w14:solidFill>
                    <w14:schemeClr w14:val="tx1"/>
                  </w14:solidFill>
                </w14:textFill>
              </w:rPr>
              <w:t>1</w:t>
            </w:r>
          </w:p>
        </w:tc>
        <w:tc>
          <w:tcPr>
            <w:tcW w:w="981" w:type="dxa"/>
            <w:tcBorders>
              <w:tl2br w:val="nil"/>
              <w:tr2bl w:val="nil"/>
            </w:tcBorders>
            <w:noWrap w:val="0"/>
            <w:vAlign w:val="center"/>
          </w:tcPr>
          <w:p w14:paraId="4CF9E5E0">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45" w:type="dxa"/>
            <w:tcBorders>
              <w:tl2br w:val="nil"/>
              <w:tr2bl w:val="nil"/>
            </w:tcBorders>
            <w:shd w:val="clear" w:color="auto" w:fill="auto"/>
            <w:noWrap w:val="0"/>
            <w:vAlign w:val="center"/>
          </w:tcPr>
          <w:p w14:paraId="2BAF89CF">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2103.000</w:t>
            </w:r>
          </w:p>
        </w:tc>
        <w:tc>
          <w:tcPr>
            <w:tcW w:w="1245" w:type="dxa"/>
            <w:tcBorders>
              <w:tl2br w:val="nil"/>
              <w:tr2bl w:val="nil"/>
            </w:tcBorders>
            <w:shd w:val="clear" w:color="auto" w:fill="auto"/>
            <w:noWrap w:val="0"/>
            <w:vAlign w:val="center"/>
          </w:tcPr>
          <w:p w14:paraId="44F1F09F">
            <w:pPr>
              <w:keepNext w:val="0"/>
              <w:keepLines w:val="0"/>
              <w:widowControl w:val="0"/>
              <w:suppressLineNumbers w:val="0"/>
              <w:spacing w:before="0" w:beforeAutospacing="0" w:after="0" w:afterAutospacing="0" w:line="240" w:lineRule="atLeast"/>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2.522</w:t>
            </w:r>
          </w:p>
        </w:tc>
        <w:tc>
          <w:tcPr>
            <w:tcW w:w="1271" w:type="dxa"/>
            <w:tcBorders>
              <w:tl2br w:val="nil"/>
              <w:tr2bl w:val="nil"/>
            </w:tcBorders>
            <w:noWrap w:val="0"/>
            <w:vAlign w:val="center"/>
          </w:tcPr>
          <w:p w14:paraId="6C4295FF">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受已建线路和变电站影响</w:t>
            </w:r>
          </w:p>
        </w:tc>
      </w:tr>
    </w:tbl>
    <w:p w14:paraId="1CE7F0BA">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10、监测结果分析</w:t>
      </w:r>
    </w:p>
    <w:p w14:paraId="090AD508">
      <w:pPr>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根据监测结果可知，</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新建三岔</w:t>
      </w:r>
      <w:r>
        <w:rPr>
          <w:rFonts w:ascii="Times New Roman" w:hAnsi="Times New Roman" w:eastAsia="宋体"/>
          <w:color w:val="000000" w:themeColor="text1"/>
          <w:spacing w:val="0"/>
          <w:sz w:val="24"/>
          <w:highlight w:val="none"/>
          <w14:textFill>
            <w14:solidFill>
              <w14:schemeClr w14:val="tx1"/>
            </w14:solidFill>
          </w14:textFill>
        </w:rPr>
        <w:t>110kV</w:t>
      </w:r>
      <w:r>
        <w:rPr>
          <w:rFonts w:hint="eastAsia" w:ascii="Times New Roman" w:hAnsi="Times New Roman" w:eastAsia="宋体"/>
          <w:color w:val="000000" w:themeColor="text1"/>
          <w:spacing w:val="0"/>
          <w:sz w:val="24"/>
          <w:highlight w:val="none"/>
          <w14:textFill>
            <w14:solidFill>
              <w14:schemeClr w14:val="tx1"/>
            </w14:solidFill>
          </w14:textFill>
        </w:rPr>
        <w:t>输变电工程变电站四周</w:t>
      </w:r>
      <w:r>
        <w:rPr>
          <w:rFonts w:ascii="Times New Roman" w:hAnsi="Times New Roman" w:eastAsia="宋体"/>
          <w:color w:val="000000" w:themeColor="text1"/>
          <w:spacing w:val="0"/>
          <w:sz w:val="24"/>
          <w:highlight w:val="none"/>
          <w14:textFill>
            <w14:solidFill>
              <w14:schemeClr w14:val="tx1"/>
            </w14:solidFill>
          </w14:textFill>
        </w:rPr>
        <w:t>监测</w:t>
      </w:r>
      <w:r>
        <w:rPr>
          <w:rFonts w:hint="eastAsia" w:ascii="Times New Roman" w:hAnsi="Times New Roman" w:eastAsia="宋体"/>
          <w:color w:val="000000" w:themeColor="text1"/>
          <w:spacing w:val="0"/>
          <w:sz w:val="24"/>
          <w:highlight w:val="none"/>
          <w14:textFill>
            <w14:solidFill>
              <w14:schemeClr w14:val="tx1"/>
            </w14:solidFill>
          </w14:textFill>
        </w:rPr>
        <w:t>点位</w:t>
      </w:r>
      <w:r>
        <w:rPr>
          <w:rFonts w:ascii="Times New Roman" w:hAnsi="Times New Roman" w:eastAsia="宋体"/>
          <w:color w:val="000000" w:themeColor="text1"/>
          <w:spacing w:val="0"/>
          <w:sz w:val="24"/>
          <w:highlight w:val="none"/>
          <w14:textFill>
            <w14:solidFill>
              <w14:schemeClr w14:val="tx1"/>
            </w14:solidFill>
          </w14:textFill>
        </w:rPr>
        <w:t>的</w:t>
      </w:r>
      <w:r>
        <w:rPr>
          <w:rFonts w:ascii="Times New Roman" w:hAnsi="Times New Roman" w:eastAsia="宋体"/>
          <w:color w:val="000000" w:themeColor="text1"/>
          <w:spacing w:val="0"/>
          <w:kern w:val="0"/>
          <w:sz w:val="24"/>
          <w:highlight w:val="none"/>
          <w14:textFill>
            <w14:solidFill>
              <w14:schemeClr w14:val="tx1"/>
            </w14:solidFill>
          </w14:textFill>
        </w:rPr>
        <w:t>工频电场强度在</w:t>
      </w:r>
      <w:r>
        <w:rPr>
          <w:rFonts w:hint="eastAsia"/>
          <w:color w:val="000000" w:themeColor="text1"/>
          <w:spacing w:val="0"/>
          <w:kern w:val="0"/>
          <w:sz w:val="24"/>
          <w:highlight w:val="none"/>
          <w:lang w:val="en-US" w:eastAsia="zh-CN"/>
          <w14:textFill>
            <w14:solidFill>
              <w14:schemeClr w14:val="tx1"/>
            </w14:solidFill>
          </w14:textFill>
        </w:rPr>
        <w:t>1.050</w:t>
      </w:r>
      <w:r>
        <w:rPr>
          <w:rFonts w:ascii="Times New Roman" w:hAnsi="Times New Roman" w:eastAsia="宋体"/>
          <w:color w:val="000000" w:themeColor="text1"/>
          <w:spacing w:val="0"/>
          <w:kern w:val="0"/>
          <w:sz w:val="24"/>
          <w:highlight w:val="none"/>
          <w14:textFill>
            <w14:solidFill>
              <w14:schemeClr w14:val="tx1"/>
            </w14:solidFill>
          </w14:textFill>
        </w:rPr>
        <w:t>V/m-</w:t>
      </w:r>
      <w:r>
        <w:rPr>
          <w:rFonts w:hint="eastAsia"/>
          <w:color w:val="000000" w:themeColor="text1"/>
          <w:spacing w:val="0"/>
          <w:kern w:val="0"/>
          <w:sz w:val="24"/>
          <w:highlight w:val="none"/>
          <w:lang w:val="en-US" w:eastAsia="zh-CN"/>
          <w14:textFill>
            <w14:solidFill>
              <w14:schemeClr w14:val="tx1"/>
            </w14:solidFill>
          </w14:textFill>
        </w:rPr>
        <w:t>10.870</w:t>
      </w:r>
      <w:r>
        <w:rPr>
          <w:rFonts w:ascii="Times New Roman" w:hAnsi="Times New Roman" w:eastAsia="宋体"/>
          <w:color w:val="000000" w:themeColor="text1"/>
          <w:spacing w:val="0"/>
          <w:kern w:val="0"/>
          <w:sz w:val="24"/>
          <w:highlight w:val="none"/>
          <w14:textFill>
            <w14:solidFill>
              <w14:schemeClr w14:val="tx1"/>
            </w14:solidFill>
          </w14:textFill>
        </w:rPr>
        <w:t>V/m之间，</w:t>
      </w:r>
      <w:r>
        <w:rPr>
          <w:rFonts w:hint="eastAsia"/>
          <w:color w:val="000000" w:themeColor="text1"/>
          <w:spacing w:val="0"/>
          <w:kern w:val="0"/>
          <w:sz w:val="24"/>
          <w:highlight w:val="none"/>
          <w:lang w:val="en-US" w:eastAsia="zh-CN"/>
          <w14:textFill>
            <w14:solidFill>
              <w14:schemeClr w14:val="tx1"/>
            </w14:solidFill>
          </w14:textFill>
        </w:rPr>
        <w:t>监测值偏大是因为110千伏线路影响</w:t>
      </w:r>
      <w:r>
        <w:rPr>
          <w:rFonts w:ascii="Times New Roman" w:hAnsi="Times New Roman" w:eastAsia="宋体"/>
          <w:color w:val="000000" w:themeColor="text1"/>
          <w:spacing w:val="0"/>
          <w:kern w:val="0"/>
          <w:sz w:val="24"/>
          <w:highlight w:val="none"/>
          <w14:textFill>
            <w14:solidFill>
              <w14:schemeClr w14:val="tx1"/>
            </w14:solidFill>
          </w14:textFill>
        </w:rPr>
        <w:t>工频磁感应强度在0.0</w:t>
      </w:r>
      <w:r>
        <w:rPr>
          <w:rFonts w:hint="eastAsia" w:ascii="Times New Roman" w:hAnsi="Times New Roman" w:eastAsia="宋体"/>
          <w:color w:val="000000" w:themeColor="text1"/>
          <w:spacing w:val="0"/>
          <w:kern w:val="0"/>
          <w:sz w:val="24"/>
          <w:highlight w:val="none"/>
          <w14:textFill>
            <w14:solidFill>
              <w14:schemeClr w14:val="tx1"/>
            </w14:solidFill>
          </w14:textFill>
        </w:rPr>
        <w:t>51</w:t>
      </w:r>
      <w:r>
        <w:rPr>
          <w:rFonts w:ascii="Times New Roman" w:hAnsi="Times New Roman" w:eastAsia="宋体"/>
          <w:color w:val="000000" w:themeColor="text1"/>
          <w:spacing w:val="0"/>
          <w:kern w:val="0"/>
          <w:sz w:val="24"/>
          <w:highlight w:val="none"/>
          <w14:textFill>
            <w14:solidFill>
              <w14:schemeClr w14:val="tx1"/>
            </w14:solidFill>
          </w14:textFill>
        </w:rPr>
        <w:t>μT-</w:t>
      </w:r>
      <w:r>
        <w:rPr>
          <w:rFonts w:hint="eastAsia"/>
          <w:color w:val="000000" w:themeColor="text1"/>
          <w:spacing w:val="0"/>
          <w:kern w:val="0"/>
          <w:sz w:val="24"/>
          <w:highlight w:val="none"/>
          <w:lang w:val="en-US" w:eastAsia="zh-CN"/>
          <w14:textFill>
            <w14:solidFill>
              <w14:schemeClr w14:val="tx1"/>
            </w14:solidFill>
          </w14:textFill>
        </w:rPr>
        <w:t>0.463</w:t>
      </w:r>
      <w:r>
        <w:rPr>
          <w:rFonts w:ascii="Times New Roman" w:hAnsi="Times New Roman" w:eastAsia="宋体"/>
          <w:color w:val="000000" w:themeColor="text1"/>
          <w:spacing w:val="0"/>
          <w:kern w:val="0"/>
          <w:sz w:val="24"/>
          <w:highlight w:val="none"/>
          <w14:textFill>
            <w14:solidFill>
              <w14:schemeClr w14:val="tx1"/>
            </w14:solidFill>
          </w14:textFill>
        </w:rPr>
        <w:t>μT之间；</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拟建</w:t>
      </w:r>
      <w:r>
        <w:rPr>
          <w:rFonts w:hint="eastAsia"/>
          <w:color w:val="000000" w:themeColor="text1"/>
          <w:spacing w:val="0"/>
          <w:kern w:val="0"/>
          <w:sz w:val="24"/>
          <w:highlight w:val="none"/>
          <w:lang w:val="en-US" w:eastAsia="zh-CN"/>
          <w14:textFill>
            <w14:solidFill>
              <w14:schemeClr w14:val="tx1"/>
            </w14:solidFill>
          </w14:textFill>
        </w:rPr>
        <w:t>架空</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输电线路</w:t>
      </w:r>
      <w:r>
        <w:rPr>
          <w:rFonts w:ascii="Times New Roman" w:hAnsi="Times New Roman" w:eastAsia="宋体"/>
          <w:color w:val="000000" w:themeColor="text1"/>
          <w:spacing w:val="0"/>
          <w:kern w:val="0"/>
          <w:sz w:val="24"/>
          <w:highlight w:val="none"/>
          <w14:textFill>
            <w14:solidFill>
              <w14:schemeClr w14:val="tx1"/>
            </w14:solidFill>
          </w14:textFill>
        </w:rPr>
        <w:t>工频电场强度在</w:t>
      </w:r>
      <w:r>
        <w:rPr>
          <w:rFonts w:hint="eastAsia"/>
          <w:color w:val="000000" w:themeColor="text1"/>
          <w:spacing w:val="0"/>
          <w:kern w:val="0"/>
          <w:sz w:val="24"/>
          <w:highlight w:val="none"/>
          <w:lang w:val="en-US" w:eastAsia="zh-CN"/>
          <w14:textFill>
            <w14:solidFill>
              <w14:schemeClr w14:val="tx1"/>
            </w14:solidFill>
          </w14:textFill>
        </w:rPr>
        <w:t>0.313</w:t>
      </w:r>
      <w:r>
        <w:rPr>
          <w:rFonts w:ascii="Times New Roman" w:hAnsi="Times New Roman" w:eastAsia="宋体"/>
          <w:color w:val="000000" w:themeColor="text1"/>
          <w:spacing w:val="0"/>
          <w:kern w:val="0"/>
          <w:sz w:val="24"/>
          <w:highlight w:val="none"/>
          <w14:textFill>
            <w14:solidFill>
              <w14:schemeClr w14:val="tx1"/>
            </w14:solidFill>
          </w14:textFill>
        </w:rPr>
        <w:t>V/m-</w:t>
      </w:r>
      <w:r>
        <w:rPr>
          <w:rFonts w:hint="eastAsia"/>
          <w:color w:val="000000" w:themeColor="text1"/>
          <w:spacing w:val="0"/>
          <w:kern w:val="0"/>
          <w:sz w:val="24"/>
          <w:highlight w:val="none"/>
          <w:lang w:val="en-US" w:eastAsia="zh-CN"/>
          <w14:textFill>
            <w14:solidFill>
              <w14:schemeClr w14:val="tx1"/>
            </w14:solidFill>
          </w14:textFill>
        </w:rPr>
        <w:t>87.600</w:t>
      </w:r>
      <w:r>
        <w:rPr>
          <w:rFonts w:ascii="Times New Roman" w:hAnsi="Times New Roman" w:eastAsia="宋体"/>
          <w:color w:val="000000" w:themeColor="text1"/>
          <w:spacing w:val="0"/>
          <w:kern w:val="0"/>
          <w:sz w:val="24"/>
          <w:highlight w:val="none"/>
          <w14:textFill>
            <w14:solidFill>
              <w14:schemeClr w14:val="tx1"/>
            </w14:solidFill>
          </w14:textFill>
        </w:rPr>
        <w:t>V/m之间，工频磁感应强度在0</w:t>
      </w:r>
      <w:r>
        <w:rPr>
          <w:rFonts w:hint="eastAsia"/>
          <w:color w:val="000000" w:themeColor="text1"/>
          <w:spacing w:val="0"/>
          <w:kern w:val="0"/>
          <w:sz w:val="24"/>
          <w:highlight w:val="none"/>
          <w:lang w:val="en-US" w:eastAsia="zh-CN"/>
          <w14:textFill>
            <w14:solidFill>
              <w14:schemeClr w14:val="tx1"/>
            </w14:solidFill>
          </w14:textFill>
        </w:rPr>
        <w:t>.035</w:t>
      </w:r>
      <w:r>
        <w:rPr>
          <w:rFonts w:ascii="Times New Roman" w:hAnsi="Times New Roman" w:eastAsia="宋体"/>
          <w:color w:val="000000" w:themeColor="text1"/>
          <w:spacing w:val="0"/>
          <w:kern w:val="0"/>
          <w:sz w:val="24"/>
          <w:highlight w:val="none"/>
          <w14:textFill>
            <w14:solidFill>
              <w14:schemeClr w14:val="tx1"/>
            </w14:solidFill>
          </w14:textFill>
        </w:rPr>
        <w:t>μT-</w:t>
      </w:r>
      <w:r>
        <w:rPr>
          <w:rFonts w:hint="eastAsia" w:ascii="Times New Roman" w:hAnsi="Times New Roman" w:eastAsia="宋体"/>
          <w:color w:val="000000" w:themeColor="text1"/>
          <w:spacing w:val="0"/>
          <w:kern w:val="0"/>
          <w:sz w:val="24"/>
          <w:highlight w:val="none"/>
          <w14:textFill>
            <w14:solidFill>
              <w14:schemeClr w14:val="tx1"/>
            </w14:solidFill>
          </w14:textFill>
        </w:rPr>
        <w:t>1</w:t>
      </w:r>
      <w:r>
        <w:rPr>
          <w:rFonts w:hint="eastAsia"/>
          <w:color w:val="000000" w:themeColor="text1"/>
          <w:spacing w:val="0"/>
          <w:kern w:val="0"/>
          <w:sz w:val="24"/>
          <w:highlight w:val="none"/>
          <w:lang w:val="en-US" w:eastAsia="zh-CN"/>
          <w14:textFill>
            <w14:solidFill>
              <w14:schemeClr w14:val="tx1"/>
            </w14:solidFill>
          </w14:textFill>
        </w:rPr>
        <w:t>.034</w:t>
      </w:r>
      <w:r>
        <w:rPr>
          <w:rFonts w:ascii="Times New Roman" w:hAnsi="Times New Roman" w:eastAsia="宋体"/>
          <w:color w:val="000000" w:themeColor="text1"/>
          <w:spacing w:val="0"/>
          <w:kern w:val="0"/>
          <w:sz w:val="24"/>
          <w:highlight w:val="none"/>
          <w14:textFill>
            <w14:solidFill>
              <w14:schemeClr w14:val="tx1"/>
            </w14:solidFill>
          </w14:textFill>
        </w:rPr>
        <w:t>μT之间</w:t>
      </w:r>
      <w:r>
        <w:rPr>
          <w:rFonts w:hint="eastAsia"/>
          <w:color w:val="000000" w:themeColor="text1"/>
          <w:spacing w:val="0"/>
          <w:kern w:val="0"/>
          <w:sz w:val="24"/>
          <w:highlight w:val="none"/>
          <w:lang w:eastAsia="zh-CN"/>
          <w14:textFill>
            <w14:solidFill>
              <w14:schemeClr w14:val="tx1"/>
            </w14:solidFill>
          </w14:textFill>
        </w:rPr>
        <w:t>；</w:t>
      </w:r>
      <w:r>
        <w:rPr>
          <w:rFonts w:hint="eastAsia"/>
          <w:color w:val="000000" w:themeColor="text1"/>
          <w:spacing w:val="0"/>
          <w:kern w:val="0"/>
          <w:sz w:val="24"/>
          <w:highlight w:val="none"/>
          <w:lang w:val="en-US" w:eastAsia="zh-CN"/>
          <w14:textFill>
            <w14:solidFill>
              <w14:schemeClr w14:val="tx1"/>
            </w14:solidFill>
          </w14:textFill>
        </w:rPr>
        <w:t>拟建电缆线路</w:t>
      </w:r>
      <w:r>
        <w:rPr>
          <w:rFonts w:ascii="Times New Roman" w:hAnsi="Times New Roman" w:eastAsia="宋体"/>
          <w:color w:val="000000" w:themeColor="text1"/>
          <w:spacing w:val="0"/>
          <w:kern w:val="0"/>
          <w:sz w:val="24"/>
          <w:highlight w:val="none"/>
          <w14:textFill>
            <w14:solidFill>
              <w14:schemeClr w14:val="tx1"/>
            </w14:solidFill>
          </w14:textFill>
        </w:rPr>
        <w:t>工频电场强度在</w:t>
      </w:r>
      <w:r>
        <w:rPr>
          <w:rFonts w:hint="eastAsia"/>
          <w:color w:val="000000" w:themeColor="text1"/>
          <w:spacing w:val="0"/>
          <w:kern w:val="0"/>
          <w:sz w:val="24"/>
          <w:highlight w:val="none"/>
          <w:lang w:val="en-US" w:eastAsia="zh-CN"/>
          <w14:textFill>
            <w14:solidFill>
              <w14:schemeClr w14:val="tx1"/>
            </w14:solidFill>
          </w14:textFill>
        </w:rPr>
        <w:t>2.344</w:t>
      </w:r>
      <w:r>
        <w:rPr>
          <w:rFonts w:ascii="Times New Roman" w:hAnsi="Times New Roman" w:eastAsia="宋体"/>
          <w:color w:val="000000" w:themeColor="text1"/>
          <w:spacing w:val="0"/>
          <w:kern w:val="0"/>
          <w:sz w:val="24"/>
          <w:highlight w:val="none"/>
          <w14:textFill>
            <w14:solidFill>
              <w14:schemeClr w14:val="tx1"/>
            </w14:solidFill>
          </w14:textFill>
        </w:rPr>
        <w:t>V/m-</w:t>
      </w:r>
      <w:r>
        <w:rPr>
          <w:rFonts w:hint="eastAsia"/>
          <w:color w:val="000000" w:themeColor="text1"/>
          <w:spacing w:val="0"/>
          <w:kern w:val="0"/>
          <w:sz w:val="24"/>
          <w:highlight w:val="none"/>
          <w:lang w:val="en-US" w:eastAsia="zh-CN"/>
          <w14:textFill>
            <w14:solidFill>
              <w14:schemeClr w14:val="tx1"/>
            </w14:solidFill>
          </w14:textFill>
        </w:rPr>
        <w:t>2103</w:t>
      </w:r>
      <w:r>
        <w:rPr>
          <w:rFonts w:ascii="Times New Roman" w:hAnsi="Times New Roman" w:eastAsia="宋体"/>
          <w:color w:val="000000" w:themeColor="text1"/>
          <w:spacing w:val="0"/>
          <w:kern w:val="0"/>
          <w:sz w:val="24"/>
          <w:highlight w:val="none"/>
          <w14:textFill>
            <w14:solidFill>
              <w14:schemeClr w14:val="tx1"/>
            </w14:solidFill>
          </w14:textFill>
        </w:rPr>
        <w:t>V/m之间，</w:t>
      </w:r>
      <w:r>
        <w:rPr>
          <w:rFonts w:hint="eastAsia"/>
          <w:color w:val="000000" w:themeColor="text1"/>
          <w:spacing w:val="0"/>
          <w:kern w:val="0"/>
          <w:sz w:val="24"/>
          <w:highlight w:val="none"/>
          <w:lang w:val="en-US" w:eastAsia="zh-CN"/>
          <w14:textFill>
            <w14:solidFill>
              <w14:schemeClr w14:val="tx1"/>
            </w14:solidFill>
          </w14:textFill>
        </w:rPr>
        <w:t>监测值偏大是因为电缆线路受已建330千伏变电站及110千伏线路影响，</w:t>
      </w:r>
      <w:r>
        <w:rPr>
          <w:rFonts w:ascii="Times New Roman" w:hAnsi="Times New Roman" w:eastAsia="宋体"/>
          <w:color w:val="000000" w:themeColor="text1"/>
          <w:spacing w:val="0"/>
          <w:kern w:val="0"/>
          <w:sz w:val="24"/>
          <w:highlight w:val="none"/>
          <w14:textFill>
            <w14:solidFill>
              <w14:schemeClr w14:val="tx1"/>
            </w14:solidFill>
          </w14:textFill>
        </w:rPr>
        <w:t>工频磁感应强度在</w:t>
      </w:r>
      <w:r>
        <w:rPr>
          <w:rFonts w:hint="eastAsia"/>
          <w:color w:val="000000" w:themeColor="text1"/>
          <w:spacing w:val="0"/>
          <w:kern w:val="0"/>
          <w:sz w:val="24"/>
          <w:highlight w:val="none"/>
          <w:lang w:val="en-US" w:eastAsia="zh-CN"/>
          <w14:textFill>
            <w14:solidFill>
              <w14:schemeClr w14:val="tx1"/>
            </w14:solidFill>
          </w14:textFill>
        </w:rPr>
        <w:t>2.522</w:t>
      </w:r>
      <w:r>
        <w:rPr>
          <w:rFonts w:ascii="Times New Roman" w:hAnsi="Times New Roman" w:eastAsia="宋体"/>
          <w:color w:val="000000" w:themeColor="text1"/>
          <w:spacing w:val="0"/>
          <w:kern w:val="0"/>
          <w:sz w:val="24"/>
          <w:highlight w:val="none"/>
          <w14:textFill>
            <w14:solidFill>
              <w14:schemeClr w14:val="tx1"/>
            </w14:solidFill>
          </w14:textFill>
        </w:rPr>
        <w:t>μT-</w:t>
      </w:r>
      <w:r>
        <w:rPr>
          <w:rFonts w:hint="eastAsia"/>
          <w:color w:val="000000" w:themeColor="text1"/>
          <w:spacing w:val="0"/>
          <w:kern w:val="0"/>
          <w:sz w:val="24"/>
          <w:highlight w:val="none"/>
          <w:lang w:val="en-US" w:eastAsia="zh-CN"/>
          <w14:textFill>
            <w14:solidFill>
              <w14:schemeClr w14:val="tx1"/>
            </w14:solidFill>
          </w14:textFill>
        </w:rPr>
        <w:t>17.902</w:t>
      </w:r>
      <w:r>
        <w:rPr>
          <w:rFonts w:ascii="Times New Roman" w:hAnsi="Times New Roman" w:eastAsia="宋体"/>
          <w:color w:val="000000" w:themeColor="text1"/>
          <w:spacing w:val="0"/>
          <w:kern w:val="0"/>
          <w:sz w:val="24"/>
          <w:highlight w:val="none"/>
          <w14:textFill>
            <w14:solidFill>
              <w14:schemeClr w14:val="tx1"/>
            </w14:solidFill>
          </w14:textFill>
        </w:rPr>
        <w:t>μT之间</w:t>
      </w:r>
      <w:r>
        <w:rPr>
          <w:rFonts w:hint="eastAsia"/>
          <w:color w:val="000000" w:themeColor="text1"/>
          <w:spacing w:val="0"/>
          <w:kern w:val="0"/>
          <w:sz w:val="24"/>
          <w:highlight w:val="none"/>
          <w:lang w:val="en-US" w:eastAsia="zh-CN"/>
          <w14:textFill>
            <w14:solidFill>
              <w14:schemeClr w14:val="tx1"/>
            </w14:solidFill>
          </w14:textFill>
        </w:rPr>
        <w:t>；</w:t>
      </w:r>
      <w:r>
        <w:rPr>
          <w:rFonts w:hint="eastAsia" w:ascii="Times New Roman" w:hAnsi="Times New Roman" w:eastAsia="宋体"/>
          <w:color w:val="000000" w:themeColor="text1"/>
          <w:spacing w:val="0"/>
          <w:kern w:val="0"/>
          <w:sz w:val="24"/>
          <w:highlight w:val="none"/>
          <w:lang w:val="en-US" w:eastAsia="zh-CN"/>
          <w14:textFill>
            <w14:solidFill>
              <w14:schemeClr w14:val="tx1"/>
            </w14:solidFill>
          </w14:textFill>
        </w:rPr>
        <w:t>环境敏感目标</w:t>
      </w:r>
      <w:r>
        <w:rPr>
          <w:rFonts w:ascii="Times New Roman" w:hAnsi="Times New Roman" w:eastAsia="宋体"/>
          <w:color w:val="000000" w:themeColor="text1"/>
          <w:spacing w:val="0"/>
          <w:kern w:val="0"/>
          <w:sz w:val="24"/>
          <w:highlight w:val="none"/>
          <w14:textFill>
            <w14:solidFill>
              <w14:schemeClr w14:val="tx1"/>
            </w14:solidFill>
          </w14:textFill>
        </w:rPr>
        <w:t>工频电场强度在</w:t>
      </w:r>
      <w:r>
        <w:rPr>
          <w:rFonts w:hint="eastAsia"/>
          <w:color w:val="000000" w:themeColor="text1"/>
          <w:spacing w:val="0"/>
          <w:kern w:val="0"/>
          <w:sz w:val="24"/>
          <w:highlight w:val="none"/>
          <w:lang w:val="en-US" w:eastAsia="zh-CN"/>
          <w14:textFill>
            <w14:solidFill>
              <w14:schemeClr w14:val="tx1"/>
            </w14:solidFill>
          </w14:textFill>
        </w:rPr>
        <w:t>1.647</w:t>
      </w:r>
      <w:r>
        <w:rPr>
          <w:rFonts w:ascii="Times New Roman" w:hAnsi="Times New Roman" w:eastAsia="宋体"/>
          <w:color w:val="000000" w:themeColor="text1"/>
          <w:spacing w:val="0"/>
          <w:kern w:val="0"/>
          <w:sz w:val="24"/>
          <w:highlight w:val="none"/>
          <w14:textFill>
            <w14:solidFill>
              <w14:schemeClr w14:val="tx1"/>
            </w14:solidFill>
          </w14:textFill>
        </w:rPr>
        <w:t>V/m-</w:t>
      </w:r>
      <w:r>
        <w:rPr>
          <w:rFonts w:hint="eastAsia"/>
          <w:color w:val="000000" w:themeColor="text1"/>
          <w:spacing w:val="0"/>
          <w:kern w:val="0"/>
          <w:sz w:val="24"/>
          <w:highlight w:val="none"/>
          <w:lang w:val="en-US" w:eastAsia="zh-CN"/>
          <w14:textFill>
            <w14:solidFill>
              <w14:schemeClr w14:val="tx1"/>
            </w14:solidFill>
          </w14:textFill>
        </w:rPr>
        <w:t>17.823</w:t>
      </w:r>
      <w:r>
        <w:rPr>
          <w:rFonts w:ascii="Times New Roman" w:hAnsi="Times New Roman" w:eastAsia="宋体"/>
          <w:color w:val="000000" w:themeColor="text1"/>
          <w:spacing w:val="0"/>
          <w:kern w:val="0"/>
          <w:sz w:val="24"/>
          <w:highlight w:val="none"/>
          <w14:textFill>
            <w14:solidFill>
              <w14:schemeClr w14:val="tx1"/>
            </w14:solidFill>
          </w14:textFill>
        </w:rPr>
        <w:t>V/m之间，工频磁感应强度在</w:t>
      </w:r>
      <w:r>
        <w:rPr>
          <w:rFonts w:hint="eastAsia"/>
          <w:color w:val="000000" w:themeColor="text1"/>
          <w:spacing w:val="0"/>
          <w:kern w:val="0"/>
          <w:sz w:val="24"/>
          <w:highlight w:val="none"/>
          <w:lang w:val="en-US" w:eastAsia="zh-CN"/>
          <w14:textFill>
            <w14:solidFill>
              <w14:schemeClr w14:val="tx1"/>
            </w14:solidFill>
          </w14:textFill>
        </w:rPr>
        <w:t>0.033</w:t>
      </w:r>
      <w:r>
        <w:rPr>
          <w:rFonts w:ascii="Times New Roman" w:hAnsi="Times New Roman" w:eastAsia="宋体"/>
          <w:color w:val="000000" w:themeColor="text1"/>
          <w:spacing w:val="0"/>
          <w:kern w:val="0"/>
          <w:sz w:val="24"/>
          <w:highlight w:val="none"/>
          <w14:textFill>
            <w14:solidFill>
              <w14:schemeClr w14:val="tx1"/>
            </w14:solidFill>
          </w14:textFill>
        </w:rPr>
        <w:t>μT-</w:t>
      </w:r>
      <w:r>
        <w:rPr>
          <w:rFonts w:hint="eastAsia" w:ascii="Times New Roman" w:hAnsi="Times New Roman" w:eastAsia="宋体"/>
          <w:color w:val="000000" w:themeColor="text1"/>
          <w:spacing w:val="0"/>
          <w:kern w:val="0"/>
          <w:sz w:val="24"/>
          <w:highlight w:val="none"/>
          <w14:textFill>
            <w14:solidFill>
              <w14:schemeClr w14:val="tx1"/>
            </w14:solidFill>
          </w14:textFill>
        </w:rPr>
        <w:t>1.</w:t>
      </w:r>
      <w:r>
        <w:rPr>
          <w:rFonts w:hint="eastAsia"/>
          <w:color w:val="000000" w:themeColor="text1"/>
          <w:spacing w:val="0"/>
          <w:kern w:val="0"/>
          <w:sz w:val="24"/>
          <w:highlight w:val="none"/>
          <w:lang w:val="en-US" w:eastAsia="zh-CN"/>
          <w14:textFill>
            <w14:solidFill>
              <w14:schemeClr w14:val="tx1"/>
            </w14:solidFill>
          </w14:textFill>
        </w:rPr>
        <w:t>867</w:t>
      </w:r>
      <w:r>
        <w:rPr>
          <w:rFonts w:ascii="Times New Roman" w:hAnsi="Times New Roman" w:eastAsia="宋体"/>
          <w:color w:val="000000" w:themeColor="text1"/>
          <w:spacing w:val="0"/>
          <w:kern w:val="0"/>
          <w:sz w:val="24"/>
          <w:highlight w:val="none"/>
          <w14:textFill>
            <w14:solidFill>
              <w14:schemeClr w14:val="tx1"/>
            </w14:solidFill>
          </w14:textFill>
        </w:rPr>
        <w:t>μT之间</w:t>
      </w:r>
      <w:r>
        <w:rPr>
          <w:rFonts w:hint="eastAsia" w:ascii="Times New Roman" w:hAnsi="Times New Roman" w:eastAsia="宋体"/>
          <w:color w:val="000000" w:themeColor="text1"/>
          <w:spacing w:val="0"/>
          <w:kern w:val="0"/>
          <w:sz w:val="24"/>
          <w:highlight w:val="none"/>
          <w:lang w:eastAsia="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均小于《电磁环境控制限值》（GB8702-2014）规定的公众曝露控制限值工频电场强度4000V/m和工频磁感应强度100μT的标准限值。</w:t>
      </w:r>
    </w:p>
    <w:p w14:paraId="7F9B55FD">
      <w:pPr>
        <w:spacing w:line="360" w:lineRule="auto"/>
        <w:ind w:firstLine="472" w:firstLineChars="196"/>
        <w:outlineLvl w:val="9"/>
        <w:rPr>
          <w:rFonts w:ascii="Times New Roman" w:hAnsi="Times New Roman" w:eastAsia="宋体"/>
          <w:b/>
          <w:color w:val="000000" w:themeColor="text1"/>
          <w:spacing w:val="0"/>
          <w:kern w:val="0"/>
          <w:sz w:val="24"/>
          <w:highlight w:val="none"/>
          <w14:textFill>
            <w14:solidFill>
              <w14:schemeClr w14:val="tx1"/>
            </w14:solidFill>
          </w14:textFill>
        </w:rPr>
      </w:pPr>
      <w:r>
        <w:rPr>
          <w:rFonts w:ascii="Times New Roman" w:hAnsi="Times New Roman" w:eastAsia="宋体"/>
          <w:b/>
          <w:color w:val="000000" w:themeColor="text1"/>
          <w:spacing w:val="0"/>
          <w:kern w:val="0"/>
          <w:sz w:val="24"/>
          <w:highlight w:val="none"/>
          <w14:textFill>
            <w14:solidFill>
              <w14:schemeClr w14:val="tx1"/>
            </w14:solidFill>
          </w14:textFill>
        </w:rPr>
        <w:t>六、电磁环境影响预测与评价</w:t>
      </w:r>
    </w:p>
    <w:p w14:paraId="053ED30F">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根据《环境影响评价技术导则 输变电》（HJ24-2020），本项目新建变电站及地下电缆的电磁环境影响预测采用类比监测的方式。</w:t>
      </w:r>
    </w:p>
    <w:p w14:paraId="56339B93">
      <w:pPr>
        <w:spacing w:line="360" w:lineRule="auto"/>
        <w:ind w:firstLine="482" w:firstLineChars="200"/>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1、变电站工程</w:t>
      </w:r>
    </w:p>
    <w:p w14:paraId="14E427E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（1）选择类比对象</w:t>
      </w:r>
    </w:p>
    <w:p w14:paraId="0FDC7A8E">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为预测本项目变电站运行后产生的工频电场、工频磁场对周围环境的电磁环境影响，选取与本项目110kV变电站条件大致相似的110kV变电站，即电压等级相同、容量相近、主接线形式相同、建设规模相对一致的110kV变电站进行类比监测。本次类比对象选择已运行的</w:t>
      </w:r>
      <w:r>
        <w:rPr>
          <w:rFonts w:hint="eastAsia" w:ascii="Times New Roman" w:hAnsi="Times New Roman" w:eastAsia="宋体"/>
          <w:color w:val="000000" w:themeColor="text1"/>
          <w:spacing w:val="0"/>
          <w:sz w:val="24"/>
          <w:highlight w:val="none"/>
          <w14:textFill>
            <w14:solidFill>
              <w14:schemeClr w14:val="tx1"/>
            </w14:solidFill>
          </w14:textFill>
        </w:rPr>
        <w:t>龙泉</w:t>
      </w:r>
      <w:r>
        <w:rPr>
          <w:rFonts w:ascii="Times New Roman" w:hAnsi="Times New Roman" w:eastAsia="宋体"/>
          <w:color w:val="000000" w:themeColor="text1"/>
          <w:spacing w:val="0"/>
          <w:sz w:val="24"/>
          <w:highlight w:val="none"/>
          <w14:textFill>
            <w14:solidFill>
              <w14:schemeClr w14:val="tx1"/>
            </w14:solidFill>
          </w14:textFill>
        </w:rPr>
        <w:t>110kV变电站，类比监测数据引用《</w:t>
      </w:r>
      <w:r>
        <w:rPr>
          <w:rFonts w:hint="eastAsia" w:ascii="Times New Roman" w:hAnsi="Times New Roman" w:eastAsia="宋体"/>
          <w:color w:val="000000" w:themeColor="text1"/>
          <w:spacing w:val="0"/>
          <w:sz w:val="24"/>
          <w:highlight w:val="none"/>
          <w14:textFill>
            <w14:solidFill>
              <w14:schemeClr w14:val="tx1"/>
            </w14:solidFill>
          </w14:textFill>
        </w:rPr>
        <w:t>宁夏石嘴山龙泉变电站110kV 3号主变扩建工程</w:t>
      </w:r>
      <w:r>
        <w:rPr>
          <w:rFonts w:hint="eastAsia"/>
          <w:color w:val="000000" w:themeColor="text1"/>
          <w:spacing w:val="0"/>
          <w:sz w:val="24"/>
          <w:highlight w:val="none"/>
          <w:lang w:val="en-US" w:eastAsia="zh-CN"/>
          <w14:textFill>
            <w14:solidFill>
              <w14:schemeClr w14:val="tx1"/>
            </w14:solidFill>
          </w14:textFill>
        </w:rPr>
        <w:t>环境质量现状</w:t>
      </w:r>
      <w:r>
        <w:rPr>
          <w:rFonts w:hint="eastAsia" w:ascii="Times New Roman" w:hAnsi="Times New Roman" w:eastAsia="宋体"/>
          <w:color w:val="000000" w:themeColor="text1"/>
          <w:spacing w:val="0"/>
          <w:sz w:val="24"/>
          <w:highlight w:val="none"/>
          <w14:textFill>
            <w14:solidFill>
              <w14:schemeClr w14:val="tx1"/>
            </w14:solidFill>
          </w14:textFill>
        </w:rPr>
        <w:t>监测</w:t>
      </w:r>
      <w:r>
        <w:rPr>
          <w:rFonts w:ascii="Times New Roman" w:hAnsi="Times New Roman" w:eastAsia="宋体"/>
          <w:color w:val="000000" w:themeColor="text1"/>
          <w:spacing w:val="0"/>
          <w:sz w:val="24"/>
          <w:highlight w:val="none"/>
          <w14:textFill>
            <w14:solidFill>
              <w14:schemeClr w14:val="tx1"/>
            </w14:solidFill>
          </w14:textFill>
        </w:rPr>
        <w:t>》中对</w:t>
      </w:r>
      <w:r>
        <w:rPr>
          <w:rFonts w:hint="eastAsia" w:ascii="Times New Roman" w:hAnsi="Times New Roman" w:eastAsia="宋体"/>
          <w:color w:val="000000" w:themeColor="text1"/>
          <w:spacing w:val="0"/>
          <w:sz w:val="24"/>
          <w:highlight w:val="none"/>
          <w14:textFill>
            <w14:solidFill>
              <w14:schemeClr w14:val="tx1"/>
            </w14:solidFill>
          </w14:textFill>
        </w:rPr>
        <w:t>龙泉</w:t>
      </w:r>
      <w:r>
        <w:rPr>
          <w:rFonts w:ascii="Times New Roman" w:hAnsi="Times New Roman" w:eastAsia="宋体"/>
          <w:color w:val="000000" w:themeColor="text1"/>
          <w:spacing w:val="0"/>
          <w:sz w:val="24"/>
          <w:highlight w:val="none"/>
          <w14:textFill>
            <w14:solidFill>
              <w14:schemeClr w14:val="tx1"/>
            </w14:solidFill>
          </w14:textFill>
        </w:rPr>
        <w:t>110kV变电站的验收监测数据</w:t>
      </w:r>
      <w:r>
        <w:rPr>
          <w:rFonts w:hint="eastAsia" w:ascii="Times New Roman" w:hAnsi="Times New Roman" w:eastAsia="宋体"/>
          <w:color w:val="000000" w:themeColor="text1"/>
          <w:spacing w:val="0"/>
          <w:sz w:val="24"/>
          <w:highlight w:val="none"/>
          <w14:textFill>
            <w14:solidFill>
              <w14:schemeClr w14:val="tx1"/>
            </w14:solidFill>
          </w14:textFill>
        </w:rPr>
        <w:t>，详见附件8</w:t>
      </w:r>
      <w:r>
        <w:rPr>
          <w:rFonts w:ascii="Times New Roman" w:hAnsi="Times New Roman" w:eastAsia="宋体"/>
          <w:color w:val="000000" w:themeColor="text1"/>
          <w:spacing w:val="0"/>
          <w:sz w:val="24"/>
          <w:highlight w:val="none"/>
          <w14:textFill>
            <w14:solidFill>
              <w14:schemeClr w14:val="tx1"/>
            </w14:solidFill>
          </w14:textFill>
        </w:rPr>
        <w:t>。本次评价选择</w:t>
      </w:r>
      <w:r>
        <w:rPr>
          <w:rFonts w:hint="eastAsia" w:ascii="Times New Roman" w:hAnsi="Times New Roman" w:eastAsia="宋体"/>
          <w:color w:val="000000" w:themeColor="text1"/>
          <w:spacing w:val="0"/>
          <w:sz w:val="24"/>
          <w:highlight w:val="none"/>
          <w14:textFill>
            <w14:solidFill>
              <w14:schemeClr w14:val="tx1"/>
            </w14:solidFill>
          </w14:textFill>
        </w:rPr>
        <w:t>龙泉</w:t>
      </w:r>
      <w:r>
        <w:rPr>
          <w:rFonts w:ascii="Times New Roman" w:hAnsi="Times New Roman" w:eastAsia="宋体"/>
          <w:color w:val="000000" w:themeColor="text1"/>
          <w:spacing w:val="0"/>
          <w:sz w:val="24"/>
          <w:highlight w:val="none"/>
          <w14:textFill>
            <w14:solidFill>
              <w14:schemeClr w14:val="tx1"/>
            </w14:solidFill>
          </w14:textFill>
        </w:rPr>
        <w:t>110kV变电站的有关情况见专题表</w:t>
      </w:r>
      <w:r>
        <w:rPr>
          <w:rFonts w:hint="eastAsia" w:ascii="Times New Roman" w:hAnsi="Times New Roman" w:eastAsia="宋体"/>
          <w:color w:val="000000" w:themeColor="text1"/>
          <w:spacing w:val="0"/>
          <w:sz w:val="24"/>
          <w:highlight w:val="none"/>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w:t>
      </w:r>
    </w:p>
    <w:p w14:paraId="185649B1">
      <w:pPr>
        <w:pStyle w:val="7"/>
        <w:ind w:left="0" w:leftChars="0" w:firstLine="0"/>
        <w:jc w:val="center"/>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专题表</w:t>
      </w:r>
      <w:r>
        <w:rPr>
          <w:rFonts w:hint="eastAsia" w:ascii="Times New Roman" w:hAnsi="Times New Roman" w:eastAsia="宋体"/>
          <w:b/>
          <w:color w:val="000000" w:themeColor="text1"/>
          <w:spacing w:val="0"/>
          <w:sz w:val="24"/>
          <w:highlight w:val="none"/>
          <w14:textFill>
            <w14:solidFill>
              <w14:schemeClr w14:val="tx1"/>
            </w14:solidFill>
          </w14:textFill>
        </w:rPr>
        <w:t>3</w:t>
      </w:r>
      <w:r>
        <w:rPr>
          <w:rFonts w:ascii="Times New Roman" w:hAnsi="Times New Roman" w:eastAsia="宋体"/>
          <w:b/>
          <w:color w:val="000000" w:themeColor="text1"/>
          <w:spacing w:val="0"/>
          <w:sz w:val="24"/>
          <w:highlight w:val="none"/>
          <w14:textFill>
            <w14:solidFill>
              <w14:schemeClr w14:val="tx1"/>
            </w14:solidFill>
          </w14:textFill>
        </w:rPr>
        <w:t xml:space="preserve">  本期新建变电站与类比变电站主要技术指标比较</w:t>
      </w:r>
    </w:p>
    <w:tbl>
      <w:tblPr>
        <w:tblStyle w:val="26"/>
        <w:tblW w:w="85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3236"/>
        <w:gridCol w:w="3191"/>
      </w:tblGrid>
      <w:tr w14:paraId="7CBF4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vAlign w:val="center"/>
          </w:tcPr>
          <w:p w14:paraId="4155D64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项目名称</w:t>
            </w:r>
          </w:p>
        </w:tc>
        <w:tc>
          <w:tcPr>
            <w:tcW w:w="3236" w:type="dxa"/>
            <w:vAlign w:val="center"/>
          </w:tcPr>
          <w:p w14:paraId="150B415C">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三岔</w:t>
            </w:r>
            <w:r>
              <w:rPr>
                <w:rFonts w:ascii="Times New Roman" w:hAnsi="Times New Roman" w:eastAsia="宋体"/>
                <w:color w:val="000000" w:themeColor="text1"/>
                <w:spacing w:val="0"/>
                <w:highlight w:val="none"/>
                <w14:textFill>
                  <w14:solidFill>
                    <w14:schemeClr w14:val="tx1"/>
                  </w14:solidFill>
                </w14:textFill>
              </w:rPr>
              <w:t>110kV变电站</w:t>
            </w:r>
          </w:p>
        </w:tc>
        <w:tc>
          <w:tcPr>
            <w:tcW w:w="3191" w:type="dxa"/>
            <w:vAlign w:val="center"/>
          </w:tcPr>
          <w:p w14:paraId="6BD723C9">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olor w:val="000000" w:themeColor="text1"/>
                <w:spacing w:val="0"/>
                <w:highlight w:val="none"/>
                <w14:textFill>
                  <w14:solidFill>
                    <w14:schemeClr w14:val="tx1"/>
                  </w14:solidFill>
                </w14:textFill>
              </w:rPr>
              <w:t>龙泉110kV变电站</w:t>
            </w:r>
          </w:p>
          <w:p w14:paraId="3784CD28">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（类比变电站）</w:t>
            </w:r>
          </w:p>
        </w:tc>
      </w:tr>
      <w:tr w14:paraId="15DF0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140" w:type="dxa"/>
            <w:vAlign w:val="center"/>
          </w:tcPr>
          <w:p w14:paraId="518D8799">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所在位置</w:t>
            </w:r>
          </w:p>
        </w:tc>
        <w:tc>
          <w:tcPr>
            <w:tcW w:w="3236" w:type="dxa"/>
            <w:vAlign w:val="center"/>
          </w:tcPr>
          <w:p w14:paraId="3D97DE1C">
            <w:pPr>
              <w:adjustRightInd w:val="0"/>
              <w:snapToGrid w:val="0"/>
              <w:spacing w:after="0"/>
              <w:ind w:left="0" w:leftChars="0" w:firstLine="0"/>
              <w:jc w:val="center"/>
              <w:outlineLvl w:val="9"/>
              <w:rPr>
                <w:rFonts w:hint="eastAsia" w:ascii="Times New Roman" w:hAnsi="Times New Roman" w:eastAsia="宋体"/>
                <w:color w:val="000000" w:themeColor="text1"/>
                <w:spacing w:val="0"/>
                <w:highlight w:val="none"/>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3191" w:type="dxa"/>
            <w:vAlign w:val="center"/>
          </w:tcPr>
          <w:p w14:paraId="0630B6BC">
            <w:pPr>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r>
      <w:tr w14:paraId="6D5F6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vAlign w:val="center"/>
          </w:tcPr>
          <w:p w14:paraId="280D975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电压等级</w:t>
            </w:r>
          </w:p>
        </w:tc>
        <w:tc>
          <w:tcPr>
            <w:tcW w:w="3236" w:type="dxa"/>
            <w:vAlign w:val="center"/>
          </w:tcPr>
          <w:p w14:paraId="2C73CA6F">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110</w:t>
            </w:r>
            <w:r>
              <w:rPr>
                <w:rFonts w:hint="eastAsia" w:ascii="Times New Roman" w:hAnsi="Times New Roman" w:eastAsia="宋体"/>
                <w:color w:val="000000" w:themeColor="text1"/>
                <w:spacing w:val="0"/>
                <w:highlight w:val="none"/>
                <w14:textFill>
                  <w14:solidFill>
                    <w14:schemeClr w14:val="tx1"/>
                  </w14:solidFill>
                </w14:textFill>
              </w:rPr>
              <w:t>/35/10kV</w:t>
            </w:r>
          </w:p>
        </w:tc>
        <w:tc>
          <w:tcPr>
            <w:tcW w:w="3191" w:type="dxa"/>
            <w:vAlign w:val="center"/>
          </w:tcPr>
          <w:p w14:paraId="7129D864">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110</w:t>
            </w:r>
            <w:r>
              <w:rPr>
                <w:rFonts w:hint="eastAsia" w:ascii="Times New Roman" w:hAnsi="Times New Roman" w:eastAsia="宋体"/>
                <w:color w:val="000000" w:themeColor="text1"/>
                <w:spacing w:val="0"/>
                <w:highlight w:val="none"/>
                <w14:textFill>
                  <w14:solidFill>
                    <w14:schemeClr w14:val="tx1"/>
                  </w14:solidFill>
                </w14:textFill>
              </w:rPr>
              <w:t>/35/10</w:t>
            </w:r>
            <w:r>
              <w:rPr>
                <w:rFonts w:ascii="Times New Roman" w:hAnsi="Times New Roman" w:eastAsia="宋体"/>
                <w:color w:val="000000" w:themeColor="text1"/>
                <w:spacing w:val="0"/>
                <w:highlight w:val="none"/>
                <w14:textFill>
                  <w14:solidFill>
                    <w14:schemeClr w14:val="tx1"/>
                  </w14:solidFill>
                </w14:textFill>
              </w:rPr>
              <w:t>kV</w:t>
            </w:r>
          </w:p>
        </w:tc>
      </w:tr>
      <w:tr w14:paraId="35A21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vAlign w:val="center"/>
          </w:tcPr>
          <w:p w14:paraId="00E12459">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主变容量</w:t>
            </w:r>
          </w:p>
        </w:tc>
        <w:tc>
          <w:tcPr>
            <w:tcW w:w="3236" w:type="dxa"/>
            <w:vAlign w:val="center"/>
          </w:tcPr>
          <w:p w14:paraId="583C22C0">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2×</w:t>
            </w:r>
            <w:r>
              <w:rPr>
                <w:rFonts w:hint="eastAsia" w:ascii="Times New Roman" w:hAnsi="Times New Roman" w:eastAsia="宋体"/>
                <w:color w:val="000000" w:themeColor="text1"/>
                <w:spacing w:val="0"/>
                <w:highlight w:val="none"/>
                <w14:textFill>
                  <w14:solidFill>
                    <w14:schemeClr w14:val="tx1"/>
                  </w14:solidFill>
                </w14:textFill>
              </w:rPr>
              <w:t>50</w:t>
            </w:r>
            <w:r>
              <w:rPr>
                <w:rFonts w:ascii="Times New Roman" w:hAnsi="Times New Roman" w:eastAsia="宋体"/>
                <w:color w:val="000000" w:themeColor="text1"/>
                <w:spacing w:val="0"/>
                <w:highlight w:val="none"/>
                <w14:textFill>
                  <w14:solidFill>
                    <w14:schemeClr w14:val="tx1"/>
                  </w14:solidFill>
                </w14:textFill>
              </w:rPr>
              <w:t>MVA</w:t>
            </w:r>
          </w:p>
        </w:tc>
        <w:tc>
          <w:tcPr>
            <w:tcW w:w="3191" w:type="dxa"/>
            <w:vAlign w:val="center"/>
          </w:tcPr>
          <w:p w14:paraId="160E1757">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color w:val="000000" w:themeColor="text1"/>
                <w:spacing w:val="0"/>
                <w:highlight w:val="none"/>
                <w:lang w:val="en-US" w:eastAsia="zh-CN"/>
                <w14:textFill>
                  <w14:solidFill>
                    <w14:schemeClr w14:val="tx1"/>
                  </w14:solidFill>
                </w14:textFill>
              </w:rPr>
              <w:t>2</w:t>
            </w:r>
            <w:r>
              <w:rPr>
                <w:rFonts w:ascii="Times New Roman" w:hAnsi="Times New Roman" w:eastAsia="宋体"/>
                <w:color w:val="000000" w:themeColor="text1"/>
                <w:spacing w:val="0"/>
                <w:highlight w:val="none"/>
                <w14:textFill>
                  <w14:solidFill>
                    <w14:schemeClr w14:val="tx1"/>
                  </w14:solidFill>
                </w14:textFill>
              </w:rPr>
              <w:t>×</w:t>
            </w:r>
            <w:r>
              <w:rPr>
                <w:rFonts w:hint="eastAsia" w:ascii="Times New Roman" w:hAnsi="Times New Roman" w:eastAsia="宋体"/>
                <w:color w:val="000000" w:themeColor="text1"/>
                <w:spacing w:val="0"/>
                <w:highlight w:val="none"/>
                <w14:textFill>
                  <w14:solidFill>
                    <w14:schemeClr w14:val="tx1"/>
                  </w14:solidFill>
                </w14:textFill>
              </w:rPr>
              <w:t>50</w:t>
            </w:r>
            <w:r>
              <w:rPr>
                <w:rFonts w:ascii="Times New Roman" w:hAnsi="Times New Roman" w:eastAsia="宋体"/>
                <w:color w:val="000000" w:themeColor="text1"/>
                <w:spacing w:val="0"/>
                <w:highlight w:val="none"/>
                <w14:textFill>
                  <w14:solidFill>
                    <w14:schemeClr w14:val="tx1"/>
                  </w14:solidFill>
                </w14:textFill>
              </w:rPr>
              <w:t>MVA</w:t>
            </w:r>
          </w:p>
        </w:tc>
      </w:tr>
      <w:tr w14:paraId="43EF6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140" w:type="dxa"/>
            <w:vAlign w:val="center"/>
          </w:tcPr>
          <w:p w14:paraId="27A5023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变电站面积</w:t>
            </w:r>
          </w:p>
        </w:tc>
        <w:tc>
          <w:tcPr>
            <w:tcW w:w="3236" w:type="dxa"/>
            <w:vAlign w:val="center"/>
          </w:tcPr>
          <w:p w14:paraId="0053BD53">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0.</w:t>
            </w:r>
            <w:r>
              <w:rPr>
                <w:rFonts w:hint="eastAsia" w:ascii="Times New Roman" w:hAnsi="Times New Roman" w:eastAsia="宋体"/>
                <w:color w:val="000000" w:themeColor="text1"/>
                <w:spacing w:val="0"/>
                <w:highlight w:val="none"/>
                <w:lang w:val="en-US" w:eastAsia="zh-CN"/>
                <w14:textFill>
                  <w14:solidFill>
                    <w14:schemeClr w14:val="tx1"/>
                  </w14:solidFill>
                </w14:textFill>
              </w:rPr>
              <w:t>6</w:t>
            </w:r>
            <w:r>
              <w:rPr>
                <w:rFonts w:hint="eastAsia"/>
                <w:color w:val="000000" w:themeColor="text1"/>
                <w:spacing w:val="0"/>
                <w:highlight w:val="none"/>
                <w:lang w:val="en-US" w:eastAsia="zh-CN"/>
                <w14:textFill>
                  <w14:solidFill>
                    <w14:schemeClr w14:val="tx1"/>
                  </w14:solidFill>
                </w14:textFill>
              </w:rPr>
              <w:t>28</w:t>
            </w:r>
            <w:r>
              <w:rPr>
                <w:rFonts w:hint="eastAsia" w:ascii="Times New Roman" w:hAnsi="Times New Roman" w:eastAsia="宋体"/>
                <w:color w:val="000000" w:themeColor="text1"/>
                <w:spacing w:val="0"/>
                <w:highlight w:val="none"/>
                <w:lang w:val="en-US" w:eastAsia="zh-CN"/>
                <w14:textFill>
                  <w14:solidFill>
                    <w14:schemeClr w14:val="tx1"/>
                  </w14:solidFill>
                </w14:textFill>
              </w:rPr>
              <w:t>6</w:t>
            </w:r>
            <w:r>
              <w:rPr>
                <w:rFonts w:ascii="Times New Roman" w:hAnsi="Times New Roman" w:eastAsia="宋体"/>
                <w:color w:val="000000" w:themeColor="text1"/>
                <w:spacing w:val="0"/>
                <w:highlight w:val="none"/>
                <w14:textFill>
                  <w14:solidFill>
                    <w14:schemeClr w14:val="tx1"/>
                  </w14:solidFill>
                </w14:textFill>
              </w:rPr>
              <w:t>hm</w:t>
            </w:r>
            <w:r>
              <w:rPr>
                <w:rFonts w:ascii="Times New Roman" w:hAnsi="Times New Roman" w:eastAsia="宋体"/>
                <w:color w:val="000000" w:themeColor="text1"/>
                <w:spacing w:val="0"/>
                <w:highlight w:val="none"/>
                <w:vertAlign w:val="superscript"/>
                <w14:textFill>
                  <w14:solidFill>
                    <w14:schemeClr w14:val="tx1"/>
                  </w14:solidFill>
                </w14:textFill>
              </w:rPr>
              <w:t>2</w:t>
            </w:r>
          </w:p>
        </w:tc>
        <w:tc>
          <w:tcPr>
            <w:tcW w:w="3191" w:type="dxa"/>
            <w:vAlign w:val="center"/>
          </w:tcPr>
          <w:p w14:paraId="2792C07E">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0.</w:t>
            </w:r>
            <w:r>
              <w:rPr>
                <w:rFonts w:hint="eastAsia" w:ascii="Times New Roman" w:hAnsi="Times New Roman" w:eastAsia="宋体"/>
                <w:color w:val="000000" w:themeColor="text1"/>
                <w:spacing w:val="0"/>
                <w:highlight w:val="none"/>
                <w14:textFill>
                  <w14:solidFill>
                    <w14:schemeClr w14:val="tx1"/>
                  </w14:solidFill>
                </w14:textFill>
              </w:rPr>
              <w:t>5275</w:t>
            </w:r>
            <w:r>
              <w:rPr>
                <w:rFonts w:ascii="Times New Roman" w:hAnsi="Times New Roman" w:eastAsia="宋体"/>
                <w:color w:val="000000" w:themeColor="text1"/>
                <w:spacing w:val="0"/>
                <w:highlight w:val="none"/>
                <w14:textFill>
                  <w14:solidFill>
                    <w14:schemeClr w14:val="tx1"/>
                  </w14:solidFill>
                </w14:textFill>
              </w:rPr>
              <w:t>hm</w:t>
            </w:r>
            <w:r>
              <w:rPr>
                <w:rFonts w:ascii="Times New Roman" w:hAnsi="Times New Roman" w:eastAsia="宋体"/>
                <w:color w:val="000000" w:themeColor="text1"/>
                <w:spacing w:val="0"/>
                <w:highlight w:val="none"/>
                <w:vertAlign w:val="superscript"/>
                <w14:textFill>
                  <w14:solidFill>
                    <w14:schemeClr w14:val="tx1"/>
                  </w14:solidFill>
                </w14:textFill>
              </w:rPr>
              <w:t>2</w:t>
            </w:r>
          </w:p>
        </w:tc>
      </w:tr>
      <w:tr w14:paraId="6D7D7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vAlign w:val="center"/>
          </w:tcPr>
          <w:p w14:paraId="51BA206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出线方式</w:t>
            </w:r>
          </w:p>
        </w:tc>
        <w:tc>
          <w:tcPr>
            <w:tcW w:w="3236" w:type="dxa"/>
            <w:vAlign w:val="center"/>
          </w:tcPr>
          <w:p w14:paraId="6C792910">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olor w:val="000000" w:themeColor="text1"/>
                <w:spacing w:val="0"/>
                <w:highlight w:val="none"/>
                <w14:textFill>
                  <w14:solidFill>
                    <w14:schemeClr w14:val="tx1"/>
                  </w14:solidFill>
                </w14:textFill>
              </w:rPr>
              <w:t>架空出线</w:t>
            </w:r>
          </w:p>
        </w:tc>
        <w:tc>
          <w:tcPr>
            <w:tcW w:w="3191" w:type="dxa"/>
            <w:vAlign w:val="center"/>
          </w:tcPr>
          <w:p w14:paraId="7F29465E">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架空出线</w:t>
            </w:r>
          </w:p>
        </w:tc>
      </w:tr>
      <w:tr w14:paraId="59D4C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vAlign w:val="center"/>
          </w:tcPr>
          <w:p w14:paraId="0093A1B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110kV出线间隔</w:t>
            </w:r>
          </w:p>
        </w:tc>
        <w:tc>
          <w:tcPr>
            <w:tcW w:w="3236" w:type="dxa"/>
            <w:vAlign w:val="center"/>
          </w:tcPr>
          <w:p w14:paraId="3AB0AFF2">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olor w:val="000000" w:themeColor="text1"/>
                <w:spacing w:val="0"/>
                <w:highlight w:val="none"/>
                <w14:textFill>
                  <w14:solidFill>
                    <w14:schemeClr w14:val="tx1"/>
                  </w14:solidFill>
                </w14:textFill>
              </w:rPr>
              <w:t>2</w:t>
            </w:r>
            <w:r>
              <w:rPr>
                <w:rFonts w:ascii="Times New Roman" w:hAnsi="Times New Roman" w:eastAsia="宋体"/>
                <w:color w:val="000000" w:themeColor="text1"/>
                <w:spacing w:val="0"/>
                <w:highlight w:val="none"/>
                <w14:textFill>
                  <w14:solidFill>
                    <w14:schemeClr w14:val="tx1"/>
                  </w14:solidFill>
                </w14:textFill>
              </w:rPr>
              <w:t>回</w:t>
            </w:r>
          </w:p>
        </w:tc>
        <w:tc>
          <w:tcPr>
            <w:tcW w:w="3191" w:type="dxa"/>
            <w:vAlign w:val="center"/>
          </w:tcPr>
          <w:p w14:paraId="275A9A0E">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2回</w:t>
            </w:r>
          </w:p>
        </w:tc>
      </w:tr>
      <w:tr w14:paraId="4F64D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vAlign w:val="center"/>
          </w:tcPr>
          <w:p w14:paraId="51E748C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主变布置</w:t>
            </w:r>
          </w:p>
        </w:tc>
        <w:tc>
          <w:tcPr>
            <w:tcW w:w="3236" w:type="dxa"/>
            <w:vAlign w:val="center"/>
          </w:tcPr>
          <w:p w14:paraId="30DED334">
            <w:pPr>
              <w:pStyle w:val="7"/>
              <w:adjustRightInd w:val="0"/>
              <w:snapToGrid w:val="0"/>
              <w:spacing w:after="0"/>
              <w:ind w:left="0" w:leftChars="0" w:firstLine="0"/>
              <w:jc w:val="center"/>
              <w:outlineLvl w:val="9"/>
              <w:rPr>
                <w:rFonts w:hint="eastAsia" w:ascii="Times New Roman" w:hAnsi="Times New Roman" w:eastAsia="宋体"/>
                <w:color w:val="000000" w:themeColor="text1"/>
                <w:spacing w:val="0"/>
                <w:highlight w:val="none"/>
                <w:lang w:eastAsia="zh-CN"/>
                <w14:textFill>
                  <w14:solidFill>
                    <w14:schemeClr w14:val="tx1"/>
                  </w14:solidFill>
                </w14:textFill>
              </w:rPr>
            </w:pPr>
            <w:r>
              <w:rPr>
                <w:rFonts w:hint="eastAsia" w:ascii="Times New Roman" w:hAnsi="Times New Roman" w:eastAsia="宋体"/>
                <w:color w:val="000000" w:themeColor="text1"/>
                <w:spacing w:val="0"/>
                <w:highlight w:val="none"/>
                <w:lang w:val="en-US" w:eastAsia="zh-CN"/>
                <w14:textFill>
                  <w14:solidFill>
                    <w14:schemeClr w14:val="tx1"/>
                  </w14:solidFill>
                </w14:textFill>
              </w:rPr>
              <w:t>户外</w:t>
            </w:r>
          </w:p>
        </w:tc>
        <w:tc>
          <w:tcPr>
            <w:tcW w:w="3191" w:type="dxa"/>
            <w:vAlign w:val="center"/>
          </w:tcPr>
          <w:p w14:paraId="6F59497B">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hint="eastAsia" w:ascii="Times New Roman" w:hAnsi="Times New Roman" w:eastAsia="宋体"/>
                <w:color w:val="000000" w:themeColor="text1"/>
                <w:spacing w:val="0"/>
                <w:highlight w:val="none"/>
                <w14:textFill>
                  <w14:solidFill>
                    <w14:schemeClr w14:val="tx1"/>
                  </w14:solidFill>
                </w14:textFill>
              </w:rPr>
              <w:t>户外</w:t>
            </w:r>
          </w:p>
        </w:tc>
      </w:tr>
      <w:tr w14:paraId="7EC84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vAlign w:val="center"/>
          </w:tcPr>
          <w:p w14:paraId="6B1EA8F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110kV配电装置布置</w:t>
            </w:r>
          </w:p>
        </w:tc>
        <w:tc>
          <w:tcPr>
            <w:tcW w:w="3236" w:type="dxa"/>
            <w:vAlign w:val="center"/>
          </w:tcPr>
          <w:p w14:paraId="1245682C">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户外</w:t>
            </w:r>
            <w:r>
              <w:rPr>
                <w:rFonts w:hint="eastAsia"/>
                <w:color w:val="000000" w:themeColor="text1"/>
                <w:spacing w:val="0"/>
                <w:szCs w:val="21"/>
                <w:highlight w:val="none"/>
                <w:lang w:val="en-US" w:eastAsia="zh-CN"/>
                <w14:textFill>
                  <w14:solidFill>
                    <w14:schemeClr w14:val="tx1"/>
                  </w14:solidFill>
                </w14:textFill>
              </w:rPr>
              <w:t>H</w:t>
            </w:r>
            <w:r>
              <w:rPr>
                <w:rFonts w:ascii="Times New Roman" w:hAnsi="Times New Roman" w:eastAsia="宋体"/>
                <w:color w:val="000000" w:themeColor="text1"/>
                <w:spacing w:val="0"/>
                <w:szCs w:val="21"/>
                <w:highlight w:val="none"/>
                <w14:textFill>
                  <w14:solidFill>
                    <w14:schemeClr w14:val="tx1"/>
                  </w14:solidFill>
                </w14:textFill>
              </w:rPr>
              <w:t>GIS</w:t>
            </w:r>
          </w:p>
        </w:tc>
        <w:tc>
          <w:tcPr>
            <w:tcW w:w="3191" w:type="dxa"/>
            <w:vAlign w:val="center"/>
          </w:tcPr>
          <w:p w14:paraId="0BBA2273">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户外GIS</w:t>
            </w:r>
          </w:p>
        </w:tc>
      </w:tr>
      <w:tr w14:paraId="482FF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0" w:type="dxa"/>
            <w:vAlign w:val="center"/>
          </w:tcPr>
          <w:p w14:paraId="7C9B4B02">
            <w:pPr>
              <w:pStyle w:val="7"/>
              <w:adjustRightInd w:val="0"/>
              <w:snapToGrid w:val="0"/>
              <w:spacing w:after="0"/>
              <w:ind w:left="0" w:leftChars="0" w:firstLine="0"/>
              <w:jc w:val="center"/>
              <w:outlineLvl w:val="9"/>
              <w:rPr>
                <w:rFonts w:hint="eastAsia" w:ascii="Times New Roman" w:hAnsi="Times New Roman" w:eastAsia="宋体"/>
                <w:bCs/>
                <w:color w:val="000000" w:themeColor="text1"/>
                <w:spacing w:val="0"/>
                <w:highlight w:val="none"/>
                <w:lang w:val="en-US" w:eastAsia="zh-CN"/>
                <w14:textFill>
                  <w14:solidFill>
                    <w14:schemeClr w14:val="tx1"/>
                  </w14:solidFill>
                </w14:textFill>
              </w:rPr>
            </w:pPr>
            <w:r>
              <w:rPr>
                <w:rFonts w:hint="eastAsia"/>
                <w:bCs/>
                <w:color w:val="000000" w:themeColor="text1"/>
                <w:spacing w:val="0"/>
                <w:highlight w:val="none"/>
                <w:lang w:val="en-US" w:eastAsia="zh-CN"/>
                <w14:textFill>
                  <w14:solidFill>
                    <w14:schemeClr w14:val="tx1"/>
                  </w14:solidFill>
                </w14:textFill>
              </w:rPr>
              <w:t>环境条件类比</w:t>
            </w:r>
          </w:p>
        </w:tc>
        <w:tc>
          <w:tcPr>
            <w:tcW w:w="6427" w:type="dxa"/>
            <w:gridSpan w:val="2"/>
            <w:vAlign w:val="center"/>
          </w:tcPr>
          <w:p w14:paraId="43536FC3">
            <w:pPr>
              <w:pStyle w:val="7"/>
              <w:adjustRightInd w:val="0"/>
              <w:snapToGrid w:val="0"/>
              <w:spacing w:after="0"/>
              <w:ind w:left="0" w:leftChars="0" w:firstLine="0"/>
              <w:jc w:val="center"/>
              <w:outlineLvl w:val="9"/>
              <w:rPr>
                <w:rFonts w:hint="default" w:ascii="Times New Roman" w:hAnsi="Times New Roman" w:eastAsia="宋体"/>
                <w:color w:val="000000" w:themeColor="text1"/>
                <w:spacing w:val="0"/>
                <w:szCs w:val="21"/>
                <w:highlight w:val="none"/>
                <w:lang w:val="en-US" w:eastAsia="zh-CN"/>
                <w14:textFill>
                  <w14:solidFill>
                    <w14:schemeClr w14:val="tx1"/>
                  </w14:solidFill>
                </w14:textFill>
              </w:rPr>
            </w:pPr>
            <w:r>
              <w:rPr>
                <w:rFonts w:hint="eastAsia"/>
                <w:color w:val="000000" w:themeColor="text1"/>
                <w:spacing w:val="0"/>
                <w:szCs w:val="21"/>
                <w:highlight w:val="none"/>
                <w:lang w:val="en-US" w:eastAsia="zh-CN"/>
                <w14:textFill>
                  <w14:solidFill>
                    <w14:schemeClr w14:val="tx1"/>
                  </w14:solidFill>
                </w14:textFill>
              </w:rPr>
              <w:t>均位于宁夏，地势开阔，环境条件相似</w:t>
            </w:r>
          </w:p>
        </w:tc>
      </w:tr>
    </w:tbl>
    <w:p w14:paraId="6558ACA7">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由上表可知：</w:t>
      </w:r>
    </w:p>
    <w:p w14:paraId="15E47589">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①电压等级、主变容量</w:t>
      </w:r>
      <w:r>
        <w:rPr>
          <w:rFonts w:hint="eastAsia" w:ascii="Times New Roman" w:hAnsi="Times New Roman" w:eastAsia="宋体"/>
          <w:color w:val="000000" w:themeColor="text1"/>
          <w:spacing w:val="0"/>
          <w:kern w:val="0"/>
          <w:sz w:val="24"/>
          <w:highlight w:val="none"/>
          <w14:textFill>
            <w14:solidFill>
              <w14:schemeClr w14:val="tx1"/>
            </w14:solidFill>
          </w14:textFill>
        </w:rPr>
        <w:t>、出线间隔</w:t>
      </w:r>
    </w:p>
    <w:p w14:paraId="787DCDB3">
      <w:pPr>
        <w:spacing w:line="360" w:lineRule="auto"/>
        <w:ind w:firstLine="480" w:firstLineChars="200"/>
        <w:jc w:val="left"/>
        <w:outlineLvl w:val="9"/>
        <w:rPr>
          <w:rFonts w:ascii="Times New Roman" w:hAnsi="Times New Roman" w:eastAsia="宋体"/>
          <w:color w:val="000000" w:themeColor="text1"/>
          <w:spacing w:val="0"/>
          <w:highlight w:val="none"/>
          <w14:textFill>
            <w14:solidFill>
              <w14:schemeClr w14:val="tx1"/>
            </w14:solidFill>
          </w14:textFill>
        </w:rPr>
      </w:pPr>
      <w:r>
        <w:rPr>
          <w:rFonts w:hint="eastAsia"/>
          <w:color w:val="000000" w:themeColor="text1"/>
          <w:spacing w:val="0"/>
          <w:kern w:val="0"/>
          <w:sz w:val="24"/>
          <w:highlight w:val="none"/>
          <w:lang w:val="en-US" w:eastAsia="zh-CN"/>
          <w14:textFill>
            <w14:solidFill>
              <w14:schemeClr w14:val="tx1"/>
            </w14:solidFill>
          </w14:textFill>
        </w:rPr>
        <w:t>拟建三岔</w:t>
      </w:r>
      <w:r>
        <w:rPr>
          <w:rFonts w:ascii="Times New Roman" w:hAnsi="Times New Roman" w:eastAsia="宋体"/>
          <w:color w:val="000000" w:themeColor="text1"/>
          <w:spacing w:val="0"/>
          <w:kern w:val="0"/>
          <w:sz w:val="24"/>
          <w:highlight w:val="none"/>
          <w14:textFill>
            <w14:solidFill>
              <w14:schemeClr w14:val="tx1"/>
            </w14:solidFill>
          </w14:textFill>
        </w:rPr>
        <w:t>变电站和类比变电站的电压等级均为110kV，</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三岔</w:t>
      </w:r>
      <w:r>
        <w:rPr>
          <w:rFonts w:ascii="Times New Roman" w:hAnsi="Times New Roman" w:eastAsia="宋体"/>
          <w:color w:val="000000" w:themeColor="text1"/>
          <w:spacing w:val="0"/>
          <w:sz w:val="24"/>
          <w:highlight w:val="none"/>
          <w14:textFill>
            <w14:solidFill>
              <w14:schemeClr w14:val="tx1"/>
            </w14:solidFill>
          </w14:textFill>
        </w:rPr>
        <w:t>变电站主变2台，主变容量为</w:t>
      </w:r>
      <w:r>
        <w:rPr>
          <w:rFonts w:hint="eastAsia" w:ascii="Times New Roman" w:hAnsi="Times New Roman" w:eastAsia="宋体"/>
          <w:color w:val="000000" w:themeColor="text1"/>
          <w:spacing w:val="0"/>
          <w:sz w:val="24"/>
          <w:highlight w:val="none"/>
          <w14:textFill>
            <w14:solidFill>
              <w14:schemeClr w14:val="tx1"/>
            </w14:solidFill>
          </w14:textFill>
        </w:rPr>
        <w:t>50</w:t>
      </w:r>
      <w:r>
        <w:rPr>
          <w:rFonts w:ascii="Times New Roman" w:hAnsi="Times New Roman" w:eastAsia="宋体"/>
          <w:color w:val="000000" w:themeColor="text1"/>
          <w:spacing w:val="0"/>
          <w:sz w:val="24"/>
          <w:highlight w:val="none"/>
          <w14:textFill>
            <w14:solidFill>
              <w14:schemeClr w14:val="tx1"/>
            </w14:solidFill>
          </w14:textFill>
        </w:rPr>
        <w:t xml:space="preserve"> MVA，类比变电站</w:t>
      </w:r>
      <w:r>
        <w:rPr>
          <w:rFonts w:hint="eastAsia" w:ascii="Times New Roman" w:hAnsi="Times New Roman" w:eastAsia="宋体"/>
          <w:color w:val="000000" w:themeColor="text1"/>
          <w:spacing w:val="0"/>
          <w:sz w:val="24"/>
          <w:highlight w:val="none"/>
          <w14:textFill>
            <w14:solidFill>
              <w14:schemeClr w14:val="tx1"/>
            </w14:solidFill>
          </w14:textFill>
        </w:rPr>
        <w:t>龙泉</w:t>
      </w:r>
      <w:r>
        <w:rPr>
          <w:rFonts w:ascii="Times New Roman" w:hAnsi="Times New Roman" w:eastAsia="宋体"/>
          <w:color w:val="000000" w:themeColor="text1"/>
          <w:spacing w:val="0"/>
          <w:sz w:val="24"/>
          <w:highlight w:val="none"/>
          <w14:textFill>
            <w14:solidFill>
              <w14:schemeClr w14:val="tx1"/>
            </w14:solidFill>
          </w14:textFill>
        </w:rPr>
        <w:t>变主变</w:t>
      </w:r>
      <w:r>
        <w:rPr>
          <w:rFonts w:hint="eastAsia"/>
          <w:color w:val="000000" w:themeColor="text1"/>
          <w:spacing w:val="0"/>
          <w:sz w:val="24"/>
          <w:highlight w:val="none"/>
          <w:lang w:val="en-US" w:eastAsia="zh-CN"/>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台，每台主变容量均为</w:t>
      </w:r>
      <w:r>
        <w:rPr>
          <w:rFonts w:hint="eastAsia" w:ascii="Times New Roman" w:hAnsi="Times New Roman" w:eastAsia="宋体"/>
          <w:color w:val="000000" w:themeColor="text1"/>
          <w:spacing w:val="0"/>
          <w:sz w:val="24"/>
          <w:highlight w:val="none"/>
          <w14:textFill>
            <w14:solidFill>
              <w14:schemeClr w14:val="tx1"/>
            </w14:solidFill>
          </w14:textFill>
        </w:rPr>
        <w:t>50</w:t>
      </w:r>
      <w:r>
        <w:rPr>
          <w:rFonts w:ascii="Times New Roman" w:hAnsi="Times New Roman" w:eastAsia="宋体"/>
          <w:color w:val="000000" w:themeColor="text1"/>
          <w:spacing w:val="0"/>
          <w:sz w:val="24"/>
          <w:highlight w:val="none"/>
          <w14:textFill>
            <w14:solidFill>
              <w14:schemeClr w14:val="tx1"/>
            </w14:solidFill>
          </w14:textFill>
        </w:rPr>
        <w:t>MVA</w:t>
      </w:r>
      <w:r>
        <w:rPr>
          <w:rFonts w:hint="eastAsia" w:ascii="Times New Roman" w:hAnsi="Times New Roman" w:eastAsia="宋体"/>
          <w:color w:val="000000" w:themeColor="text1"/>
          <w:spacing w:val="0"/>
          <w:sz w:val="24"/>
          <w:highlight w:val="none"/>
          <w14:textFill>
            <w14:solidFill>
              <w14:schemeClr w14:val="tx1"/>
            </w14:solidFill>
          </w14:textFill>
        </w:rPr>
        <w:t>，</w:t>
      </w:r>
      <w:r>
        <w:rPr>
          <w:rFonts w:hint="eastAsia"/>
          <w:color w:val="000000" w:themeColor="text1"/>
          <w:spacing w:val="0"/>
          <w:sz w:val="24"/>
          <w:highlight w:val="none"/>
          <w:lang w:val="en-US" w:eastAsia="zh-CN"/>
          <w14:textFill>
            <w14:solidFill>
              <w14:schemeClr w14:val="tx1"/>
            </w14:solidFill>
          </w14:textFill>
        </w:rPr>
        <w:t>三岔</w:t>
      </w:r>
      <w:r>
        <w:rPr>
          <w:rFonts w:hint="eastAsia" w:ascii="Times New Roman" w:hAnsi="Times New Roman" w:eastAsia="宋体"/>
          <w:color w:val="000000" w:themeColor="text1"/>
          <w:spacing w:val="0"/>
          <w:sz w:val="24"/>
          <w:highlight w:val="none"/>
          <w14:textFill>
            <w14:solidFill>
              <w14:schemeClr w14:val="tx1"/>
            </w14:solidFill>
          </w14:textFill>
        </w:rPr>
        <w:t>变电站出线间隔2回，类比龙泉110kV变电站出线间隔2回</w:t>
      </w:r>
      <w:r>
        <w:rPr>
          <w:rFonts w:ascii="Times New Roman" w:hAnsi="Times New Roman" w:eastAsia="宋体"/>
          <w:color w:val="000000" w:themeColor="text1"/>
          <w:spacing w:val="0"/>
          <w:sz w:val="24"/>
          <w:highlight w:val="none"/>
          <w14:textFill>
            <w14:solidFill>
              <w14:schemeClr w14:val="tx1"/>
            </w14:solidFill>
          </w14:textFill>
        </w:rPr>
        <w:t>。类比变电站与本期</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新建</w:t>
      </w:r>
      <w:r>
        <w:rPr>
          <w:rFonts w:ascii="Times New Roman" w:hAnsi="Times New Roman" w:eastAsia="宋体"/>
          <w:color w:val="000000" w:themeColor="text1"/>
          <w:spacing w:val="0"/>
          <w:sz w:val="24"/>
          <w:highlight w:val="none"/>
          <w14:textFill>
            <w14:solidFill>
              <w14:schemeClr w14:val="tx1"/>
            </w14:solidFill>
          </w14:textFill>
        </w:rPr>
        <w:t>变电站主变规模、容量</w:t>
      </w:r>
      <w:r>
        <w:rPr>
          <w:rFonts w:hint="eastAsia" w:ascii="Times New Roman" w:hAnsi="Times New Roman" w:eastAsia="宋体"/>
          <w:color w:val="000000" w:themeColor="text1"/>
          <w:spacing w:val="0"/>
          <w:sz w:val="24"/>
          <w:highlight w:val="none"/>
          <w14:textFill>
            <w14:solidFill>
              <w14:schemeClr w14:val="tx1"/>
            </w14:solidFill>
          </w14:textFill>
        </w:rPr>
        <w:t>、出线间隔</w:t>
      </w:r>
      <w:r>
        <w:rPr>
          <w:rFonts w:ascii="Times New Roman" w:hAnsi="Times New Roman" w:eastAsia="宋体"/>
          <w:color w:val="000000" w:themeColor="text1"/>
          <w:spacing w:val="0"/>
          <w:sz w:val="24"/>
          <w:highlight w:val="none"/>
          <w14:textFill>
            <w14:solidFill>
              <w14:schemeClr w14:val="tx1"/>
            </w14:solidFill>
          </w14:textFill>
        </w:rPr>
        <w:t>相同。因此，选用</w:t>
      </w:r>
      <w:r>
        <w:rPr>
          <w:rFonts w:hint="eastAsia" w:ascii="Times New Roman" w:hAnsi="Times New Roman" w:eastAsia="宋体"/>
          <w:color w:val="000000" w:themeColor="text1"/>
          <w:spacing w:val="0"/>
          <w:sz w:val="24"/>
          <w:highlight w:val="none"/>
          <w14:textFill>
            <w14:solidFill>
              <w14:schemeClr w14:val="tx1"/>
            </w14:solidFill>
          </w14:textFill>
        </w:rPr>
        <w:t>龙泉</w:t>
      </w:r>
      <w:r>
        <w:rPr>
          <w:rFonts w:ascii="Times New Roman" w:hAnsi="Times New Roman" w:eastAsia="宋体"/>
          <w:color w:val="000000" w:themeColor="text1"/>
          <w:spacing w:val="0"/>
          <w:sz w:val="24"/>
          <w:highlight w:val="none"/>
          <w14:textFill>
            <w14:solidFill>
              <w14:schemeClr w14:val="tx1"/>
            </w14:solidFill>
          </w14:textFill>
        </w:rPr>
        <w:t>110kV变电站进行类比预测是可行的。</w:t>
      </w:r>
    </w:p>
    <w:p w14:paraId="0D49506E">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hint="eastAsia" w:ascii="Times New Roman" w:hAnsi="Times New Roman" w:eastAsia="宋体"/>
          <w:color w:val="000000" w:themeColor="text1"/>
          <w:spacing w:val="0"/>
          <w:kern w:val="0"/>
          <w:sz w:val="24"/>
          <w:highlight w:val="none"/>
          <w14:textFill>
            <w14:solidFill>
              <w14:schemeClr w14:val="tx1"/>
            </w14:solidFill>
          </w14:textFill>
        </w:rPr>
        <w:t>②</w:t>
      </w:r>
      <w:r>
        <w:rPr>
          <w:rFonts w:ascii="Times New Roman" w:hAnsi="Times New Roman" w:eastAsia="宋体"/>
          <w:color w:val="000000" w:themeColor="text1"/>
          <w:spacing w:val="0"/>
          <w:kern w:val="0"/>
          <w:sz w:val="24"/>
          <w:highlight w:val="none"/>
          <w14:textFill>
            <w14:solidFill>
              <w14:schemeClr w14:val="tx1"/>
            </w14:solidFill>
          </w14:textFill>
        </w:rPr>
        <w:t>电气设备布置方式</w:t>
      </w:r>
    </w:p>
    <w:p w14:paraId="509F3DF0">
      <w:pPr>
        <w:spacing w:line="360" w:lineRule="auto"/>
        <w:ind w:firstLine="480" w:firstLineChars="200"/>
        <w:jc w:val="left"/>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本期</w:t>
      </w:r>
      <w:r>
        <w:rPr>
          <w:rFonts w:hint="eastAsia"/>
          <w:color w:val="000000" w:themeColor="text1"/>
          <w:spacing w:val="0"/>
          <w:sz w:val="24"/>
          <w:highlight w:val="none"/>
          <w:lang w:val="en-US" w:eastAsia="zh-CN"/>
          <w14:textFill>
            <w14:solidFill>
              <w14:schemeClr w14:val="tx1"/>
            </w14:solidFill>
          </w14:textFill>
        </w:rPr>
        <w:t>三岔</w:t>
      </w:r>
      <w:r>
        <w:rPr>
          <w:rFonts w:ascii="Times New Roman" w:hAnsi="Times New Roman" w:eastAsia="宋体"/>
          <w:color w:val="000000" w:themeColor="text1"/>
          <w:spacing w:val="0"/>
          <w:kern w:val="0"/>
          <w:sz w:val="24"/>
          <w:highlight w:val="none"/>
          <w14:textFill>
            <w14:solidFill>
              <w14:schemeClr w14:val="tx1"/>
            </w14:solidFill>
          </w14:textFill>
        </w:rPr>
        <w:t>变电站</w:t>
      </w:r>
      <w:r>
        <w:rPr>
          <w:rFonts w:hint="eastAsia" w:ascii="Times New Roman" w:hAnsi="Times New Roman" w:eastAsia="宋体"/>
          <w:color w:val="000000" w:themeColor="text1"/>
          <w:spacing w:val="0"/>
          <w:kern w:val="0"/>
          <w:sz w:val="24"/>
          <w:highlight w:val="none"/>
          <w14:textFill>
            <w14:solidFill>
              <w14:schemeClr w14:val="tx1"/>
            </w14:solidFill>
          </w14:textFill>
        </w:rPr>
        <w:t>与</w:t>
      </w:r>
      <w:r>
        <w:rPr>
          <w:rFonts w:ascii="Times New Roman" w:hAnsi="Times New Roman" w:eastAsia="宋体"/>
          <w:color w:val="000000" w:themeColor="text1"/>
          <w:spacing w:val="0"/>
          <w:kern w:val="0"/>
          <w:sz w:val="24"/>
          <w:highlight w:val="none"/>
          <w14:textFill>
            <w14:solidFill>
              <w14:schemeClr w14:val="tx1"/>
            </w14:solidFill>
          </w14:textFill>
        </w:rPr>
        <w:t>类比变电站</w:t>
      </w:r>
      <w:r>
        <w:rPr>
          <w:rFonts w:hint="eastAsia" w:ascii="Times New Roman" w:hAnsi="Times New Roman" w:eastAsia="宋体"/>
          <w:color w:val="000000" w:themeColor="text1"/>
          <w:spacing w:val="0"/>
          <w:kern w:val="0"/>
          <w:sz w:val="24"/>
          <w:highlight w:val="none"/>
          <w14:textFill>
            <w14:solidFill>
              <w14:schemeClr w14:val="tx1"/>
            </w14:solidFill>
          </w14:textFill>
        </w:rPr>
        <w:t>均</w:t>
      </w:r>
      <w:r>
        <w:rPr>
          <w:rFonts w:ascii="Times New Roman" w:hAnsi="Times New Roman" w:eastAsia="宋体"/>
          <w:color w:val="000000" w:themeColor="text1"/>
          <w:spacing w:val="0"/>
          <w:kern w:val="0"/>
          <w:sz w:val="24"/>
          <w:highlight w:val="none"/>
          <w14:textFill>
            <w14:solidFill>
              <w14:schemeClr w14:val="tx1"/>
            </w14:solidFill>
          </w14:textFill>
        </w:rPr>
        <w:t>采用</w:t>
      </w:r>
      <w:r>
        <w:rPr>
          <w:rFonts w:hint="eastAsia" w:ascii="Times New Roman" w:hAnsi="Times New Roman" w:eastAsia="宋体"/>
          <w:color w:val="000000" w:themeColor="text1"/>
          <w:spacing w:val="0"/>
          <w:kern w:val="0"/>
          <w:sz w:val="24"/>
          <w:highlight w:val="none"/>
          <w14:textFill>
            <w14:solidFill>
              <w14:schemeClr w14:val="tx1"/>
            </w14:solidFill>
          </w14:textFill>
        </w:rPr>
        <w:t>架空出线</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color w:val="000000" w:themeColor="text1"/>
          <w:spacing w:val="0"/>
          <w:kern w:val="0"/>
          <w:sz w:val="24"/>
          <w:highlight w:val="none"/>
          <w:lang w:val="en-US" w:eastAsia="zh-CN"/>
          <w14:textFill>
            <w14:solidFill>
              <w14:schemeClr w14:val="tx1"/>
            </w14:solidFill>
          </w14:textFill>
        </w:rPr>
        <w:t>本期三岔变电站110kV配电装置采用户外HGIS，类比变电站采用户外GIS，布置方式相似，</w:t>
      </w:r>
      <w:r>
        <w:rPr>
          <w:rFonts w:ascii="Times New Roman" w:hAnsi="Times New Roman" w:eastAsia="宋体"/>
          <w:color w:val="000000" w:themeColor="text1"/>
          <w:spacing w:val="0"/>
          <w:kern w:val="0"/>
          <w:sz w:val="24"/>
          <w:highlight w:val="none"/>
          <w14:textFill>
            <w14:solidFill>
              <w14:schemeClr w14:val="tx1"/>
            </w14:solidFill>
          </w14:textFill>
        </w:rPr>
        <w:t>因此，选用</w:t>
      </w:r>
      <w:r>
        <w:rPr>
          <w:rFonts w:hint="eastAsia" w:ascii="Times New Roman" w:hAnsi="Times New Roman" w:eastAsia="宋体"/>
          <w:color w:val="000000" w:themeColor="text1"/>
          <w:spacing w:val="0"/>
          <w:sz w:val="24"/>
          <w:highlight w:val="none"/>
          <w14:textFill>
            <w14:solidFill>
              <w14:schemeClr w14:val="tx1"/>
            </w14:solidFill>
          </w14:textFill>
        </w:rPr>
        <w:t>龙泉110kV</w:t>
      </w:r>
      <w:r>
        <w:rPr>
          <w:rFonts w:ascii="Times New Roman" w:hAnsi="Times New Roman" w:eastAsia="宋体"/>
          <w:color w:val="000000" w:themeColor="text1"/>
          <w:spacing w:val="0"/>
          <w:sz w:val="24"/>
          <w:highlight w:val="none"/>
          <w14:textFill>
            <w14:solidFill>
              <w14:schemeClr w14:val="tx1"/>
            </w14:solidFill>
          </w14:textFill>
        </w:rPr>
        <w:t>变电站进行类比分析是</w:t>
      </w:r>
      <w:r>
        <w:rPr>
          <w:rFonts w:hint="eastAsia" w:ascii="Times New Roman" w:hAnsi="Times New Roman" w:eastAsia="宋体"/>
          <w:color w:val="000000" w:themeColor="text1"/>
          <w:spacing w:val="0"/>
          <w:sz w:val="24"/>
          <w:highlight w:val="none"/>
          <w14:textFill>
            <w14:solidFill>
              <w14:schemeClr w14:val="tx1"/>
            </w14:solidFill>
          </w14:textFill>
        </w:rPr>
        <w:t>可行</w:t>
      </w:r>
      <w:r>
        <w:rPr>
          <w:rFonts w:ascii="Times New Roman" w:hAnsi="Times New Roman" w:eastAsia="宋体"/>
          <w:color w:val="000000" w:themeColor="text1"/>
          <w:spacing w:val="0"/>
          <w:sz w:val="24"/>
          <w:highlight w:val="none"/>
          <w14:textFill>
            <w14:solidFill>
              <w14:schemeClr w14:val="tx1"/>
            </w14:solidFill>
          </w14:textFill>
        </w:rPr>
        <w:t>的。</w:t>
      </w:r>
    </w:p>
    <w:p w14:paraId="0817FFF3">
      <w:pPr>
        <w:pStyle w:val="7"/>
        <w:spacing w:after="0" w:line="360" w:lineRule="auto"/>
        <w:ind w:left="0" w:leftChars="0"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③</w:t>
      </w:r>
      <w:r>
        <w:rPr>
          <w:rFonts w:ascii="Times New Roman" w:hAnsi="Times New Roman" w:eastAsia="宋体"/>
          <w:color w:val="000000" w:themeColor="text1"/>
          <w:spacing w:val="0"/>
          <w:sz w:val="24"/>
          <w:highlight w:val="none"/>
          <w14:textFill>
            <w14:solidFill>
              <w14:schemeClr w14:val="tx1"/>
            </w14:solidFill>
          </w14:textFill>
        </w:rPr>
        <w:t>所在位置及变电站面积</w:t>
      </w:r>
    </w:p>
    <w:p w14:paraId="1BC2C60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类比变电站与本期</w:t>
      </w:r>
      <w:r>
        <w:rPr>
          <w:rFonts w:ascii="Times New Roman" w:hAnsi="Times New Roman" w:eastAsia="宋体"/>
          <w:color w:val="000000" w:themeColor="text1"/>
          <w:spacing w:val="0"/>
          <w:kern w:val="0"/>
          <w:sz w:val="24"/>
          <w:highlight w:val="none"/>
          <w14:textFill>
            <w14:solidFill>
              <w14:schemeClr w14:val="tx1"/>
            </w14:solidFill>
          </w14:textFill>
        </w:rPr>
        <w:t>变电站</w:t>
      </w:r>
      <w:r>
        <w:rPr>
          <w:rFonts w:ascii="Times New Roman" w:hAnsi="Times New Roman" w:eastAsia="宋体"/>
          <w:color w:val="000000" w:themeColor="text1"/>
          <w:spacing w:val="0"/>
          <w:sz w:val="24"/>
          <w:highlight w:val="none"/>
          <w14:textFill>
            <w14:solidFill>
              <w14:schemeClr w14:val="tx1"/>
            </w14:solidFill>
          </w14:textFill>
        </w:rPr>
        <w:t>环境条件相似，从变电站的占地面积分析，类比变电站的占地面积</w:t>
      </w:r>
      <w:r>
        <w:rPr>
          <w:rFonts w:hint="eastAsia"/>
          <w:color w:val="000000" w:themeColor="text1"/>
          <w:spacing w:val="0"/>
          <w:sz w:val="24"/>
          <w:highlight w:val="none"/>
          <w:lang w:val="en-US" w:eastAsia="zh-CN"/>
          <w14:textFill>
            <w14:solidFill>
              <w14:schemeClr w14:val="tx1"/>
            </w14:solidFill>
          </w14:textFill>
        </w:rPr>
        <w:t>相近</w:t>
      </w:r>
      <w:r>
        <w:rPr>
          <w:rFonts w:ascii="Times New Roman" w:hAnsi="Times New Roman" w:eastAsia="宋体"/>
          <w:color w:val="000000" w:themeColor="text1"/>
          <w:spacing w:val="0"/>
          <w:sz w:val="24"/>
          <w:highlight w:val="none"/>
          <w14:textFill>
            <w14:solidFill>
              <w14:schemeClr w14:val="tx1"/>
            </w14:solidFill>
          </w14:textFill>
        </w:rPr>
        <w:t>，因此，选用</w:t>
      </w:r>
      <w:r>
        <w:rPr>
          <w:rFonts w:hint="eastAsia" w:ascii="Times New Roman" w:hAnsi="Times New Roman" w:eastAsia="宋体"/>
          <w:color w:val="000000" w:themeColor="text1"/>
          <w:spacing w:val="0"/>
          <w:sz w:val="24"/>
          <w:highlight w:val="none"/>
          <w14:textFill>
            <w14:solidFill>
              <w14:schemeClr w14:val="tx1"/>
            </w14:solidFill>
          </w14:textFill>
        </w:rPr>
        <w:t>龙泉</w:t>
      </w:r>
      <w:r>
        <w:rPr>
          <w:rFonts w:ascii="Times New Roman" w:hAnsi="Times New Roman" w:eastAsia="宋体"/>
          <w:color w:val="000000" w:themeColor="text1"/>
          <w:spacing w:val="0"/>
          <w:sz w:val="24"/>
          <w:highlight w:val="none"/>
          <w14:textFill>
            <w14:solidFill>
              <w14:schemeClr w14:val="tx1"/>
            </w14:solidFill>
          </w14:textFill>
        </w:rPr>
        <w:t>110千伏变电站进行类比分析是可行的。</w:t>
      </w:r>
    </w:p>
    <w:p w14:paraId="1A32B4BC">
      <w:pPr>
        <w:pStyle w:val="44"/>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综上所述，本次选用类比</w:t>
      </w:r>
      <w:r>
        <w:rPr>
          <w:rFonts w:hint="eastAsia" w:ascii="Times New Roman" w:hAnsi="Times New Roman" w:eastAsia="宋体"/>
          <w:color w:val="000000" w:themeColor="text1"/>
          <w:spacing w:val="0"/>
          <w:kern w:val="0"/>
          <w:sz w:val="24"/>
          <w:highlight w:val="none"/>
          <w14:textFill>
            <w14:solidFill>
              <w14:schemeClr w14:val="tx1"/>
            </w14:solidFill>
          </w14:textFill>
        </w:rPr>
        <w:t>龙泉</w:t>
      </w:r>
      <w:r>
        <w:rPr>
          <w:rFonts w:ascii="Times New Roman" w:hAnsi="Times New Roman" w:eastAsia="宋体"/>
          <w:color w:val="000000" w:themeColor="text1"/>
          <w:spacing w:val="0"/>
          <w:sz w:val="24"/>
          <w:highlight w:val="none"/>
          <w14:textFill>
            <w14:solidFill>
              <w14:schemeClr w14:val="tx1"/>
            </w14:solidFill>
          </w14:textFill>
        </w:rPr>
        <w:t>110千伏</w:t>
      </w:r>
      <w:r>
        <w:rPr>
          <w:rFonts w:ascii="Times New Roman" w:hAnsi="Times New Roman" w:eastAsia="宋体"/>
          <w:color w:val="000000" w:themeColor="text1"/>
          <w:spacing w:val="0"/>
          <w:kern w:val="0"/>
          <w:sz w:val="24"/>
          <w:highlight w:val="none"/>
          <w14:textFill>
            <w14:solidFill>
              <w14:schemeClr w14:val="tx1"/>
            </w14:solidFill>
          </w14:textFill>
        </w:rPr>
        <w:t>变电站与</w:t>
      </w:r>
      <w:r>
        <w:rPr>
          <w:rFonts w:hint="eastAsia"/>
          <w:color w:val="000000" w:themeColor="text1"/>
          <w:spacing w:val="0"/>
          <w:kern w:val="0"/>
          <w:sz w:val="24"/>
          <w:highlight w:val="none"/>
          <w:lang w:val="en-US" w:eastAsia="zh-CN"/>
          <w14:textFill>
            <w14:solidFill>
              <w14:schemeClr w14:val="tx1"/>
            </w14:solidFill>
          </w14:textFill>
        </w:rPr>
        <w:t>拟建</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三岔</w:t>
      </w:r>
      <w:r>
        <w:rPr>
          <w:rFonts w:ascii="Times New Roman" w:hAnsi="Times New Roman" w:eastAsia="宋体"/>
          <w:color w:val="000000" w:themeColor="text1"/>
          <w:spacing w:val="0"/>
          <w:kern w:val="0"/>
          <w:sz w:val="24"/>
          <w:highlight w:val="none"/>
          <w14:textFill>
            <w14:solidFill>
              <w14:schemeClr w14:val="tx1"/>
            </w14:solidFill>
          </w14:textFill>
        </w:rPr>
        <w:t>110kV变电站从电压等级、主变容量、出线间隔规模、电气设备布置方式</w:t>
      </w:r>
      <w:r>
        <w:rPr>
          <w:rFonts w:hint="eastAsia"/>
          <w:color w:val="000000" w:themeColor="text1"/>
          <w:spacing w:val="0"/>
          <w:kern w:val="0"/>
          <w:sz w:val="24"/>
          <w:highlight w:val="none"/>
          <w:lang w:eastAsia="zh-CN"/>
          <w14:textFill>
            <w14:solidFill>
              <w14:schemeClr w14:val="tx1"/>
            </w14:solidFill>
          </w14:textFill>
        </w:rPr>
        <w:t>、</w:t>
      </w:r>
      <w:r>
        <w:rPr>
          <w:rFonts w:hint="eastAsia"/>
          <w:color w:val="000000" w:themeColor="text1"/>
          <w:spacing w:val="0"/>
          <w:kern w:val="0"/>
          <w:sz w:val="24"/>
          <w:highlight w:val="none"/>
          <w:lang w:val="en-US" w:eastAsia="zh-CN"/>
          <w14:textFill>
            <w14:solidFill>
              <w14:schemeClr w14:val="tx1"/>
            </w14:solidFill>
          </w14:textFill>
        </w:rPr>
        <w:t>环境条件</w:t>
      </w:r>
      <w:r>
        <w:rPr>
          <w:rFonts w:ascii="Times New Roman" w:hAnsi="Times New Roman" w:eastAsia="宋体"/>
          <w:color w:val="000000" w:themeColor="text1"/>
          <w:spacing w:val="0"/>
          <w:kern w:val="0"/>
          <w:sz w:val="24"/>
          <w:highlight w:val="none"/>
          <w14:textFill>
            <w14:solidFill>
              <w14:schemeClr w14:val="tx1"/>
            </w14:solidFill>
          </w14:textFill>
        </w:rPr>
        <w:t>等</w:t>
      </w:r>
      <w:r>
        <w:rPr>
          <w:rFonts w:hint="eastAsia"/>
          <w:color w:val="000000" w:themeColor="text1"/>
          <w:spacing w:val="0"/>
          <w:kern w:val="0"/>
          <w:sz w:val="24"/>
          <w:highlight w:val="none"/>
          <w:lang w:val="en-US" w:eastAsia="zh-CN"/>
          <w14:textFill>
            <w14:solidFill>
              <w14:schemeClr w14:val="tx1"/>
            </w14:solidFill>
          </w14:textFill>
        </w:rPr>
        <w:t>大致相似</w:t>
      </w:r>
      <w:r>
        <w:rPr>
          <w:rFonts w:ascii="Times New Roman" w:hAnsi="Times New Roman" w:eastAsia="宋体"/>
          <w:color w:val="000000" w:themeColor="text1"/>
          <w:spacing w:val="0"/>
          <w:kern w:val="0"/>
          <w:sz w:val="24"/>
          <w:highlight w:val="none"/>
          <w14:textFill>
            <w14:solidFill>
              <w14:schemeClr w14:val="tx1"/>
            </w14:solidFill>
          </w14:textFill>
        </w:rPr>
        <w:t>。因此，选用</w:t>
      </w:r>
      <w:r>
        <w:rPr>
          <w:rFonts w:hint="eastAsia" w:ascii="Times New Roman" w:hAnsi="Times New Roman" w:eastAsia="宋体"/>
          <w:color w:val="000000" w:themeColor="text1"/>
          <w:spacing w:val="0"/>
          <w:kern w:val="0"/>
          <w:sz w:val="24"/>
          <w:highlight w:val="none"/>
          <w14:textFill>
            <w14:solidFill>
              <w14:schemeClr w14:val="tx1"/>
            </w14:solidFill>
          </w14:textFill>
        </w:rPr>
        <w:t>龙泉</w:t>
      </w:r>
      <w:r>
        <w:rPr>
          <w:rFonts w:ascii="Times New Roman" w:hAnsi="Times New Roman" w:eastAsia="宋体"/>
          <w:color w:val="000000" w:themeColor="text1"/>
          <w:spacing w:val="0"/>
          <w:sz w:val="24"/>
          <w:highlight w:val="none"/>
          <w14:textFill>
            <w14:solidFill>
              <w14:schemeClr w14:val="tx1"/>
            </w14:solidFill>
          </w14:textFill>
        </w:rPr>
        <w:t>110千伏变电站</w:t>
      </w:r>
      <w:r>
        <w:rPr>
          <w:rFonts w:ascii="Times New Roman" w:hAnsi="Times New Roman" w:eastAsia="宋体"/>
          <w:color w:val="000000" w:themeColor="text1"/>
          <w:spacing w:val="0"/>
          <w:kern w:val="0"/>
          <w:sz w:val="24"/>
          <w:highlight w:val="none"/>
          <w14:textFill>
            <w14:solidFill>
              <w14:schemeClr w14:val="tx1"/>
            </w14:solidFill>
          </w14:textFill>
        </w:rPr>
        <w:t>已运行的类比监测结果来预测分析本期</w:t>
      </w:r>
      <w:r>
        <w:rPr>
          <w:rFonts w:hint="eastAsia"/>
          <w:color w:val="000000" w:themeColor="text1"/>
          <w:spacing w:val="0"/>
          <w:kern w:val="0"/>
          <w:sz w:val="24"/>
          <w:highlight w:val="none"/>
          <w:lang w:val="en-US" w:eastAsia="zh-CN"/>
          <w14:textFill>
            <w14:solidFill>
              <w14:schemeClr w14:val="tx1"/>
            </w14:solidFill>
          </w14:textFill>
        </w:rPr>
        <w:t>拟建三岔</w:t>
      </w:r>
      <w:r>
        <w:rPr>
          <w:rFonts w:ascii="Times New Roman" w:hAnsi="Times New Roman" w:eastAsia="宋体"/>
          <w:color w:val="000000" w:themeColor="text1"/>
          <w:spacing w:val="0"/>
          <w:kern w:val="0"/>
          <w:sz w:val="24"/>
          <w:highlight w:val="none"/>
          <w14:textFill>
            <w14:solidFill>
              <w14:schemeClr w14:val="tx1"/>
            </w14:solidFill>
          </w14:textFill>
        </w:rPr>
        <w:t>110kV变电站建成后的电磁环境影响是合理的，可以反映出</w:t>
      </w:r>
      <w:r>
        <w:rPr>
          <w:rFonts w:hint="eastAsia"/>
          <w:color w:val="000000" w:themeColor="text1"/>
          <w:spacing w:val="0"/>
          <w:sz w:val="24"/>
          <w:highlight w:val="none"/>
          <w:lang w:val="en-US" w:eastAsia="zh-CN"/>
          <w14:textFill>
            <w14:solidFill>
              <w14:schemeClr w14:val="tx1"/>
            </w14:solidFill>
          </w14:textFill>
        </w:rPr>
        <w:t>三岔</w:t>
      </w:r>
      <w:r>
        <w:rPr>
          <w:rFonts w:ascii="Times New Roman" w:hAnsi="Times New Roman" w:eastAsia="宋体"/>
          <w:color w:val="000000" w:themeColor="text1"/>
          <w:spacing w:val="0"/>
          <w:kern w:val="0"/>
          <w:sz w:val="24"/>
          <w:highlight w:val="none"/>
          <w14:textFill>
            <w14:solidFill>
              <w14:schemeClr w14:val="tx1"/>
            </w14:solidFill>
          </w14:textFill>
        </w:rPr>
        <w:t>110kV变电站本期工程运行后对周围电磁环境的影响程度。</w:t>
      </w:r>
    </w:p>
    <w:p w14:paraId="264C55C2">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（2）类比监测项目</w:t>
      </w:r>
    </w:p>
    <w:p w14:paraId="5982B590">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工频电场、工频磁场。</w:t>
      </w:r>
    </w:p>
    <w:p w14:paraId="067C3719">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（3）类比监测频次</w:t>
      </w:r>
    </w:p>
    <w:p w14:paraId="665A6F21">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监测一次。</w:t>
      </w:r>
    </w:p>
    <w:p w14:paraId="366635E8">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（4）类比监测方法</w:t>
      </w:r>
    </w:p>
    <w:p w14:paraId="0A2ED4DC">
      <w:pPr>
        <w:spacing w:line="360" w:lineRule="auto"/>
        <w:ind w:firstLine="48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按照《交流输变电工程电磁环境监测方法（试行）》（HJ681-2013）要求。</w:t>
      </w:r>
    </w:p>
    <w:p w14:paraId="41A8ABA7">
      <w:pPr>
        <w:pStyle w:val="44"/>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（5）类比监测仪器</w:t>
      </w:r>
    </w:p>
    <w:p w14:paraId="7ECDF43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监测名称：SEM-600/LF-01</w:t>
      </w:r>
      <w:r>
        <w:rPr>
          <w:rFonts w:hint="eastAsia" w:ascii="Times New Roman" w:hAnsi="Times New Roman" w:eastAsia="宋体"/>
          <w:color w:val="000000" w:themeColor="text1"/>
          <w:spacing w:val="0"/>
          <w:sz w:val="24"/>
          <w:highlight w:val="none"/>
          <w14:textFill>
            <w14:solidFill>
              <w14:schemeClr w14:val="tx1"/>
            </w14:solidFill>
          </w14:textFill>
        </w:rPr>
        <w:t>D</w:t>
      </w:r>
      <w:r>
        <w:rPr>
          <w:rFonts w:ascii="Times New Roman" w:hAnsi="Times New Roman" w:eastAsia="宋体"/>
          <w:color w:val="000000" w:themeColor="text1"/>
          <w:spacing w:val="0"/>
          <w:sz w:val="24"/>
          <w:highlight w:val="none"/>
          <w14:textFill>
            <w14:solidFill>
              <w14:schemeClr w14:val="tx1"/>
            </w14:solidFill>
          </w14:textFill>
        </w:rPr>
        <w:t>电磁场探头和读出装置；</w:t>
      </w:r>
    </w:p>
    <w:p w14:paraId="3E1DE36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测量范围：工频电场0.5V/m~100kV/m，工频磁场10nT~3mT；</w:t>
      </w:r>
    </w:p>
    <w:p w14:paraId="1BAAAE88">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生产厂家：北京森馥科技股份有限公司；</w:t>
      </w:r>
    </w:p>
    <w:p w14:paraId="7DF65A64">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出厂编号：</w:t>
      </w:r>
      <w:r>
        <w:rPr>
          <w:rFonts w:hint="eastAsia" w:ascii="Times New Roman" w:hAnsi="Times New Roman" w:eastAsia="宋体"/>
          <w:color w:val="000000" w:themeColor="text1"/>
          <w:spacing w:val="0"/>
          <w:sz w:val="24"/>
          <w:highlight w:val="none"/>
          <w14:textFill>
            <w14:solidFill>
              <w14:schemeClr w14:val="tx1"/>
            </w14:solidFill>
          </w14:textFill>
        </w:rPr>
        <w:t>G</w:t>
      </w:r>
      <w:r>
        <w:rPr>
          <w:rFonts w:ascii="Times New Roman" w:hAnsi="Times New Roman" w:eastAsia="宋体"/>
          <w:color w:val="000000" w:themeColor="text1"/>
          <w:spacing w:val="0"/>
          <w:sz w:val="24"/>
          <w:highlight w:val="none"/>
          <w14:textFill>
            <w14:solidFill>
              <w14:schemeClr w14:val="tx1"/>
            </w14:solidFill>
          </w14:textFill>
        </w:rPr>
        <w:t>-</w:t>
      </w:r>
      <w:r>
        <w:rPr>
          <w:rFonts w:hint="eastAsia" w:ascii="Times New Roman" w:hAnsi="Times New Roman" w:eastAsia="宋体"/>
          <w:color w:val="000000" w:themeColor="text1"/>
          <w:spacing w:val="0"/>
          <w:sz w:val="24"/>
          <w:highlight w:val="none"/>
          <w14:textFill>
            <w14:solidFill>
              <w14:schemeClr w14:val="tx1"/>
            </w14:solidFill>
          </w14:textFill>
        </w:rPr>
        <w:t>2240 D-2238</w:t>
      </w:r>
      <w:r>
        <w:rPr>
          <w:rFonts w:ascii="Times New Roman" w:hAnsi="Times New Roman" w:eastAsia="宋体"/>
          <w:color w:val="000000" w:themeColor="text1"/>
          <w:spacing w:val="0"/>
          <w:sz w:val="24"/>
          <w:highlight w:val="none"/>
          <w14:textFill>
            <w14:solidFill>
              <w14:schemeClr w14:val="tx1"/>
            </w14:solidFill>
          </w14:textFill>
        </w:rPr>
        <w:t>；</w:t>
      </w:r>
    </w:p>
    <w:p w14:paraId="6EF69700">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color w:val="000000" w:themeColor="text1"/>
          <w:spacing w:val="0"/>
          <w:sz w:val="24"/>
          <w:highlight w:val="none"/>
          <w14:textFill>
            <w14:solidFill>
              <w14:schemeClr w14:val="tx1"/>
            </w14:solidFill>
          </w14:textFill>
        </w:rPr>
        <w:t>内部</w:t>
      </w:r>
      <w:r>
        <w:rPr>
          <w:rFonts w:ascii="Times New Roman" w:hAnsi="Times New Roman" w:eastAsia="宋体"/>
          <w:color w:val="000000" w:themeColor="text1"/>
          <w:spacing w:val="0"/>
          <w:sz w:val="24"/>
          <w:highlight w:val="none"/>
          <w14:textFill>
            <w14:solidFill>
              <w14:schemeClr w14:val="tx1"/>
            </w14:solidFill>
          </w14:textFill>
        </w:rPr>
        <w:t>编号：LT-DC0</w:t>
      </w:r>
      <w:r>
        <w:rPr>
          <w:rFonts w:hint="eastAsia" w:ascii="Times New Roman" w:hAnsi="Times New Roman" w:eastAsia="宋体"/>
          <w:color w:val="000000" w:themeColor="text1"/>
          <w:spacing w:val="0"/>
          <w:sz w:val="24"/>
          <w:highlight w:val="none"/>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-1；</w:t>
      </w:r>
    </w:p>
    <w:p w14:paraId="050BD1C4">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检定单位：</w:t>
      </w:r>
      <w:r>
        <w:rPr>
          <w:rFonts w:hint="eastAsia" w:ascii="Times New Roman" w:hAnsi="Times New Roman" w:eastAsia="宋体"/>
          <w:color w:val="000000" w:themeColor="text1"/>
          <w:spacing w:val="0"/>
          <w:sz w:val="24"/>
          <w:highlight w:val="none"/>
          <w14:textFill>
            <w14:solidFill>
              <w14:schemeClr w14:val="tx1"/>
            </w14:solidFill>
          </w14:textFill>
        </w:rPr>
        <w:t>华南</w:t>
      </w:r>
      <w:r>
        <w:rPr>
          <w:rFonts w:ascii="Times New Roman" w:hAnsi="Times New Roman" w:eastAsia="宋体"/>
          <w:color w:val="000000" w:themeColor="text1"/>
          <w:spacing w:val="0"/>
          <w:sz w:val="24"/>
          <w:highlight w:val="none"/>
          <w14:textFill>
            <w14:solidFill>
              <w14:schemeClr w14:val="tx1"/>
            </w14:solidFill>
          </w14:textFill>
        </w:rPr>
        <w:t>国家计量测试中心</w:t>
      </w:r>
      <w:r>
        <w:rPr>
          <w:rFonts w:hint="eastAsia" w:ascii="Times New Roman" w:hAnsi="Times New Roman" w:eastAsia="宋体"/>
          <w:color w:val="000000" w:themeColor="text1"/>
          <w:spacing w:val="0"/>
          <w:sz w:val="24"/>
          <w:highlight w:val="none"/>
          <w14:textFill>
            <w14:solidFill>
              <w14:schemeClr w14:val="tx1"/>
            </w14:solidFill>
          </w14:textFill>
        </w:rPr>
        <w:t>（广东省计量科学研究院）</w:t>
      </w:r>
      <w:r>
        <w:rPr>
          <w:rFonts w:ascii="Times New Roman" w:hAnsi="Times New Roman" w:eastAsia="宋体"/>
          <w:color w:val="000000" w:themeColor="text1"/>
          <w:spacing w:val="0"/>
          <w:sz w:val="24"/>
          <w:highlight w:val="none"/>
          <w14:textFill>
            <w14:solidFill>
              <w14:schemeClr w14:val="tx1"/>
            </w14:solidFill>
          </w14:textFill>
        </w:rPr>
        <w:t>；</w:t>
      </w:r>
    </w:p>
    <w:p w14:paraId="317AFBEF">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检定证书号：</w:t>
      </w:r>
      <w:r>
        <w:rPr>
          <w:rFonts w:hint="eastAsia" w:ascii="Times New Roman" w:hAnsi="Times New Roman" w:eastAsia="宋体"/>
          <w:color w:val="000000" w:themeColor="text1"/>
          <w:spacing w:val="0"/>
          <w:sz w:val="24"/>
          <w:highlight w:val="none"/>
          <w14:textFill>
            <w14:solidFill>
              <w14:schemeClr w14:val="tx1"/>
            </w14:solidFill>
          </w14:textFill>
        </w:rPr>
        <w:t>WWD202403202</w:t>
      </w:r>
      <w:r>
        <w:rPr>
          <w:rFonts w:ascii="Times New Roman" w:hAnsi="Times New Roman" w:eastAsia="宋体"/>
          <w:color w:val="000000" w:themeColor="text1"/>
          <w:spacing w:val="0"/>
          <w:sz w:val="24"/>
          <w:highlight w:val="none"/>
          <w14:textFill>
            <w14:solidFill>
              <w14:schemeClr w14:val="tx1"/>
            </w14:solidFill>
          </w14:textFill>
        </w:rPr>
        <w:t>；</w:t>
      </w:r>
    </w:p>
    <w:p w14:paraId="561FCE59">
      <w:pPr>
        <w:spacing w:line="360" w:lineRule="auto"/>
        <w:ind w:firstLine="480" w:firstLineChars="200"/>
        <w:jc w:val="left"/>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有效期：202</w:t>
      </w:r>
      <w:r>
        <w:rPr>
          <w:rFonts w:hint="eastAsia" w:ascii="Times New Roman" w:hAnsi="Times New Roman" w:eastAsia="宋体"/>
          <w:color w:val="000000" w:themeColor="text1"/>
          <w:spacing w:val="0"/>
          <w:sz w:val="24"/>
          <w:highlight w:val="none"/>
          <w14:textFill>
            <w14:solidFill>
              <w14:schemeClr w14:val="tx1"/>
            </w14:solidFill>
          </w14:textFill>
        </w:rPr>
        <w:t>4</w:t>
      </w:r>
      <w:r>
        <w:rPr>
          <w:rFonts w:ascii="Times New Roman" w:hAnsi="Times New Roman" w:eastAsia="宋体"/>
          <w:color w:val="000000" w:themeColor="text1"/>
          <w:spacing w:val="0"/>
          <w:sz w:val="24"/>
          <w:highlight w:val="none"/>
          <w14:textFill>
            <w14:solidFill>
              <w14:schemeClr w14:val="tx1"/>
            </w14:solidFill>
          </w14:textFill>
        </w:rPr>
        <w:t>.0</w:t>
      </w:r>
      <w:r>
        <w:rPr>
          <w:rFonts w:hint="eastAsia" w:ascii="Times New Roman" w:hAnsi="Times New Roman" w:eastAsia="宋体"/>
          <w:color w:val="000000" w:themeColor="text1"/>
          <w:spacing w:val="0"/>
          <w:sz w:val="24"/>
          <w:highlight w:val="none"/>
          <w14:textFill>
            <w14:solidFill>
              <w14:schemeClr w14:val="tx1"/>
            </w14:solidFill>
          </w14:textFill>
        </w:rPr>
        <w:t>9</w:t>
      </w:r>
      <w:r>
        <w:rPr>
          <w:rFonts w:ascii="Times New Roman" w:hAnsi="Times New Roman" w:eastAsia="宋体"/>
          <w:color w:val="000000" w:themeColor="text1"/>
          <w:spacing w:val="0"/>
          <w:sz w:val="24"/>
          <w:highlight w:val="none"/>
          <w14:textFill>
            <w14:solidFill>
              <w14:schemeClr w14:val="tx1"/>
            </w14:solidFill>
          </w14:textFill>
        </w:rPr>
        <w:t>.2</w:t>
      </w:r>
      <w:r>
        <w:rPr>
          <w:rFonts w:hint="eastAsia" w:ascii="Times New Roman" w:hAnsi="Times New Roman" w:eastAsia="宋体"/>
          <w:color w:val="000000" w:themeColor="text1"/>
          <w:spacing w:val="0"/>
          <w:sz w:val="24"/>
          <w:highlight w:val="none"/>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-202</w:t>
      </w:r>
      <w:r>
        <w:rPr>
          <w:rFonts w:hint="eastAsia" w:ascii="Times New Roman" w:hAnsi="Times New Roman" w:eastAsia="宋体"/>
          <w:color w:val="000000" w:themeColor="text1"/>
          <w:spacing w:val="0"/>
          <w:sz w:val="24"/>
          <w:highlight w:val="none"/>
          <w14:textFill>
            <w14:solidFill>
              <w14:schemeClr w14:val="tx1"/>
            </w14:solidFill>
          </w14:textFill>
        </w:rPr>
        <w:t>5</w:t>
      </w:r>
      <w:r>
        <w:rPr>
          <w:rFonts w:ascii="Times New Roman" w:hAnsi="Times New Roman" w:eastAsia="宋体"/>
          <w:color w:val="000000" w:themeColor="text1"/>
          <w:spacing w:val="0"/>
          <w:sz w:val="24"/>
          <w:highlight w:val="none"/>
          <w14:textFill>
            <w14:solidFill>
              <w14:schemeClr w14:val="tx1"/>
            </w14:solidFill>
          </w14:textFill>
        </w:rPr>
        <w:t>.0</w:t>
      </w:r>
      <w:r>
        <w:rPr>
          <w:rFonts w:hint="eastAsia" w:ascii="Times New Roman" w:hAnsi="Times New Roman" w:eastAsia="宋体"/>
          <w:color w:val="000000" w:themeColor="text1"/>
          <w:spacing w:val="0"/>
          <w:sz w:val="24"/>
          <w:highlight w:val="none"/>
          <w14:textFill>
            <w14:solidFill>
              <w14:schemeClr w14:val="tx1"/>
            </w14:solidFill>
          </w14:textFill>
        </w:rPr>
        <w:t>9</w:t>
      </w:r>
      <w:r>
        <w:rPr>
          <w:rFonts w:ascii="Times New Roman" w:hAnsi="Times New Roman" w:eastAsia="宋体"/>
          <w:color w:val="000000" w:themeColor="text1"/>
          <w:spacing w:val="0"/>
          <w:sz w:val="24"/>
          <w:highlight w:val="none"/>
          <w14:textFill>
            <w14:solidFill>
              <w14:schemeClr w14:val="tx1"/>
            </w14:solidFill>
          </w14:textFill>
        </w:rPr>
        <w:t>.2</w:t>
      </w:r>
      <w:r>
        <w:rPr>
          <w:rFonts w:hint="eastAsia" w:ascii="Times New Roman" w:hAnsi="Times New Roman" w:eastAsia="宋体"/>
          <w:color w:val="000000" w:themeColor="text1"/>
          <w:spacing w:val="0"/>
          <w:sz w:val="24"/>
          <w:highlight w:val="none"/>
          <w14:textFill>
            <w14:solidFill>
              <w14:schemeClr w14:val="tx1"/>
            </w14:solidFill>
          </w14:textFill>
        </w:rPr>
        <w:t>2</w:t>
      </w:r>
      <w:r>
        <w:rPr>
          <w:rFonts w:ascii="Times New Roman" w:hAnsi="Times New Roman" w:eastAsia="宋体"/>
          <w:color w:val="000000" w:themeColor="text1"/>
          <w:spacing w:val="0"/>
          <w:sz w:val="24"/>
          <w:highlight w:val="none"/>
          <w14:textFill>
            <w14:solidFill>
              <w14:schemeClr w14:val="tx1"/>
            </w14:solidFill>
          </w14:textFill>
        </w:rPr>
        <w:t>。</w:t>
      </w:r>
    </w:p>
    <w:p w14:paraId="1D3C13F6">
      <w:pPr>
        <w:spacing w:line="360" w:lineRule="auto"/>
        <w:ind w:firstLine="470" w:firstLineChars="196"/>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（6）类比监测条件</w:t>
      </w:r>
    </w:p>
    <w:p w14:paraId="24D67FDD">
      <w:pPr>
        <w:pStyle w:val="44"/>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kern w:val="0"/>
          <w:sz w:val="24"/>
          <w:highlight w:val="none"/>
          <w14:textFill>
            <w14:solidFill>
              <w14:schemeClr w14:val="tx1"/>
            </w14:solidFill>
          </w14:textFill>
        </w:rPr>
        <w:t>202</w:t>
      </w:r>
      <w:r>
        <w:rPr>
          <w:rFonts w:hint="eastAsia" w:ascii="Times New Roman" w:hAnsi="Times New Roman" w:eastAsia="宋体"/>
          <w:color w:val="000000" w:themeColor="text1"/>
          <w:spacing w:val="0"/>
          <w:kern w:val="0"/>
          <w:sz w:val="24"/>
          <w:highlight w:val="none"/>
          <w14:textFill>
            <w14:solidFill>
              <w14:schemeClr w14:val="tx1"/>
            </w14:solidFill>
          </w14:textFill>
        </w:rPr>
        <w:t>5</w:t>
      </w:r>
      <w:r>
        <w:rPr>
          <w:rFonts w:ascii="Times New Roman" w:hAnsi="Times New Roman" w:eastAsia="宋体"/>
          <w:color w:val="000000" w:themeColor="text1"/>
          <w:spacing w:val="0"/>
          <w:kern w:val="0"/>
          <w:sz w:val="24"/>
          <w:highlight w:val="none"/>
          <w14:textFill>
            <w14:solidFill>
              <w14:schemeClr w14:val="tx1"/>
            </w14:solidFill>
          </w14:textFill>
        </w:rPr>
        <w:t>年</w:t>
      </w:r>
      <w:r>
        <w:rPr>
          <w:rFonts w:hint="eastAsia" w:ascii="Times New Roman" w:hAnsi="Times New Roman" w:eastAsia="宋体"/>
          <w:color w:val="000000" w:themeColor="text1"/>
          <w:spacing w:val="0"/>
          <w:kern w:val="0"/>
          <w:sz w:val="24"/>
          <w:highlight w:val="none"/>
          <w14:textFill>
            <w14:solidFill>
              <w14:schemeClr w14:val="tx1"/>
            </w14:solidFill>
          </w14:textFill>
        </w:rPr>
        <w:t>3</w:t>
      </w:r>
      <w:r>
        <w:rPr>
          <w:rFonts w:ascii="Times New Roman" w:hAnsi="Times New Roman" w:eastAsia="宋体"/>
          <w:color w:val="000000" w:themeColor="text1"/>
          <w:spacing w:val="0"/>
          <w:kern w:val="0"/>
          <w:sz w:val="24"/>
          <w:highlight w:val="none"/>
          <w14:textFill>
            <w14:solidFill>
              <w14:schemeClr w14:val="tx1"/>
            </w14:solidFill>
          </w14:textFill>
        </w:rPr>
        <w:t>月</w:t>
      </w:r>
      <w:r>
        <w:rPr>
          <w:rFonts w:hint="eastAsia" w:ascii="Times New Roman" w:hAnsi="Times New Roman" w:eastAsia="宋体"/>
          <w:color w:val="000000" w:themeColor="text1"/>
          <w:spacing w:val="0"/>
          <w:kern w:val="0"/>
          <w:sz w:val="24"/>
          <w:highlight w:val="none"/>
          <w14:textFill>
            <w14:solidFill>
              <w14:schemeClr w14:val="tx1"/>
            </w14:solidFill>
          </w14:textFill>
        </w:rPr>
        <w:t>26</w:t>
      </w:r>
      <w:r>
        <w:rPr>
          <w:rFonts w:ascii="Times New Roman" w:hAnsi="Times New Roman" w:eastAsia="宋体"/>
          <w:color w:val="000000" w:themeColor="text1"/>
          <w:spacing w:val="0"/>
          <w:kern w:val="0"/>
          <w:sz w:val="24"/>
          <w:highlight w:val="none"/>
          <w14:textFill>
            <w14:solidFill>
              <w14:schemeClr w14:val="tx1"/>
            </w14:solidFill>
          </w14:textFill>
        </w:rPr>
        <w:t>日昼间天气晴，温度</w:t>
      </w:r>
      <w:r>
        <w:rPr>
          <w:rFonts w:hint="eastAsia" w:ascii="Times New Roman" w:hAnsi="Times New Roman" w:eastAsia="宋体"/>
          <w:color w:val="000000" w:themeColor="text1"/>
          <w:spacing w:val="0"/>
          <w:kern w:val="0"/>
          <w:sz w:val="24"/>
          <w:highlight w:val="none"/>
          <w14:textFill>
            <w14:solidFill>
              <w14:schemeClr w14:val="tx1"/>
            </w14:solidFill>
          </w14:textFill>
        </w:rPr>
        <w:t>18.1</w:t>
      </w:r>
      <w:r>
        <w:rPr>
          <w:rFonts w:ascii="Times New Roman" w:hAnsi="Times New Roman" w:eastAsia="宋体"/>
          <w:color w:val="000000" w:themeColor="text1"/>
          <w:spacing w:val="0"/>
          <w:kern w:val="0"/>
          <w:sz w:val="24"/>
          <w:highlight w:val="none"/>
          <w14:textFill>
            <w14:solidFill>
              <w14:schemeClr w14:val="tx1"/>
            </w14:solidFill>
          </w14:textFill>
        </w:rPr>
        <w:t>℃，湿度3</w:t>
      </w:r>
      <w:r>
        <w:rPr>
          <w:rFonts w:hint="eastAsia" w:ascii="Times New Roman" w:hAnsi="Times New Roman" w:eastAsia="宋体"/>
          <w:color w:val="000000" w:themeColor="text1"/>
          <w:spacing w:val="0"/>
          <w:kern w:val="0"/>
          <w:sz w:val="24"/>
          <w:highlight w:val="none"/>
          <w14:textFill>
            <w14:solidFill>
              <w14:schemeClr w14:val="tx1"/>
            </w14:solidFill>
          </w14:textFill>
        </w:rPr>
        <w:t>0.5</w:t>
      </w:r>
      <w:r>
        <w:rPr>
          <w:rFonts w:ascii="Times New Roman" w:hAnsi="Times New Roman" w:eastAsia="宋体"/>
          <w:color w:val="000000" w:themeColor="text1"/>
          <w:spacing w:val="0"/>
          <w:kern w:val="0"/>
          <w:sz w:val="24"/>
          <w:highlight w:val="none"/>
          <w14:textFill>
            <w14:solidFill>
              <w14:schemeClr w14:val="tx1"/>
            </w14:solidFill>
          </w14:textFill>
        </w:rPr>
        <w:t>%，风速静风，大气压8</w:t>
      </w:r>
      <w:r>
        <w:rPr>
          <w:rFonts w:hint="eastAsia" w:ascii="Times New Roman" w:hAnsi="Times New Roman" w:eastAsia="宋体"/>
          <w:color w:val="000000" w:themeColor="text1"/>
          <w:spacing w:val="0"/>
          <w:kern w:val="0"/>
          <w:sz w:val="24"/>
          <w:highlight w:val="none"/>
          <w14:textFill>
            <w14:solidFill>
              <w14:schemeClr w14:val="tx1"/>
            </w14:solidFill>
          </w14:textFill>
        </w:rPr>
        <w:t>79.8</w:t>
      </w:r>
      <w:r>
        <w:rPr>
          <w:rFonts w:ascii="Times New Roman" w:hAnsi="Times New Roman" w:eastAsia="宋体"/>
          <w:color w:val="000000" w:themeColor="text1"/>
          <w:spacing w:val="0"/>
          <w:kern w:val="0"/>
          <w:sz w:val="24"/>
          <w:highlight w:val="none"/>
          <w14:textFill>
            <w14:solidFill>
              <w14:schemeClr w14:val="tx1"/>
            </w14:solidFill>
          </w14:textFill>
        </w:rPr>
        <w:t>hPa；夜间天气晴，环境温度</w:t>
      </w:r>
      <w:r>
        <w:rPr>
          <w:rFonts w:hint="eastAsia" w:ascii="Times New Roman" w:hAnsi="Times New Roman" w:eastAsia="宋体"/>
          <w:color w:val="000000" w:themeColor="text1"/>
          <w:spacing w:val="0"/>
          <w:kern w:val="0"/>
          <w:sz w:val="24"/>
          <w:highlight w:val="none"/>
          <w14:textFill>
            <w14:solidFill>
              <w14:schemeClr w14:val="tx1"/>
            </w14:solidFill>
          </w14:textFill>
        </w:rPr>
        <w:t>8.2</w:t>
      </w:r>
      <w:r>
        <w:rPr>
          <w:rFonts w:ascii="Times New Roman" w:hAnsi="Times New Roman" w:eastAsia="宋体"/>
          <w:color w:val="000000" w:themeColor="text1"/>
          <w:spacing w:val="0"/>
          <w:kern w:val="0"/>
          <w:sz w:val="24"/>
          <w:highlight w:val="none"/>
          <w14:textFill>
            <w14:solidFill>
              <w14:schemeClr w14:val="tx1"/>
            </w14:solidFill>
          </w14:textFill>
        </w:rPr>
        <w:t>℃，湿度</w:t>
      </w:r>
      <w:r>
        <w:rPr>
          <w:rFonts w:hint="eastAsia" w:ascii="Times New Roman" w:hAnsi="Times New Roman" w:eastAsia="宋体"/>
          <w:color w:val="000000" w:themeColor="text1"/>
          <w:spacing w:val="0"/>
          <w:kern w:val="0"/>
          <w:sz w:val="24"/>
          <w:highlight w:val="none"/>
          <w14:textFill>
            <w14:solidFill>
              <w14:schemeClr w14:val="tx1"/>
            </w14:solidFill>
          </w14:textFill>
        </w:rPr>
        <w:t>33.6</w:t>
      </w:r>
      <w:r>
        <w:rPr>
          <w:rFonts w:ascii="Times New Roman" w:hAnsi="Times New Roman" w:eastAsia="宋体"/>
          <w:color w:val="000000" w:themeColor="text1"/>
          <w:spacing w:val="0"/>
          <w:kern w:val="0"/>
          <w:sz w:val="24"/>
          <w:highlight w:val="none"/>
          <w14:textFill>
            <w14:solidFill>
              <w14:schemeClr w14:val="tx1"/>
            </w14:solidFill>
          </w14:textFill>
        </w:rPr>
        <w:t>%，静风，大气压8</w:t>
      </w:r>
      <w:r>
        <w:rPr>
          <w:rFonts w:hint="eastAsia" w:ascii="Times New Roman" w:hAnsi="Times New Roman" w:eastAsia="宋体"/>
          <w:color w:val="000000" w:themeColor="text1"/>
          <w:spacing w:val="0"/>
          <w:kern w:val="0"/>
          <w:sz w:val="24"/>
          <w:highlight w:val="none"/>
          <w14:textFill>
            <w14:solidFill>
              <w14:schemeClr w14:val="tx1"/>
            </w14:solidFill>
          </w14:textFill>
        </w:rPr>
        <w:t>80.9</w:t>
      </w:r>
      <w:r>
        <w:rPr>
          <w:rFonts w:ascii="Times New Roman" w:hAnsi="Times New Roman" w:eastAsia="宋体"/>
          <w:color w:val="000000" w:themeColor="text1"/>
          <w:spacing w:val="0"/>
          <w:kern w:val="0"/>
          <w:sz w:val="24"/>
          <w:highlight w:val="none"/>
          <w14:textFill>
            <w14:solidFill>
              <w14:schemeClr w14:val="tx1"/>
            </w14:solidFill>
          </w14:textFill>
        </w:rPr>
        <w:t>hPa。</w:t>
      </w:r>
    </w:p>
    <w:p w14:paraId="53F3FD4D">
      <w:pPr>
        <w:pStyle w:val="7"/>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（7）类比监测点位</w:t>
      </w:r>
    </w:p>
    <w:p w14:paraId="52495FC5">
      <w:pPr>
        <w:pStyle w:val="6"/>
        <w:spacing w:line="360" w:lineRule="auto"/>
        <w:ind w:firstLine="480" w:firstLineChars="200"/>
        <w:outlineLvl w:val="9"/>
        <w:rPr>
          <w:rFonts w:ascii="Times New Roman" w:hAnsi="Times New Roman" w:eastAsia="宋体"/>
          <w:color w:val="000000" w:themeColor="text1"/>
          <w:spacing w:val="0"/>
          <w:sz w:val="24"/>
          <w:szCs w:val="24"/>
          <w:highlight w:val="none"/>
          <w14:textFill>
            <w14:solidFill>
              <w14:schemeClr w14:val="tx1"/>
            </w14:solidFill>
          </w14:textFill>
        </w:rPr>
      </w:pPr>
      <w:r>
        <w:rPr>
          <w:rFonts w:ascii="Times New Roman" w:hAnsi="Times New Roman" w:eastAsia="宋体"/>
          <w:color w:val="000000" w:themeColor="text1"/>
          <w:spacing w:val="0"/>
          <w:sz w:val="24"/>
          <w:szCs w:val="24"/>
          <w:highlight w:val="none"/>
          <w14:textFill>
            <w14:solidFill>
              <w14:schemeClr w14:val="tx1"/>
            </w14:solidFill>
          </w14:textFill>
        </w:rPr>
        <w:t>监测点选择在变电站无进出线或远离进出线（距离边导线地面投影不少于20m）的围墙外且距离围墙5m处布置，距离地面1.5m位置。断面监测路径选择在以变电站围墙</w:t>
      </w:r>
      <w:r>
        <w:rPr>
          <w:rFonts w:hint="eastAsia"/>
          <w:color w:val="000000" w:themeColor="text1"/>
          <w:spacing w:val="0"/>
          <w:sz w:val="24"/>
          <w:szCs w:val="24"/>
          <w:highlight w:val="none"/>
          <w:lang w:val="en-US" w:eastAsia="zh-CN"/>
          <w14:textFill>
            <w14:solidFill>
              <w14:schemeClr w14:val="tx1"/>
            </w14:solidFill>
          </w14:textFill>
        </w:rPr>
        <w:t>北</w:t>
      </w:r>
      <w:r>
        <w:rPr>
          <w:rFonts w:ascii="Times New Roman" w:hAnsi="Times New Roman" w:eastAsia="宋体"/>
          <w:color w:val="000000" w:themeColor="text1"/>
          <w:spacing w:val="0"/>
          <w:sz w:val="24"/>
          <w:szCs w:val="24"/>
          <w:highlight w:val="none"/>
          <w14:textFill>
            <w14:solidFill>
              <w14:schemeClr w14:val="tx1"/>
            </w14:solidFill>
          </w14:textFill>
        </w:rPr>
        <w:t>侧（监测最大值）为起点，在垂直于围墙的方向上布置，监测点间距为5m，顺序测至距离围墙50m处为止。</w:t>
      </w:r>
    </w:p>
    <w:p w14:paraId="63EBD883">
      <w:pPr>
        <w:pStyle w:val="44"/>
        <w:spacing w:line="360" w:lineRule="auto"/>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Times New Roman" w:hAnsi="Times New Roman" w:eastAsia="宋体"/>
          <w:bCs/>
          <w:color w:val="000000" w:themeColor="text1"/>
          <w:spacing w:val="0"/>
          <w:sz w:val="24"/>
          <w:highlight w:val="none"/>
          <w14:textFill>
            <w14:solidFill>
              <w14:schemeClr w14:val="tx1"/>
            </w14:solidFill>
          </w14:textFill>
        </w:rPr>
        <w:t>龙泉</w:t>
      </w:r>
      <w:r>
        <w:rPr>
          <w:rFonts w:ascii="Times New Roman" w:hAnsi="Times New Roman" w:eastAsia="宋体"/>
          <w:bCs/>
          <w:color w:val="000000" w:themeColor="text1"/>
          <w:spacing w:val="0"/>
          <w:sz w:val="24"/>
          <w:highlight w:val="none"/>
          <w14:textFill>
            <w14:solidFill>
              <w14:schemeClr w14:val="tx1"/>
            </w14:solidFill>
          </w14:textFill>
        </w:rPr>
        <w:t>110kV</w:t>
      </w:r>
      <w:r>
        <w:rPr>
          <w:rFonts w:ascii="Times New Roman" w:hAnsi="Times New Roman" w:eastAsia="宋体"/>
          <w:color w:val="000000" w:themeColor="text1"/>
          <w:spacing w:val="0"/>
          <w:sz w:val="24"/>
          <w:highlight w:val="none"/>
          <w14:textFill>
            <w14:solidFill>
              <w14:schemeClr w14:val="tx1"/>
            </w14:solidFill>
          </w14:textFill>
        </w:rPr>
        <w:t>变电站监测点位示意图见专题图2。</w:t>
      </w:r>
    </w:p>
    <w:p w14:paraId="69DE1286">
      <w:pPr>
        <w:pStyle w:val="44"/>
        <w:spacing w:line="360" w:lineRule="auto"/>
        <w:ind w:firstLine="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p w14:paraId="07797EF7">
      <w:pPr>
        <w:pStyle w:val="44"/>
        <w:spacing w:line="360" w:lineRule="auto"/>
        <w:ind w:firstLine="0"/>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专题图2  类比变电站工频电、磁场监测点位示意图</w:t>
      </w:r>
    </w:p>
    <w:p w14:paraId="5B088CDD">
      <w:pPr>
        <w:spacing w:line="360" w:lineRule="auto"/>
        <w:ind w:firstLine="482"/>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（8）类比运行工况</w:t>
      </w:r>
    </w:p>
    <w:p w14:paraId="7210F0E5">
      <w:pPr>
        <w:pStyle w:val="44"/>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hint="eastAsia" w:ascii="Times New Roman" w:hAnsi="Times New Roman" w:eastAsia="宋体"/>
          <w:bCs/>
          <w:color w:val="000000" w:themeColor="text1"/>
          <w:spacing w:val="0"/>
          <w:sz w:val="24"/>
          <w:highlight w:val="none"/>
          <w14:textFill>
            <w14:solidFill>
              <w14:schemeClr w14:val="tx1"/>
            </w14:solidFill>
          </w14:textFill>
        </w:rPr>
        <w:t>龙泉</w:t>
      </w:r>
      <w:r>
        <w:rPr>
          <w:rFonts w:ascii="Times New Roman" w:hAnsi="Times New Roman" w:eastAsia="宋体"/>
          <w:bCs/>
          <w:color w:val="000000" w:themeColor="text1"/>
          <w:spacing w:val="0"/>
          <w:sz w:val="24"/>
          <w:highlight w:val="none"/>
          <w14:textFill>
            <w14:solidFill>
              <w14:schemeClr w14:val="tx1"/>
            </w14:solidFill>
          </w14:textFill>
        </w:rPr>
        <w:t>110kV变电站监测期间运行工况见专题表</w:t>
      </w:r>
      <w:r>
        <w:rPr>
          <w:rFonts w:hint="eastAsia" w:ascii="Times New Roman" w:hAnsi="Times New Roman" w:eastAsia="宋体"/>
          <w:bCs/>
          <w:color w:val="000000" w:themeColor="text1"/>
          <w:spacing w:val="0"/>
          <w:sz w:val="24"/>
          <w:highlight w:val="none"/>
          <w14:textFill>
            <w14:solidFill>
              <w14:schemeClr w14:val="tx1"/>
            </w14:solidFill>
          </w14:textFill>
        </w:rPr>
        <w:t>4</w:t>
      </w:r>
      <w:r>
        <w:rPr>
          <w:rFonts w:ascii="Times New Roman" w:hAnsi="Times New Roman" w:eastAsia="宋体"/>
          <w:bCs/>
          <w:color w:val="000000" w:themeColor="text1"/>
          <w:spacing w:val="0"/>
          <w:sz w:val="24"/>
          <w:highlight w:val="none"/>
          <w14:textFill>
            <w14:solidFill>
              <w14:schemeClr w14:val="tx1"/>
            </w14:solidFill>
          </w14:textFill>
        </w:rPr>
        <w:t>。</w:t>
      </w:r>
    </w:p>
    <w:p w14:paraId="0EF66FA4">
      <w:pPr>
        <w:pStyle w:val="46"/>
        <w:spacing w:line="360" w:lineRule="auto"/>
        <w:ind w:firstLine="0" w:firstLineChars="0"/>
        <w:outlineLvl w:val="9"/>
        <w:rPr>
          <w:rFonts w:ascii="Times New Roman" w:hAnsi="Times New Roman" w:eastAsia="宋体"/>
          <w:color w:val="000000" w:themeColor="text1"/>
          <w:spacing w:val="0"/>
          <w:sz w:val="24"/>
          <w:szCs w:val="24"/>
          <w:highlight w:val="none"/>
          <w14:textFill>
            <w14:solidFill>
              <w14:schemeClr w14:val="tx1"/>
            </w14:solidFill>
          </w14:textFill>
        </w:rPr>
      </w:pPr>
      <w:r>
        <w:rPr>
          <w:rFonts w:ascii="Times New Roman" w:hAnsi="Times New Roman" w:eastAsia="宋体"/>
          <w:color w:val="000000" w:themeColor="text1"/>
          <w:spacing w:val="0"/>
          <w:sz w:val="24"/>
          <w:szCs w:val="24"/>
          <w:highlight w:val="none"/>
          <w14:textFill>
            <w14:solidFill>
              <w14:schemeClr w14:val="tx1"/>
            </w14:solidFill>
          </w14:textFill>
        </w:rPr>
        <w:t>专题表</w:t>
      </w:r>
      <w:r>
        <w:rPr>
          <w:rFonts w:hint="eastAsia" w:ascii="Times New Roman" w:hAnsi="Times New Roman" w:eastAsia="宋体"/>
          <w:color w:val="000000" w:themeColor="text1"/>
          <w:spacing w:val="0"/>
          <w:sz w:val="24"/>
          <w:szCs w:val="24"/>
          <w:highlight w:val="none"/>
          <w14:textFill>
            <w14:solidFill>
              <w14:schemeClr w14:val="tx1"/>
            </w14:solidFill>
          </w14:textFill>
        </w:rPr>
        <w:t>4</w:t>
      </w:r>
      <w:r>
        <w:rPr>
          <w:rFonts w:ascii="Times New Roman" w:hAnsi="Times New Roman" w:eastAsia="宋体"/>
          <w:color w:val="000000" w:themeColor="text1"/>
          <w:spacing w:val="0"/>
          <w:sz w:val="24"/>
          <w:szCs w:val="24"/>
          <w:highlight w:val="none"/>
          <w14:textFill>
            <w14:solidFill>
              <w14:schemeClr w14:val="tx1"/>
            </w14:solidFill>
          </w14:textFill>
        </w:rPr>
        <w:t xml:space="preserve">  类比变电站监测期间运行工况一览表</w:t>
      </w:r>
    </w:p>
    <w:tbl>
      <w:tblPr>
        <w:tblStyle w:val="26"/>
        <w:tblW w:w="54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128"/>
        <w:gridCol w:w="1726"/>
        <w:gridCol w:w="1510"/>
        <w:gridCol w:w="1467"/>
        <w:gridCol w:w="1292"/>
      </w:tblGrid>
      <w:tr w14:paraId="380A3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93" w:type="pct"/>
            <w:vAlign w:val="center"/>
          </w:tcPr>
          <w:p w14:paraId="1F25902A">
            <w:pPr>
              <w:pStyle w:val="46"/>
              <w:adjustRightInd/>
              <w:ind w:firstLine="0" w:firstLineChars="0"/>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日期</w:t>
            </w:r>
          </w:p>
        </w:tc>
        <w:tc>
          <w:tcPr>
            <w:tcW w:w="1154" w:type="pct"/>
            <w:vAlign w:val="center"/>
          </w:tcPr>
          <w:p w14:paraId="7F186DD3">
            <w:pPr>
              <w:pStyle w:val="46"/>
              <w:adjustRightInd/>
              <w:ind w:firstLine="0" w:firstLineChars="0"/>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工程名称</w:t>
            </w:r>
          </w:p>
        </w:tc>
        <w:tc>
          <w:tcPr>
            <w:tcW w:w="936" w:type="pct"/>
            <w:vAlign w:val="center"/>
          </w:tcPr>
          <w:p w14:paraId="673A3E4C">
            <w:pPr>
              <w:pStyle w:val="46"/>
              <w:adjustRightInd/>
              <w:ind w:firstLine="0" w:firstLineChars="0"/>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电压（kV）</w:t>
            </w:r>
          </w:p>
        </w:tc>
        <w:tc>
          <w:tcPr>
            <w:tcW w:w="819" w:type="pct"/>
            <w:vAlign w:val="center"/>
          </w:tcPr>
          <w:p w14:paraId="4074D32F">
            <w:pPr>
              <w:pStyle w:val="46"/>
              <w:adjustRightInd/>
              <w:ind w:firstLine="0" w:firstLineChars="0"/>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电流（A）</w:t>
            </w:r>
          </w:p>
        </w:tc>
        <w:tc>
          <w:tcPr>
            <w:tcW w:w="795" w:type="pct"/>
            <w:vAlign w:val="center"/>
          </w:tcPr>
          <w:p w14:paraId="5CD6894A">
            <w:pPr>
              <w:pStyle w:val="46"/>
              <w:adjustRightInd/>
              <w:ind w:firstLine="0" w:firstLineChars="0"/>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有功功率</w:t>
            </w:r>
          </w:p>
          <w:p w14:paraId="2D5DC635">
            <w:pPr>
              <w:pStyle w:val="46"/>
              <w:adjustRightInd/>
              <w:ind w:firstLine="211" w:firstLineChars="100"/>
              <w:jc w:val="both"/>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（MW）</w:t>
            </w:r>
          </w:p>
        </w:tc>
        <w:tc>
          <w:tcPr>
            <w:tcW w:w="700" w:type="pct"/>
            <w:vAlign w:val="center"/>
          </w:tcPr>
          <w:p w14:paraId="0189AF6E">
            <w:pPr>
              <w:pStyle w:val="46"/>
              <w:adjustRightInd/>
              <w:ind w:firstLine="0" w:firstLineChars="0"/>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无功功率</w:t>
            </w:r>
          </w:p>
          <w:p w14:paraId="1A1BD014">
            <w:pPr>
              <w:pStyle w:val="46"/>
              <w:adjustRightInd/>
              <w:ind w:firstLine="211" w:firstLineChars="100"/>
              <w:jc w:val="both"/>
              <w:outlineLvl w:val="9"/>
              <w:rPr>
                <w:rFonts w:ascii="Times New Roman" w:hAnsi="Times New Roman" w:eastAsia="宋体"/>
                <w:bCs/>
                <w:color w:val="000000" w:themeColor="text1"/>
                <w:spacing w:val="0"/>
                <w:kern w:val="0"/>
                <w:szCs w:val="21"/>
                <w:highlight w:val="none"/>
                <w14:textFill>
                  <w14:solidFill>
                    <w14:schemeClr w14:val="tx1"/>
                  </w14:solidFill>
                </w14:textFill>
              </w:rPr>
            </w:pPr>
            <w:r>
              <w:rPr>
                <w:rFonts w:ascii="Times New Roman" w:hAnsi="Times New Roman" w:eastAsia="宋体"/>
                <w:bCs/>
                <w:color w:val="000000" w:themeColor="text1"/>
                <w:spacing w:val="0"/>
                <w:kern w:val="0"/>
                <w:szCs w:val="21"/>
                <w:highlight w:val="none"/>
                <w14:textFill>
                  <w14:solidFill>
                    <w14:schemeClr w14:val="tx1"/>
                  </w14:solidFill>
                </w14:textFill>
              </w:rPr>
              <w:t>（MW）</w:t>
            </w:r>
          </w:p>
        </w:tc>
      </w:tr>
      <w:tr w14:paraId="1B7FA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3" w:type="pct"/>
            <w:vMerge w:val="restart"/>
            <w:vAlign w:val="center"/>
          </w:tcPr>
          <w:p w14:paraId="7BCC3A69">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ascii="Times New Roman" w:hAnsi="Times New Roman" w:eastAsia="宋体"/>
                <w:color w:val="000000" w:themeColor="text1"/>
                <w:spacing w:val="0"/>
                <w:szCs w:val="21"/>
                <w:highlight w:val="none"/>
                <w14:textFill>
                  <w14:solidFill>
                    <w14:schemeClr w14:val="tx1"/>
                  </w14:solidFill>
                </w14:textFill>
              </w:rPr>
              <w:t>202</w:t>
            </w:r>
            <w:r>
              <w:rPr>
                <w:rFonts w:hint="eastAsia" w:ascii="Times New Roman" w:hAnsi="Times New Roman" w:eastAsia="宋体"/>
                <w:color w:val="000000" w:themeColor="text1"/>
                <w:spacing w:val="0"/>
                <w:szCs w:val="21"/>
                <w:highlight w:val="none"/>
                <w14:textFill>
                  <w14:solidFill>
                    <w14:schemeClr w14:val="tx1"/>
                  </w14:solidFill>
                </w14:textFill>
              </w:rPr>
              <w:t>5</w:t>
            </w:r>
            <w:r>
              <w:rPr>
                <w:rFonts w:ascii="Times New Roman" w:hAnsi="Times New Roman" w:eastAsia="宋体"/>
                <w:color w:val="000000" w:themeColor="text1"/>
                <w:spacing w:val="0"/>
                <w:szCs w:val="21"/>
                <w:highlight w:val="none"/>
                <w14:textFill>
                  <w14:solidFill>
                    <w14:schemeClr w14:val="tx1"/>
                  </w14:solidFill>
                </w14:textFill>
              </w:rPr>
              <w:t>.</w:t>
            </w:r>
            <w:r>
              <w:rPr>
                <w:rFonts w:hint="eastAsia" w:ascii="Times New Roman" w:hAnsi="Times New Roman" w:eastAsia="宋体"/>
                <w:color w:val="000000" w:themeColor="text1"/>
                <w:spacing w:val="0"/>
                <w:szCs w:val="21"/>
                <w:highlight w:val="none"/>
                <w14:textFill>
                  <w14:solidFill>
                    <w14:schemeClr w14:val="tx1"/>
                  </w14:solidFill>
                </w14:textFill>
              </w:rPr>
              <w:t>3</w:t>
            </w:r>
            <w:r>
              <w:rPr>
                <w:rFonts w:ascii="Times New Roman" w:hAnsi="Times New Roman" w:eastAsia="宋体"/>
                <w:color w:val="000000" w:themeColor="text1"/>
                <w:spacing w:val="0"/>
                <w:szCs w:val="21"/>
                <w:highlight w:val="none"/>
                <w14:textFill>
                  <w14:solidFill>
                    <w14:schemeClr w14:val="tx1"/>
                  </w14:solidFill>
                </w14:textFill>
              </w:rPr>
              <w:t>.</w:t>
            </w:r>
            <w:r>
              <w:rPr>
                <w:rFonts w:hint="eastAsia" w:ascii="Times New Roman" w:hAnsi="Times New Roman" w:eastAsia="宋体"/>
                <w:color w:val="000000" w:themeColor="text1"/>
                <w:spacing w:val="0"/>
                <w:szCs w:val="21"/>
                <w:highlight w:val="none"/>
                <w14:textFill>
                  <w14:solidFill>
                    <w14:schemeClr w14:val="tx1"/>
                  </w14:solidFill>
                </w14:textFill>
              </w:rPr>
              <w:t>26</w:t>
            </w:r>
          </w:p>
        </w:tc>
        <w:tc>
          <w:tcPr>
            <w:tcW w:w="1154" w:type="pct"/>
            <w:vAlign w:val="center"/>
          </w:tcPr>
          <w:p w14:paraId="64E9C8E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龙泉110kV变</w:t>
            </w:r>
            <w:r>
              <w:rPr>
                <w:rFonts w:ascii="Times New Roman" w:hAnsi="Times New Roman" w:eastAsia="宋体"/>
                <w:color w:val="000000" w:themeColor="text1"/>
                <w:spacing w:val="0"/>
                <w:szCs w:val="21"/>
                <w:highlight w:val="none"/>
                <w14:textFill>
                  <w14:solidFill>
                    <w14:schemeClr w14:val="tx1"/>
                  </w14:solidFill>
                </w14:textFill>
              </w:rPr>
              <w:t>1#主变</w:t>
            </w:r>
          </w:p>
        </w:tc>
        <w:tc>
          <w:tcPr>
            <w:tcW w:w="936" w:type="pct"/>
            <w:vAlign w:val="center"/>
          </w:tcPr>
          <w:p w14:paraId="77CC2797">
            <w:pPr>
              <w:snapToGrid w:val="0"/>
              <w:jc w:val="center"/>
              <w:outlineLvl w:val="9"/>
              <w:rPr>
                <w:rFonts w:ascii="Times New Roman" w:hAnsi="Times New Roman" w:eastAsia="宋体"/>
                <w:color w:val="000000" w:themeColor="text1"/>
                <w:spacing w:val="0"/>
                <w:kern w:val="24"/>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819" w:type="pct"/>
            <w:vAlign w:val="center"/>
          </w:tcPr>
          <w:p w14:paraId="6E17D379">
            <w:pPr>
              <w:snapToGrid w:val="0"/>
              <w:jc w:val="center"/>
              <w:outlineLvl w:val="9"/>
              <w:rPr>
                <w:rFonts w:ascii="Times New Roman" w:hAnsi="Times New Roman" w:eastAsia="宋体"/>
                <w:color w:val="000000" w:themeColor="text1"/>
                <w:spacing w:val="0"/>
                <w:kern w:val="24"/>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795" w:type="pct"/>
            <w:vAlign w:val="center"/>
          </w:tcPr>
          <w:p w14:paraId="2318C078">
            <w:pPr>
              <w:snapToGrid w:val="0"/>
              <w:jc w:val="center"/>
              <w:outlineLvl w:val="9"/>
              <w:rPr>
                <w:rFonts w:ascii="Times New Roman" w:hAnsi="Times New Roman" w:eastAsia="宋体"/>
                <w:color w:val="000000" w:themeColor="text1"/>
                <w:spacing w:val="0"/>
                <w:kern w:val="24"/>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700" w:type="pct"/>
            <w:vAlign w:val="center"/>
          </w:tcPr>
          <w:p w14:paraId="079C8AA6">
            <w:pPr>
              <w:snapToGrid w:val="0"/>
              <w:jc w:val="center"/>
              <w:outlineLvl w:val="9"/>
              <w:rPr>
                <w:rFonts w:ascii="Times New Roman" w:hAnsi="Times New Roman" w:eastAsia="宋体"/>
                <w:color w:val="000000" w:themeColor="text1"/>
                <w:spacing w:val="0"/>
                <w:kern w:val="24"/>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r>
      <w:tr w14:paraId="05F30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93" w:type="pct"/>
            <w:vMerge w:val="continue"/>
            <w:vAlign w:val="center"/>
          </w:tcPr>
          <w:p w14:paraId="0B4E43C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p>
        </w:tc>
        <w:tc>
          <w:tcPr>
            <w:tcW w:w="1154" w:type="pct"/>
            <w:vAlign w:val="center"/>
          </w:tcPr>
          <w:p w14:paraId="548AC192">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龙泉110kV变</w:t>
            </w:r>
            <w:r>
              <w:rPr>
                <w:rFonts w:ascii="Times New Roman" w:hAnsi="Times New Roman" w:eastAsia="宋体"/>
                <w:color w:val="000000" w:themeColor="text1"/>
                <w:spacing w:val="0"/>
                <w:szCs w:val="21"/>
                <w:highlight w:val="none"/>
                <w14:textFill>
                  <w14:solidFill>
                    <w14:schemeClr w14:val="tx1"/>
                  </w14:solidFill>
                </w14:textFill>
              </w:rPr>
              <w:t>2#主变</w:t>
            </w:r>
          </w:p>
        </w:tc>
        <w:tc>
          <w:tcPr>
            <w:tcW w:w="936" w:type="pct"/>
            <w:vAlign w:val="center"/>
          </w:tcPr>
          <w:p w14:paraId="6A30D22E">
            <w:pPr>
              <w:snapToGrid w:val="0"/>
              <w:jc w:val="center"/>
              <w:outlineLvl w:val="9"/>
              <w:rPr>
                <w:rFonts w:ascii="Times New Roman" w:hAnsi="Times New Roman" w:eastAsia="宋体"/>
                <w:color w:val="000000" w:themeColor="text1"/>
                <w:spacing w:val="0"/>
                <w:kern w:val="24"/>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819" w:type="pct"/>
            <w:vAlign w:val="center"/>
          </w:tcPr>
          <w:p w14:paraId="6DFC2E3D">
            <w:pPr>
              <w:snapToGrid w:val="0"/>
              <w:jc w:val="center"/>
              <w:outlineLvl w:val="9"/>
              <w:rPr>
                <w:rFonts w:ascii="Times New Roman" w:hAnsi="Times New Roman" w:eastAsia="宋体"/>
                <w:color w:val="000000" w:themeColor="text1"/>
                <w:spacing w:val="0"/>
                <w:kern w:val="24"/>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795" w:type="pct"/>
            <w:vAlign w:val="center"/>
          </w:tcPr>
          <w:p w14:paraId="7E86B9D7">
            <w:pPr>
              <w:snapToGrid w:val="0"/>
              <w:jc w:val="center"/>
              <w:outlineLvl w:val="9"/>
              <w:rPr>
                <w:rFonts w:ascii="Times New Roman" w:hAnsi="Times New Roman" w:eastAsia="宋体"/>
                <w:color w:val="000000" w:themeColor="text1"/>
                <w:spacing w:val="0"/>
                <w:kern w:val="24"/>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700" w:type="pct"/>
            <w:vAlign w:val="center"/>
          </w:tcPr>
          <w:p w14:paraId="11946BAA">
            <w:pPr>
              <w:snapToGrid w:val="0"/>
              <w:jc w:val="center"/>
              <w:outlineLvl w:val="9"/>
              <w:rPr>
                <w:rFonts w:ascii="Times New Roman" w:hAnsi="Times New Roman" w:eastAsia="宋体"/>
                <w:color w:val="000000" w:themeColor="text1"/>
                <w:spacing w:val="0"/>
                <w:kern w:val="24"/>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r>
    </w:tbl>
    <w:p w14:paraId="56F8792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（9）类比监测结果</w:t>
      </w:r>
    </w:p>
    <w:p w14:paraId="154D9B93">
      <w:pPr>
        <w:spacing w:line="360" w:lineRule="auto"/>
        <w:ind w:firstLine="480"/>
        <w:outlineLvl w:val="9"/>
        <w:rPr>
          <w:rFonts w:ascii="Times New Roman" w:hAnsi="Times New Roman" w:eastAsia="宋体"/>
          <w:bCs/>
          <w:color w:val="000000" w:themeColor="text1"/>
          <w:spacing w:val="0"/>
          <w:sz w:val="24"/>
          <w:highlight w:val="none"/>
          <w14:textFill>
            <w14:solidFill>
              <w14:schemeClr w14:val="tx1"/>
            </w14:solidFill>
          </w14:textFill>
        </w:rPr>
      </w:pPr>
      <w:r>
        <w:rPr>
          <w:rFonts w:hint="eastAsia" w:ascii="Times New Roman" w:hAnsi="Times New Roman" w:eastAsia="宋体"/>
          <w:bCs/>
          <w:color w:val="000000" w:themeColor="text1"/>
          <w:spacing w:val="0"/>
          <w:sz w:val="24"/>
          <w:highlight w:val="none"/>
          <w14:textFill>
            <w14:solidFill>
              <w14:schemeClr w14:val="tx1"/>
            </w14:solidFill>
          </w14:textFill>
        </w:rPr>
        <w:t>龙泉</w:t>
      </w:r>
      <w:r>
        <w:rPr>
          <w:rFonts w:ascii="Times New Roman" w:hAnsi="Times New Roman" w:eastAsia="宋体"/>
          <w:bCs/>
          <w:color w:val="000000" w:themeColor="text1"/>
          <w:spacing w:val="0"/>
          <w:sz w:val="24"/>
          <w:highlight w:val="none"/>
          <w14:textFill>
            <w14:solidFill>
              <w14:schemeClr w14:val="tx1"/>
            </w14:solidFill>
          </w14:textFill>
        </w:rPr>
        <w:t>110kV变电站运行产生的工频电场、工频磁场见专题表</w:t>
      </w:r>
      <w:r>
        <w:rPr>
          <w:rFonts w:hint="eastAsia" w:ascii="Times New Roman" w:hAnsi="Times New Roman" w:eastAsia="宋体"/>
          <w:bCs/>
          <w:color w:val="000000" w:themeColor="text1"/>
          <w:spacing w:val="0"/>
          <w:sz w:val="24"/>
          <w:highlight w:val="none"/>
          <w14:textFill>
            <w14:solidFill>
              <w14:schemeClr w14:val="tx1"/>
            </w14:solidFill>
          </w14:textFill>
        </w:rPr>
        <w:t>5</w:t>
      </w:r>
      <w:r>
        <w:rPr>
          <w:rFonts w:ascii="Times New Roman" w:hAnsi="Times New Roman" w:eastAsia="宋体"/>
          <w:bCs/>
          <w:color w:val="000000" w:themeColor="text1"/>
          <w:spacing w:val="0"/>
          <w:sz w:val="24"/>
          <w:highlight w:val="none"/>
          <w14:textFill>
            <w14:solidFill>
              <w14:schemeClr w14:val="tx1"/>
            </w14:solidFill>
          </w14:textFill>
        </w:rPr>
        <w:t>。</w:t>
      </w:r>
    </w:p>
    <w:p w14:paraId="5D562347">
      <w:pPr>
        <w:spacing w:line="360" w:lineRule="auto"/>
        <w:jc w:val="center"/>
        <w:outlineLvl w:val="9"/>
        <w:rPr>
          <w:rFonts w:ascii="Times New Roman" w:hAnsi="Times New Roman" w:eastAsia="宋体"/>
          <w:b/>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专题表</w:t>
      </w:r>
      <w:r>
        <w:rPr>
          <w:rFonts w:hint="eastAsia" w:ascii="Times New Roman" w:hAnsi="Times New Roman" w:eastAsia="宋体"/>
          <w:b/>
          <w:color w:val="000000" w:themeColor="text1"/>
          <w:spacing w:val="0"/>
          <w:sz w:val="24"/>
          <w:highlight w:val="none"/>
          <w14:textFill>
            <w14:solidFill>
              <w14:schemeClr w14:val="tx1"/>
            </w14:solidFill>
          </w14:textFill>
        </w:rPr>
        <w:t>5</w:t>
      </w:r>
      <w:r>
        <w:rPr>
          <w:rFonts w:ascii="Times New Roman" w:hAnsi="Times New Roman" w:eastAsia="宋体"/>
          <w:b/>
          <w:color w:val="000000" w:themeColor="text1"/>
          <w:spacing w:val="0"/>
          <w:sz w:val="24"/>
          <w:highlight w:val="none"/>
          <w14:textFill>
            <w14:solidFill>
              <w14:schemeClr w14:val="tx1"/>
            </w14:solidFill>
          </w14:textFill>
        </w:rPr>
        <w:t xml:space="preserve">  类比变电站运行产生的工频电场、工频磁场</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636"/>
        <w:gridCol w:w="1124"/>
        <w:gridCol w:w="2006"/>
        <w:gridCol w:w="2049"/>
      </w:tblGrid>
      <w:tr w14:paraId="22EDB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4C944291">
            <w:pPr>
              <w:adjustRightInd w:val="0"/>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序号</w:t>
            </w:r>
          </w:p>
        </w:tc>
        <w:tc>
          <w:tcPr>
            <w:tcW w:w="2636" w:type="dxa"/>
            <w:vAlign w:val="center"/>
          </w:tcPr>
          <w:p w14:paraId="6ECAA477">
            <w:pPr>
              <w:adjustRightInd w:val="0"/>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测点位置</w:t>
            </w:r>
          </w:p>
        </w:tc>
        <w:tc>
          <w:tcPr>
            <w:tcW w:w="1124" w:type="dxa"/>
            <w:vAlign w:val="center"/>
          </w:tcPr>
          <w:p w14:paraId="6F1469BB">
            <w:pPr>
              <w:adjustRightInd w:val="0"/>
              <w:snapToGrid w:val="0"/>
              <w:ind w:left="-105" w:leftChars="-50" w:right="-105" w:rightChars="-5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测量高度</w:t>
            </w:r>
          </w:p>
          <w:p w14:paraId="7D29188D">
            <w:pPr>
              <w:adjustRightInd w:val="0"/>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(m)</w:t>
            </w:r>
          </w:p>
        </w:tc>
        <w:tc>
          <w:tcPr>
            <w:tcW w:w="2006" w:type="dxa"/>
            <w:vAlign w:val="center"/>
          </w:tcPr>
          <w:p w14:paraId="2C9FCF89">
            <w:pPr>
              <w:adjustRightInd w:val="0"/>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工频电场强度</w:t>
            </w:r>
          </w:p>
          <w:p w14:paraId="09E98D6B">
            <w:pPr>
              <w:adjustRightInd w:val="0"/>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(V/m)</w:t>
            </w:r>
          </w:p>
        </w:tc>
        <w:tc>
          <w:tcPr>
            <w:tcW w:w="2049" w:type="dxa"/>
            <w:vAlign w:val="center"/>
          </w:tcPr>
          <w:p w14:paraId="5FE302C2">
            <w:pPr>
              <w:tabs>
                <w:tab w:val="left" w:pos="1058"/>
              </w:tabs>
              <w:adjustRightInd w:val="0"/>
              <w:snapToGrid w:val="0"/>
              <w:jc w:val="center"/>
              <w:outlineLvl w:val="9"/>
              <w:rPr>
                <w:rFonts w:ascii="Times New Roman" w:hAnsi="Times New Roman" w:eastAsia="宋体"/>
                <w:b/>
                <w:color w:val="000000" w:themeColor="text1"/>
                <w:spacing w:val="0"/>
                <w:szCs w:val="21"/>
                <w:highlight w:val="none"/>
                <w14:textFill>
                  <w14:solidFill>
                    <w14:schemeClr w14:val="tx1"/>
                  </w14:solidFill>
                </w14:textFill>
              </w:rPr>
            </w:pPr>
            <w:r>
              <w:rPr>
                <w:rFonts w:ascii="Times New Roman" w:hAnsi="Times New Roman" w:eastAsia="宋体"/>
                <w:b/>
                <w:color w:val="000000" w:themeColor="text1"/>
                <w:spacing w:val="0"/>
                <w:szCs w:val="21"/>
                <w:highlight w:val="none"/>
                <w14:textFill>
                  <w14:solidFill>
                    <w14:schemeClr w14:val="tx1"/>
                  </w14:solidFill>
                </w14:textFill>
              </w:rPr>
              <w:t>工频磁感应强度(μT)</w:t>
            </w:r>
          </w:p>
        </w:tc>
      </w:tr>
      <w:tr w14:paraId="2ABAA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13CCEF2F">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w:t>
            </w:r>
          </w:p>
        </w:tc>
        <w:tc>
          <w:tcPr>
            <w:tcW w:w="2636" w:type="dxa"/>
            <w:vAlign w:val="center"/>
          </w:tcPr>
          <w:p w14:paraId="3800A2A2">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东</w:t>
            </w:r>
            <w:r>
              <w:rPr>
                <w:rStyle w:val="47"/>
                <w:rFonts w:ascii="Times New Roman" w:hAnsi="Times New Roman" w:eastAsia="宋体"/>
                <w:color w:val="000000" w:themeColor="text1"/>
                <w:spacing w:val="0"/>
                <w:szCs w:val="21"/>
                <w:highlight w:val="none"/>
                <w14:textFill>
                  <w14:solidFill>
                    <w14:schemeClr w14:val="tx1"/>
                  </w14:solidFill>
                </w14:textFill>
              </w:rPr>
              <w:t>侧围墙外5m</w:t>
            </w:r>
            <w:r>
              <w:rPr>
                <w:rStyle w:val="47"/>
                <w:rFonts w:hint="eastAsia" w:ascii="Times New Roman" w:hAnsi="Times New Roman" w:eastAsia="宋体"/>
                <w:color w:val="000000" w:themeColor="text1"/>
                <w:spacing w:val="0"/>
                <w:szCs w:val="21"/>
                <w:highlight w:val="none"/>
                <w14:textFill>
                  <w14:solidFill>
                    <w14:schemeClr w14:val="tx1"/>
                  </w14:solidFill>
                </w14:textFill>
              </w:rPr>
              <w:t>（1#）</w:t>
            </w:r>
          </w:p>
        </w:tc>
        <w:tc>
          <w:tcPr>
            <w:tcW w:w="1124" w:type="dxa"/>
            <w:vAlign w:val="center"/>
          </w:tcPr>
          <w:p w14:paraId="0B6C0269">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49A53CA7">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67.15</w:t>
            </w:r>
          </w:p>
        </w:tc>
        <w:tc>
          <w:tcPr>
            <w:tcW w:w="2049" w:type="dxa"/>
            <w:vAlign w:val="center"/>
          </w:tcPr>
          <w:p w14:paraId="6314A995">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0.1355</w:t>
            </w:r>
          </w:p>
        </w:tc>
      </w:tr>
      <w:tr w14:paraId="7F7B1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56AFD735">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2</w:t>
            </w:r>
          </w:p>
        </w:tc>
        <w:tc>
          <w:tcPr>
            <w:tcW w:w="2636" w:type="dxa"/>
            <w:vAlign w:val="center"/>
          </w:tcPr>
          <w:p w14:paraId="32DFF23C">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东</w:t>
            </w:r>
            <w:r>
              <w:rPr>
                <w:rStyle w:val="47"/>
                <w:rFonts w:ascii="Times New Roman" w:hAnsi="Times New Roman" w:eastAsia="宋体"/>
                <w:color w:val="000000" w:themeColor="text1"/>
                <w:spacing w:val="0"/>
                <w:szCs w:val="21"/>
                <w:highlight w:val="none"/>
                <w14:textFill>
                  <w14:solidFill>
                    <w14:schemeClr w14:val="tx1"/>
                  </w14:solidFill>
                </w14:textFill>
              </w:rPr>
              <w:t>侧围墙外5m</w:t>
            </w:r>
            <w:r>
              <w:rPr>
                <w:rStyle w:val="47"/>
                <w:rFonts w:hint="eastAsia" w:ascii="Times New Roman" w:hAnsi="Times New Roman" w:eastAsia="宋体"/>
                <w:color w:val="000000" w:themeColor="text1"/>
                <w:spacing w:val="0"/>
                <w:szCs w:val="21"/>
                <w:highlight w:val="none"/>
                <w14:textFill>
                  <w14:solidFill>
                    <w14:schemeClr w14:val="tx1"/>
                  </w14:solidFill>
                </w14:textFill>
              </w:rPr>
              <w:t>（2#）</w:t>
            </w:r>
          </w:p>
        </w:tc>
        <w:tc>
          <w:tcPr>
            <w:tcW w:w="1124" w:type="dxa"/>
            <w:vAlign w:val="center"/>
          </w:tcPr>
          <w:p w14:paraId="545CA370">
            <w:pPr>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00F6F002">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35.98</w:t>
            </w:r>
          </w:p>
        </w:tc>
        <w:tc>
          <w:tcPr>
            <w:tcW w:w="2049" w:type="dxa"/>
            <w:vAlign w:val="center"/>
          </w:tcPr>
          <w:p w14:paraId="1C623AEB">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0.1526</w:t>
            </w:r>
          </w:p>
        </w:tc>
      </w:tr>
      <w:tr w14:paraId="43414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30A3FB92">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3</w:t>
            </w:r>
          </w:p>
        </w:tc>
        <w:tc>
          <w:tcPr>
            <w:tcW w:w="2636" w:type="dxa"/>
            <w:vAlign w:val="center"/>
          </w:tcPr>
          <w:p w14:paraId="1DF6D5CD">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南</w:t>
            </w:r>
            <w:r>
              <w:rPr>
                <w:rStyle w:val="47"/>
                <w:rFonts w:ascii="Times New Roman" w:hAnsi="Times New Roman" w:eastAsia="宋体"/>
                <w:color w:val="000000" w:themeColor="text1"/>
                <w:spacing w:val="0"/>
                <w:szCs w:val="21"/>
                <w:highlight w:val="none"/>
                <w14:textFill>
                  <w14:solidFill>
                    <w14:schemeClr w14:val="tx1"/>
                  </w14:solidFill>
                </w14:textFill>
              </w:rPr>
              <w:t>侧围墙外5m</w:t>
            </w:r>
            <w:r>
              <w:rPr>
                <w:rStyle w:val="47"/>
                <w:rFonts w:hint="eastAsia" w:ascii="Times New Roman" w:hAnsi="Times New Roman" w:eastAsia="宋体"/>
                <w:color w:val="000000" w:themeColor="text1"/>
                <w:spacing w:val="0"/>
                <w:szCs w:val="21"/>
                <w:highlight w:val="none"/>
                <w14:textFill>
                  <w14:solidFill>
                    <w14:schemeClr w14:val="tx1"/>
                  </w14:solidFill>
                </w14:textFill>
              </w:rPr>
              <w:t>（3#）</w:t>
            </w:r>
          </w:p>
        </w:tc>
        <w:tc>
          <w:tcPr>
            <w:tcW w:w="1124" w:type="dxa"/>
            <w:vAlign w:val="center"/>
          </w:tcPr>
          <w:p w14:paraId="2174D112">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198570D7">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22.07</w:t>
            </w:r>
          </w:p>
        </w:tc>
        <w:tc>
          <w:tcPr>
            <w:tcW w:w="2049" w:type="dxa"/>
            <w:vAlign w:val="center"/>
          </w:tcPr>
          <w:p w14:paraId="2F469EA8">
            <w:pPr>
              <w:adjustRightInd w:val="0"/>
              <w:snapToGrid w:val="0"/>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0.1775</w:t>
            </w:r>
          </w:p>
        </w:tc>
      </w:tr>
      <w:tr w14:paraId="31C09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3B93AB61">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4</w:t>
            </w:r>
          </w:p>
        </w:tc>
        <w:tc>
          <w:tcPr>
            <w:tcW w:w="2636" w:type="dxa"/>
            <w:vAlign w:val="center"/>
          </w:tcPr>
          <w:p w14:paraId="2B2285D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南</w:t>
            </w:r>
            <w:r>
              <w:rPr>
                <w:rStyle w:val="47"/>
                <w:rFonts w:ascii="Times New Roman" w:hAnsi="Times New Roman" w:eastAsia="宋体"/>
                <w:color w:val="000000" w:themeColor="text1"/>
                <w:spacing w:val="0"/>
                <w:szCs w:val="21"/>
                <w:highlight w:val="none"/>
                <w14:textFill>
                  <w14:solidFill>
                    <w14:schemeClr w14:val="tx1"/>
                  </w14:solidFill>
                </w14:textFill>
              </w:rPr>
              <w:t>侧围墙外5m</w:t>
            </w:r>
            <w:r>
              <w:rPr>
                <w:rStyle w:val="47"/>
                <w:rFonts w:hint="eastAsia" w:ascii="Times New Roman" w:hAnsi="Times New Roman" w:eastAsia="宋体"/>
                <w:color w:val="000000" w:themeColor="text1"/>
                <w:spacing w:val="0"/>
                <w:szCs w:val="21"/>
                <w:highlight w:val="none"/>
                <w14:textFill>
                  <w14:solidFill>
                    <w14:schemeClr w14:val="tx1"/>
                  </w14:solidFill>
                </w14:textFill>
              </w:rPr>
              <w:t>（4#）</w:t>
            </w:r>
          </w:p>
        </w:tc>
        <w:tc>
          <w:tcPr>
            <w:tcW w:w="1124" w:type="dxa"/>
            <w:vAlign w:val="center"/>
          </w:tcPr>
          <w:p w14:paraId="6674C478">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28A2211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18.28</w:t>
            </w:r>
          </w:p>
        </w:tc>
        <w:tc>
          <w:tcPr>
            <w:tcW w:w="2049" w:type="dxa"/>
            <w:vAlign w:val="center"/>
          </w:tcPr>
          <w:p w14:paraId="6EDD102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0.1424</w:t>
            </w:r>
          </w:p>
        </w:tc>
      </w:tr>
      <w:tr w14:paraId="35D7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456622EB">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5</w:t>
            </w:r>
          </w:p>
        </w:tc>
        <w:tc>
          <w:tcPr>
            <w:tcW w:w="2636" w:type="dxa"/>
            <w:vAlign w:val="center"/>
          </w:tcPr>
          <w:p w14:paraId="7A5663C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西</w:t>
            </w:r>
            <w:r>
              <w:rPr>
                <w:rStyle w:val="47"/>
                <w:rFonts w:ascii="Times New Roman" w:hAnsi="Times New Roman" w:eastAsia="宋体"/>
                <w:color w:val="000000" w:themeColor="text1"/>
                <w:spacing w:val="0"/>
                <w:szCs w:val="21"/>
                <w:highlight w:val="none"/>
                <w14:textFill>
                  <w14:solidFill>
                    <w14:schemeClr w14:val="tx1"/>
                  </w14:solidFill>
                </w14:textFill>
              </w:rPr>
              <w:t>侧围墙外5m</w:t>
            </w:r>
            <w:r>
              <w:rPr>
                <w:rStyle w:val="47"/>
                <w:rFonts w:hint="eastAsia" w:ascii="Times New Roman" w:hAnsi="Times New Roman" w:eastAsia="宋体"/>
                <w:color w:val="000000" w:themeColor="text1"/>
                <w:spacing w:val="0"/>
                <w:szCs w:val="21"/>
                <w:highlight w:val="none"/>
                <w14:textFill>
                  <w14:solidFill>
                    <w14:schemeClr w14:val="tx1"/>
                  </w14:solidFill>
                </w14:textFill>
              </w:rPr>
              <w:t>（5#）</w:t>
            </w:r>
          </w:p>
        </w:tc>
        <w:tc>
          <w:tcPr>
            <w:tcW w:w="1124" w:type="dxa"/>
            <w:vAlign w:val="center"/>
          </w:tcPr>
          <w:p w14:paraId="5F3F3517">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16E4A52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14.47</w:t>
            </w:r>
          </w:p>
        </w:tc>
        <w:tc>
          <w:tcPr>
            <w:tcW w:w="2049" w:type="dxa"/>
            <w:vAlign w:val="center"/>
          </w:tcPr>
          <w:p w14:paraId="5CA15F7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0.5245</w:t>
            </w:r>
          </w:p>
        </w:tc>
      </w:tr>
      <w:tr w14:paraId="1FF7D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2E8D4E77">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6</w:t>
            </w:r>
          </w:p>
        </w:tc>
        <w:tc>
          <w:tcPr>
            <w:tcW w:w="2636" w:type="dxa"/>
            <w:vAlign w:val="center"/>
          </w:tcPr>
          <w:p w14:paraId="7E07E89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西</w:t>
            </w:r>
            <w:r>
              <w:rPr>
                <w:rStyle w:val="47"/>
                <w:rFonts w:ascii="Times New Roman" w:hAnsi="Times New Roman" w:eastAsia="宋体"/>
                <w:color w:val="000000" w:themeColor="text1"/>
                <w:spacing w:val="0"/>
                <w:szCs w:val="21"/>
                <w:highlight w:val="none"/>
                <w14:textFill>
                  <w14:solidFill>
                    <w14:schemeClr w14:val="tx1"/>
                  </w14:solidFill>
                </w14:textFill>
              </w:rPr>
              <w:t>侧围墙外5m</w:t>
            </w:r>
            <w:r>
              <w:rPr>
                <w:rStyle w:val="47"/>
                <w:rFonts w:hint="eastAsia" w:ascii="Times New Roman" w:hAnsi="Times New Roman" w:eastAsia="宋体"/>
                <w:color w:val="000000" w:themeColor="text1"/>
                <w:spacing w:val="0"/>
                <w:szCs w:val="21"/>
                <w:highlight w:val="none"/>
                <w14:textFill>
                  <w14:solidFill>
                    <w14:schemeClr w14:val="tx1"/>
                  </w14:solidFill>
                </w14:textFill>
              </w:rPr>
              <w:t>（6#）</w:t>
            </w:r>
          </w:p>
        </w:tc>
        <w:tc>
          <w:tcPr>
            <w:tcW w:w="1124" w:type="dxa"/>
            <w:vAlign w:val="center"/>
          </w:tcPr>
          <w:p w14:paraId="1073065C">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27C7A3B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30.12</w:t>
            </w:r>
          </w:p>
        </w:tc>
        <w:tc>
          <w:tcPr>
            <w:tcW w:w="2049" w:type="dxa"/>
            <w:vAlign w:val="center"/>
          </w:tcPr>
          <w:p w14:paraId="30E017A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0.1468</w:t>
            </w:r>
          </w:p>
        </w:tc>
      </w:tr>
      <w:tr w14:paraId="74046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018B2EA2">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7</w:t>
            </w:r>
          </w:p>
        </w:tc>
        <w:tc>
          <w:tcPr>
            <w:tcW w:w="2636" w:type="dxa"/>
            <w:vAlign w:val="center"/>
          </w:tcPr>
          <w:p w14:paraId="53889B0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侧围墙外5m</w:t>
            </w:r>
            <w:r>
              <w:rPr>
                <w:rStyle w:val="47"/>
                <w:rFonts w:hint="eastAsia" w:ascii="Times New Roman" w:hAnsi="Times New Roman" w:eastAsia="宋体"/>
                <w:color w:val="000000" w:themeColor="text1"/>
                <w:spacing w:val="0"/>
                <w:szCs w:val="21"/>
                <w:highlight w:val="none"/>
                <w14:textFill>
                  <w14:solidFill>
                    <w14:schemeClr w14:val="tx1"/>
                  </w14:solidFill>
                </w14:textFill>
              </w:rPr>
              <w:t>（7#）</w:t>
            </w:r>
          </w:p>
        </w:tc>
        <w:tc>
          <w:tcPr>
            <w:tcW w:w="1124" w:type="dxa"/>
            <w:vAlign w:val="center"/>
          </w:tcPr>
          <w:p w14:paraId="3AB0FCEB">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32E3955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165.3</w:t>
            </w:r>
          </w:p>
        </w:tc>
        <w:tc>
          <w:tcPr>
            <w:tcW w:w="2049" w:type="dxa"/>
            <w:vAlign w:val="center"/>
          </w:tcPr>
          <w:p w14:paraId="5FE51FD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0.1961</w:t>
            </w:r>
          </w:p>
        </w:tc>
      </w:tr>
      <w:tr w14:paraId="3622D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68A6985D">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8</w:t>
            </w:r>
          </w:p>
        </w:tc>
        <w:tc>
          <w:tcPr>
            <w:tcW w:w="2636" w:type="dxa"/>
            <w:vAlign w:val="center"/>
          </w:tcPr>
          <w:p w14:paraId="5A300C1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w:t>
            </w:r>
            <w:r>
              <w:rPr>
                <w:rStyle w:val="47"/>
                <w:rFonts w:hint="eastAsia" w:ascii="Times New Roman" w:hAnsi="Times New Roman" w:eastAsia="宋体"/>
                <w:color w:val="000000" w:themeColor="text1"/>
                <w:spacing w:val="0"/>
                <w:szCs w:val="21"/>
                <w:highlight w:val="none"/>
                <w14:textFill>
                  <w14:solidFill>
                    <w14:schemeClr w14:val="tx1"/>
                  </w14:solidFill>
                </w14:textFill>
              </w:rPr>
              <w:t>10</w:t>
            </w:r>
            <w:r>
              <w:rPr>
                <w:rStyle w:val="47"/>
                <w:rFonts w:ascii="Times New Roman" w:hAnsi="Times New Roman" w:eastAsia="宋体"/>
                <w:color w:val="000000" w:themeColor="text1"/>
                <w:spacing w:val="0"/>
                <w:szCs w:val="21"/>
                <w:highlight w:val="none"/>
                <w14:textFill>
                  <w14:solidFill>
                    <w14:schemeClr w14:val="tx1"/>
                  </w14:solidFill>
                </w14:textFill>
              </w:rPr>
              <w:t>m</w:t>
            </w:r>
          </w:p>
        </w:tc>
        <w:tc>
          <w:tcPr>
            <w:tcW w:w="1124" w:type="dxa"/>
            <w:vAlign w:val="center"/>
          </w:tcPr>
          <w:p w14:paraId="004D96B2">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3B9ADC31">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142.6</w:t>
            </w:r>
          </w:p>
        </w:tc>
        <w:tc>
          <w:tcPr>
            <w:tcW w:w="2049" w:type="dxa"/>
            <w:vAlign w:val="center"/>
          </w:tcPr>
          <w:p w14:paraId="3EFE201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0.1785</w:t>
            </w:r>
          </w:p>
        </w:tc>
      </w:tr>
      <w:tr w14:paraId="05CFF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71D37433">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9</w:t>
            </w:r>
          </w:p>
        </w:tc>
        <w:tc>
          <w:tcPr>
            <w:tcW w:w="2636" w:type="dxa"/>
            <w:vAlign w:val="center"/>
          </w:tcPr>
          <w:p w14:paraId="581DB18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w:t>
            </w:r>
            <w:r>
              <w:rPr>
                <w:rStyle w:val="47"/>
                <w:rFonts w:hint="eastAsia" w:ascii="Times New Roman" w:hAnsi="Times New Roman" w:eastAsia="宋体"/>
                <w:color w:val="000000" w:themeColor="text1"/>
                <w:spacing w:val="0"/>
                <w:szCs w:val="21"/>
                <w:highlight w:val="none"/>
                <w14:textFill>
                  <w14:solidFill>
                    <w14:schemeClr w14:val="tx1"/>
                  </w14:solidFill>
                </w14:textFill>
              </w:rPr>
              <w:t>1</w:t>
            </w:r>
            <w:r>
              <w:rPr>
                <w:rStyle w:val="47"/>
                <w:rFonts w:ascii="Times New Roman" w:hAnsi="Times New Roman" w:eastAsia="宋体"/>
                <w:color w:val="000000" w:themeColor="text1"/>
                <w:spacing w:val="0"/>
                <w:szCs w:val="21"/>
                <w:highlight w:val="none"/>
                <w14:textFill>
                  <w14:solidFill>
                    <w14:schemeClr w14:val="tx1"/>
                  </w14:solidFill>
                </w14:textFill>
              </w:rPr>
              <w:t>5m</w:t>
            </w:r>
          </w:p>
        </w:tc>
        <w:tc>
          <w:tcPr>
            <w:tcW w:w="1124" w:type="dxa"/>
            <w:vAlign w:val="center"/>
          </w:tcPr>
          <w:p w14:paraId="062F67C6">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63ACDC76">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119.58</w:t>
            </w:r>
          </w:p>
        </w:tc>
        <w:tc>
          <w:tcPr>
            <w:tcW w:w="2049" w:type="dxa"/>
            <w:vAlign w:val="center"/>
          </w:tcPr>
          <w:p w14:paraId="79928A4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0.1682</w:t>
            </w:r>
          </w:p>
        </w:tc>
      </w:tr>
      <w:tr w14:paraId="5EE6A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153DF0A7">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10</w:t>
            </w:r>
          </w:p>
        </w:tc>
        <w:tc>
          <w:tcPr>
            <w:tcW w:w="2636" w:type="dxa"/>
            <w:vAlign w:val="center"/>
          </w:tcPr>
          <w:p w14:paraId="0445E547">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w:t>
            </w:r>
            <w:r>
              <w:rPr>
                <w:rStyle w:val="47"/>
                <w:rFonts w:hint="eastAsia" w:ascii="Times New Roman" w:hAnsi="Times New Roman" w:eastAsia="宋体"/>
                <w:color w:val="000000" w:themeColor="text1"/>
                <w:spacing w:val="0"/>
                <w:szCs w:val="21"/>
                <w:highlight w:val="none"/>
                <w14:textFill>
                  <w14:solidFill>
                    <w14:schemeClr w14:val="tx1"/>
                  </w14:solidFill>
                </w14:textFill>
              </w:rPr>
              <w:t>20</w:t>
            </w:r>
            <w:r>
              <w:rPr>
                <w:rStyle w:val="47"/>
                <w:rFonts w:ascii="Times New Roman" w:hAnsi="Times New Roman" w:eastAsia="宋体"/>
                <w:color w:val="000000" w:themeColor="text1"/>
                <w:spacing w:val="0"/>
                <w:szCs w:val="21"/>
                <w:highlight w:val="none"/>
                <w14:textFill>
                  <w14:solidFill>
                    <w14:schemeClr w14:val="tx1"/>
                  </w14:solidFill>
                </w14:textFill>
              </w:rPr>
              <w:t>m</w:t>
            </w:r>
          </w:p>
        </w:tc>
        <w:tc>
          <w:tcPr>
            <w:tcW w:w="1124" w:type="dxa"/>
            <w:vAlign w:val="center"/>
          </w:tcPr>
          <w:p w14:paraId="08798786">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3950D208">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89.64</w:t>
            </w:r>
          </w:p>
        </w:tc>
        <w:tc>
          <w:tcPr>
            <w:tcW w:w="2049" w:type="dxa"/>
            <w:vAlign w:val="center"/>
          </w:tcPr>
          <w:p w14:paraId="6C965924">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0.1534</w:t>
            </w:r>
          </w:p>
        </w:tc>
      </w:tr>
      <w:tr w14:paraId="104C5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5237E87D">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11</w:t>
            </w:r>
          </w:p>
        </w:tc>
        <w:tc>
          <w:tcPr>
            <w:tcW w:w="2636" w:type="dxa"/>
            <w:vAlign w:val="center"/>
          </w:tcPr>
          <w:p w14:paraId="45DEEB8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w:t>
            </w:r>
            <w:r>
              <w:rPr>
                <w:rStyle w:val="47"/>
                <w:rFonts w:hint="eastAsia" w:ascii="Times New Roman" w:hAnsi="Times New Roman" w:eastAsia="宋体"/>
                <w:color w:val="000000" w:themeColor="text1"/>
                <w:spacing w:val="0"/>
                <w:szCs w:val="21"/>
                <w:highlight w:val="none"/>
                <w14:textFill>
                  <w14:solidFill>
                    <w14:schemeClr w14:val="tx1"/>
                  </w14:solidFill>
                </w14:textFill>
              </w:rPr>
              <w:t>2</w:t>
            </w:r>
            <w:r>
              <w:rPr>
                <w:rStyle w:val="47"/>
                <w:rFonts w:ascii="Times New Roman" w:hAnsi="Times New Roman" w:eastAsia="宋体"/>
                <w:color w:val="000000" w:themeColor="text1"/>
                <w:spacing w:val="0"/>
                <w:szCs w:val="21"/>
                <w:highlight w:val="none"/>
                <w14:textFill>
                  <w14:solidFill>
                    <w14:schemeClr w14:val="tx1"/>
                  </w14:solidFill>
                </w14:textFill>
              </w:rPr>
              <w:t>5m</w:t>
            </w:r>
          </w:p>
        </w:tc>
        <w:tc>
          <w:tcPr>
            <w:tcW w:w="1124" w:type="dxa"/>
            <w:vAlign w:val="center"/>
          </w:tcPr>
          <w:p w14:paraId="13FFB939">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5471853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65.24</w:t>
            </w:r>
          </w:p>
        </w:tc>
        <w:tc>
          <w:tcPr>
            <w:tcW w:w="2049" w:type="dxa"/>
            <w:vAlign w:val="center"/>
          </w:tcPr>
          <w:p w14:paraId="22116495">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0.1329</w:t>
            </w:r>
          </w:p>
        </w:tc>
      </w:tr>
      <w:tr w14:paraId="6E5F3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5CF5B462">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12</w:t>
            </w:r>
          </w:p>
        </w:tc>
        <w:tc>
          <w:tcPr>
            <w:tcW w:w="2636" w:type="dxa"/>
            <w:vAlign w:val="center"/>
          </w:tcPr>
          <w:p w14:paraId="591600F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w:t>
            </w:r>
            <w:r>
              <w:rPr>
                <w:rStyle w:val="47"/>
                <w:rFonts w:hint="eastAsia" w:ascii="Times New Roman" w:hAnsi="Times New Roman" w:eastAsia="宋体"/>
                <w:color w:val="000000" w:themeColor="text1"/>
                <w:spacing w:val="0"/>
                <w:szCs w:val="21"/>
                <w:highlight w:val="none"/>
                <w14:textFill>
                  <w14:solidFill>
                    <w14:schemeClr w14:val="tx1"/>
                  </w14:solidFill>
                </w14:textFill>
              </w:rPr>
              <w:t>30</w:t>
            </w:r>
            <w:r>
              <w:rPr>
                <w:rStyle w:val="47"/>
                <w:rFonts w:ascii="Times New Roman" w:hAnsi="Times New Roman" w:eastAsia="宋体"/>
                <w:color w:val="000000" w:themeColor="text1"/>
                <w:spacing w:val="0"/>
                <w:szCs w:val="21"/>
                <w:highlight w:val="none"/>
                <w14:textFill>
                  <w14:solidFill>
                    <w14:schemeClr w14:val="tx1"/>
                  </w14:solidFill>
                </w14:textFill>
              </w:rPr>
              <w:t>m</w:t>
            </w:r>
          </w:p>
        </w:tc>
        <w:tc>
          <w:tcPr>
            <w:tcW w:w="1124" w:type="dxa"/>
            <w:vAlign w:val="center"/>
          </w:tcPr>
          <w:p w14:paraId="3C3117F8">
            <w:pPr>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42715D0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51.02</w:t>
            </w:r>
          </w:p>
        </w:tc>
        <w:tc>
          <w:tcPr>
            <w:tcW w:w="2049" w:type="dxa"/>
            <w:vAlign w:val="center"/>
          </w:tcPr>
          <w:p w14:paraId="120BEBB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0.1203</w:t>
            </w:r>
          </w:p>
        </w:tc>
      </w:tr>
      <w:tr w14:paraId="77168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5517F933">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13</w:t>
            </w:r>
          </w:p>
        </w:tc>
        <w:tc>
          <w:tcPr>
            <w:tcW w:w="2636" w:type="dxa"/>
            <w:vAlign w:val="center"/>
          </w:tcPr>
          <w:p w14:paraId="13BFF0A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w:t>
            </w:r>
            <w:r>
              <w:rPr>
                <w:rStyle w:val="47"/>
                <w:rFonts w:hint="eastAsia" w:ascii="Times New Roman" w:hAnsi="Times New Roman" w:eastAsia="宋体"/>
                <w:color w:val="000000" w:themeColor="text1"/>
                <w:spacing w:val="0"/>
                <w:szCs w:val="21"/>
                <w:highlight w:val="none"/>
                <w14:textFill>
                  <w14:solidFill>
                    <w14:schemeClr w14:val="tx1"/>
                  </w14:solidFill>
                </w14:textFill>
              </w:rPr>
              <w:t>3</w:t>
            </w:r>
            <w:r>
              <w:rPr>
                <w:rStyle w:val="47"/>
                <w:rFonts w:ascii="Times New Roman" w:hAnsi="Times New Roman" w:eastAsia="宋体"/>
                <w:color w:val="000000" w:themeColor="text1"/>
                <w:spacing w:val="0"/>
                <w:szCs w:val="21"/>
                <w:highlight w:val="none"/>
                <w14:textFill>
                  <w14:solidFill>
                    <w14:schemeClr w14:val="tx1"/>
                  </w14:solidFill>
                </w14:textFill>
              </w:rPr>
              <w:t>5m</w:t>
            </w:r>
          </w:p>
        </w:tc>
        <w:tc>
          <w:tcPr>
            <w:tcW w:w="1124" w:type="dxa"/>
            <w:vAlign w:val="center"/>
          </w:tcPr>
          <w:p w14:paraId="4580B37A">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7572239D">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36.54</w:t>
            </w:r>
          </w:p>
        </w:tc>
        <w:tc>
          <w:tcPr>
            <w:tcW w:w="2049" w:type="dxa"/>
            <w:vAlign w:val="center"/>
          </w:tcPr>
          <w:p w14:paraId="36CD2523">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0.1087</w:t>
            </w:r>
          </w:p>
        </w:tc>
      </w:tr>
      <w:tr w14:paraId="66398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364BE266">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14</w:t>
            </w:r>
          </w:p>
        </w:tc>
        <w:tc>
          <w:tcPr>
            <w:tcW w:w="2636" w:type="dxa"/>
            <w:vAlign w:val="center"/>
          </w:tcPr>
          <w:p w14:paraId="18392704">
            <w:pPr>
              <w:jc w:val="center"/>
              <w:outlineLvl w:val="9"/>
              <w:rPr>
                <w:rStyle w:val="47"/>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w:t>
            </w:r>
            <w:r>
              <w:rPr>
                <w:rStyle w:val="47"/>
                <w:rFonts w:hint="eastAsia" w:ascii="Times New Roman" w:hAnsi="Times New Roman" w:eastAsia="宋体"/>
                <w:color w:val="000000" w:themeColor="text1"/>
                <w:spacing w:val="0"/>
                <w:szCs w:val="21"/>
                <w:highlight w:val="none"/>
                <w14:textFill>
                  <w14:solidFill>
                    <w14:schemeClr w14:val="tx1"/>
                  </w14:solidFill>
                </w14:textFill>
              </w:rPr>
              <w:t>40</w:t>
            </w:r>
            <w:r>
              <w:rPr>
                <w:rStyle w:val="47"/>
                <w:rFonts w:ascii="Times New Roman" w:hAnsi="Times New Roman" w:eastAsia="宋体"/>
                <w:color w:val="000000" w:themeColor="text1"/>
                <w:spacing w:val="0"/>
                <w:szCs w:val="21"/>
                <w:highlight w:val="none"/>
                <w14:textFill>
                  <w14:solidFill>
                    <w14:schemeClr w14:val="tx1"/>
                  </w14:solidFill>
                </w14:textFill>
              </w:rPr>
              <w:t>m</w:t>
            </w:r>
          </w:p>
        </w:tc>
        <w:tc>
          <w:tcPr>
            <w:tcW w:w="1124" w:type="dxa"/>
            <w:vAlign w:val="center"/>
          </w:tcPr>
          <w:p w14:paraId="639A94A0">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3C44A59A">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25.68</w:t>
            </w:r>
          </w:p>
        </w:tc>
        <w:tc>
          <w:tcPr>
            <w:tcW w:w="2049" w:type="dxa"/>
            <w:vAlign w:val="center"/>
          </w:tcPr>
          <w:p w14:paraId="3091D8DE">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0.0951</w:t>
            </w:r>
          </w:p>
        </w:tc>
      </w:tr>
      <w:tr w14:paraId="45513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47133054">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636" w:type="dxa"/>
            <w:vAlign w:val="center"/>
          </w:tcPr>
          <w:p w14:paraId="4631DD82">
            <w:pPr>
              <w:jc w:val="center"/>
              <w:outlineLvl w:val="9"/>
              <w:rPr>
                <w:rStyle w:val="47"/>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w:t>
            </w:r>
            <w:r>
              <w:rPr>
                <w:rStyle w:val="47"/>
                <w:rFonts w:hint="eastAsia" w:ascii="Times New Roman" w:hAnsi="Times New Roman" w:eastAsia="宋体"/>
                <w:color w:val="000000" w:themeColor="text1"/>
                <w:spacing w:val="0"/>
                <w:szCs w:val="21"/>
                <w:highlight w:val="none"/>
                <w14:textFill>
                  <w14:solidFill>
                    <w14:schemeClr w14:val="tx1"/>
                  </w14:solidFill>
                </w14:textFill>
              </w:rPr>
              <w:t>4</w:t>
            </w:r>
            <w:r>
              <w:rPr>
                <w:rStyle w:val="47"/>
                <w:rFonts w:ascii="Times New Roman" w:hAnsi="Times New Roman" w:eastAsia="宋体"/>
                <w:color w:val="000000" w:themeColor="text1"/>
                <w:spacing w:val="0"/>
                <w:szCs w:val="21"/>
                <w:highlight w:val="none"/>
                <w14:textFill>
                  <w14:solidFill>
                    <w14:schemeClr w14:val="tx1"/>
                  </w14:solidFill>
                </w14:textFill>
              </w:rPr>
              <w:t>5m</w:t>
            </w:r>
          </w:p>
        </w:tc>
        <w:tc>
          <w:tcPr>
            <w:tcW w:w="1124" w:type="dxa"/>
            <w:vAlign w:val="center"/>
          </w:tcPr>
          <w:p w14:paraId="020B99A6">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12122B7B">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20.73</w:t>
            </w:r>
          </w:p>
        </w:tc>
        <w:tc>
          <w:tcPr>
            <w:tcW w:w="2049" w:type="dxa"/>
            <w:vAlign w:val="center"/>
          </w:tcPr>
          <w:p w14:paraId="5E1ACDA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0.0876</w:t>
            </w:r>
          </w:p>
        </w:tc>
      </w:tr>
      <w:tr w14:paraId="0A59E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576A071A">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bCs/>
                <w:color w:val="000000" w:themeColor="text1"/>
                <w:spacing w:val="0"/>
                <w:szCs w:val="21"/>
                <w:highlight w:val="none"/>
                <w14:textFill>
                  <w14:solidFill>
                    <w14:schemeClr w14:val="tx1"/>
                  </w14:solidFill>
                </w14:textFill>
              </w:rPr>
              <w:t>16</w:t>
            </w:r>
          </w:p>
        </w:tc>
        <w:tc>
          <w:tcPr>
            <w:tcW w:w="2636" w:type="dxa"/>
            <w:vAlign w:val="center"/>
          </w:tcPr>
          <w:p w14:paraId="199F57B3">
            <w:pPr>
              <w:jc w:val="center"/>
              <w:outlineLvl w:val="9"/>
              <w:rPr>
                <w:rStyle w:val="47"/>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侧围墙外5</w:t>
            </w:r>
            <w:r>
              <w:rPr>
                <w:rStyle w:val="47"/>
                <w:rFonts w:hint="eastAsia" w:ascii="Times New Roman" w:hAnsi="Times New Roman" w:eastAsia="宋体"/>
                <w:color w:val="000000" w:themeColor="text1"/>
                <w:spacing w:val="0"/>
                <w:szCs w:val="21"/>
                <w:highlight w:val="none"/>
                <w14:textFill>
                  <w14:solidFill>
                    <w14:schemeClr w14:val="tx1"/>
                  </w14:solidFill>
                </w14:textFill>
              </w:rPr>
              <w:t>0</w:t>
            </w:r>
            <w:r>
              <w:rPr>
                <w:rStyle w:val="47"/>
                <w:rFonts w:ascii="Times New Roman" w:hAnsi="Times New Roman" w:eastAsia="宋体"/>
                <w:color w:val="000000" w:themeColor="text1"/>
                <w:spacing w:val="0"/>
                <w:szCs w:val="21"/>
                <w:highlight w:val="none"/>
                <w14:textFill>
                  <w14:solidFill>
                    <w14:schemeClr w14:val="tx1"/>
                  </w14:solidFill>
                </w14:textFill>
              </w:rPr>
              <w:t>m</w:t>
            </w:r>
          </w:p>
        </w:tc>
        <w:tc>
          <w:tcPr>
            <w:tcW w:w="1124" w:type="dxa"/>
            <w:vAlign w:val="center"/>
          </w:tcPr>
          <w:p w14:paraId="10F42D0C">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0270CF9F">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18.32</w:t>
            </w:r>
          </w:p>
        </w:tc>
        <w:tc>
          <w:tcPr>
            <w:tcW w:w="2049" w:type="dxa"/>
            <w:vAlign w:val="center"/>
          </w:tcPr>
          <w:p w14:paraId="3CD9CB52">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0.0803</w:t>
            </w:r>
          </w:p>
        </w:tc>
      </w:tr>
      <w:tr w14:paraId="74EA5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9" w:type="dxa"/>
            <w:vAlign w:val="center"/>
          </w:tcPr>
          <w:p w14:paraId="368035D8">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hint="eastAsia" w:ascii="Times New Roman" w:hAnsi="Times New Roman" w:eastAsia="宋体"/>
                <w:bCs/>
                <w:color w:val="000000" w:themeColor="text1"/>
                <w:spacing w:val="0"/>
                <w:szCs w:val="21"/>
                <w:highlight w:val="none"/>
                <w14:textFill>
                  <w14:solidFill>
                    <w14:schemeClr w14:val="tx1"/>
                  </w14:solidFill>
                </w14:textFill>
              </w:rPr>
              <w:t>17</w:t>
            </w:r>
          </w:p>
        </w:tc>
        <w:tc>
          <w:tcPr>
            <w:tcW w:w="2636" w:type="dxa"/>
            <w:vAlign w:val="center"/>
          </w:tcPr>
          <w:p w14:paraId="6F9E6D51">
            <w:pPr>
              <w:jc w:val="center"/>
              <w:outlineLvl w:val="9"/>
              <w:rPr>
                <w:rStyle w:val="47"/>
                <w:rFonts w:ascii="Times New Roman" w:hAnsi="Times New Roman" w:eastAsia="宋体"/>
                <w:color w:val="000000" w:themeColor="text1"/>
                <w:spacing w:val="0"/>
                <w:szCs w:val="21"/>
                <w:highlight w:val="none"/>
                <w14:textFill>
                  <w14:solidFill>
                    <w14:schemeClr w14:val="tx1"/>
                  </w14:solidFill>
                </w14:textFill>
              </w:rPr>
            </w:pPr>
            <w:r>
              <w:rPr>
                <w:rStyle w:val="47"/>
                <w:rFonts w:ascii="Times New Roman" w:hAnsi="Times New Roman" w:eastAsia="宋体"/>
                <w:color w:val="000000" w:themeColor="text1"/>
                <w:spacing w:val="0"/>
                <w:szCs w:val="21"/>
                <w:highlight w:val="none"/>
                <w14:textFill>
                  <w14:solidFill>
                    <w14:schemeClr w14:val="tx1"/>
                  </w14:solidFill>
                </w14:textFill>
              </w:rPr>
              <w:t>变电站</w:t>
            </w:r>
            <w:r>
              <w:rPr>
                <w:rStyle w:val="47"/>
                <w:rFonts w:hint="eastAsia" w:ascii="Times New Roman" w:hAnsi="Times New Roman" w:eastAsia="宋体"/>
                <w:color w:val="000000" w:themeColor="text1"/>
                <w:spacing w:val="0"/>
                <w:szCs w:val="21"/>
                <w:highlight w:val="none"/>
                <w14:textFill>
                  <w14:solidFill>
                    <w14:schemeClr w14:val="tx1"/>
                  </w14:solidFill>
                </w14:textFill>
              </w:rPr>
              <w:t>北</w:t>
            </w:r>
            <w:r>
              <w:rPr>
                <w:rStyle w:val="47"/>
                <w:rFonts w:ascii="Times New Roman" w:hAnsi="Times New Roman" w:eastAsia="宋体"/>
                <w:color w:val="000000" w:themeColor="text1"/>
                <w:spacing w:val="0"/>
                <w:szCs w:val="21"/>
                <w:highlight w:val="none"/>
                <w14:textFill>
                  <w14:solidFill>
                    <w14:schemeClr w14:val="tx1"/>
                  </w14:solidFill>
                </w14:textFill>
              </w:rPr>
              <w:t>侧围墙外5m</w:t>
            </w:r>
            <w:r>
              <w:rPr>
                <w:rStyle w:val="47"/>
                <w:rFonts w:hint="eastAsia" w:ascii="Times New Roman" w:hAnsi="Times New Roman" w:eastAsia="宋体"/>
                <w:color w:val="000000" w:themeColor="text1"/>
                <w:spacing w:val="0"/>
                <w:szCs w:val="21"/>
                <w:highlight w:val="none"/>
                <w14:textFill>
                  <w14:solidFill>
                    <w14:schemeClr w14:val="tx1"/>
                  </w14:solidFill>
                </w14:textFill>
              </w:rPr>
              <w:t>（8#）</w:t>
            </w:r>
          </w:p>
        </w:tc>
        <w:tc>
          <w:tcPr>
            <w:tcW w:w="1124" w:type="dxa"/>
            <w:vAlign w:val="center"/>
          </w:tcPr>
          <w:p w14:paraId="2BD4B211">
            <w:pPr>
              <w:spacing w:line="240" w:lineRule="atLeast"/>
              <w:jc w:val="center"/>
              <w:outlineLvl w:val="9"/>
              <w:rPr>
                <w:rFonts w:ascii="Times New Roman" w:hAnsi="Times New Roman" w:eastAsia="宋体"/>
                <w:bCs/>
                <w:color w:val="000000" w:themeColor="text1"/>
                <w:spacing w:val="0"/>
                <w:szCs w:val="21"/>
                <w:highlight w:val="none"/>
                <w14:textFill>
                  <w14:solidFill>
                    <w14:schemeClr w14:val="tx1"/>
                  </w14:solidFill>
                </w14:textFill>
              </w:rPr>
            </w:pPr>
            <w:r>
              <w:rPr>
                <w:rFonts w:ascii="Times New Roman" w:hAnsi="Times New Roman" w:eastAsia="宋体"/>
                <w:bCs/>
                <w:color w:val="000000" w:themeColor="text1"/>
                <w:spacing w:val="0"/>
                <w:szCs w:val="21"/>
                <w:highlight w:val="none"/>
                <w14:textFill>
                  <w14:solidFill>
                    <w14:schemeClr w14:val="tx1"/>
                  </w14:solidFill>
                </w14:textFill>
              </w:rPr>
              <w:t>1.5</w:t>
            </w:r>
          </w:p>
        </w:tc>
        <w:tc>
          <w:tcPr>
            <w:tcW w:w="2006" w:type="dxa"/>
            <w:vAlign w:val="center"/>
          </w:tcPr>
          <w:p w14:paraId="19BFF08C">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143.7</w:t>
            </w:r>
          </w:p>
        </w:tc>
        <w:tc>
          <w:tcPr>
            <w:tcW w:w="2049" w:type="dxa"/>
            <w:vAlign w:val="center"/>
          </w:tcPr>
          <w:p w14:paraId="737BF170">
            <w:pPr>
              <w:jc w:val="center"/>
              <w:outlineLvl w:val="9"/>
              <w:rPr>
                <w:rFonts w:ascii="Times New Roman" w:hAnsi="Times New Roman" w:eastAsia="宋体"/>
                <w:color w:val="000000" w:themeColor="text1"/>
                <w:spacing w:val="0"/>
                <w:szCs w:val="21"/>
                <w:highlight w:val="none"/>
                <w14:textFill>
                  <w14:solidFill>
                    <w14:schemeClr w14:val="tx1"/>
                  </w14:solidFill>
                </w14:textFill>
              </w:rPr>
            </w:pPr>
            <w:r>
              <w:rPr>
                <w:rFonts w:hint="eastAsia" w:ascii="Times New Roman" w:hAnsi="Times New Roman" w:eastAsia="宋体"/>
                <w:color w:val="000000" w:themeColor="text1"/>
                <w:spacing w:val="0"/>
                <w:szCs w:val="21"/>
                <w:highlight w:val="none"/>
                <w14:textFill>
                  <w14:solidFill>
                    <w14:schemeClr w14:val="tx1"/>
                  </w14:solidFill>
                </w14:textFill>
              </w:rPr>
              <w:t>0.1742</w:t>
            </w:r>
          </w:p>
        </w:tc>
      </w:tr>
    </w:tbl>
    <w:p w14:paraId="50741204">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p>
    <w:p w14:paraId="0FE40EFA">
      <w:pPr>
        <w:spacing w:line="360" w:lineRule="auto"/>
        <w:ind w:firstLine="480" w:firstLineChars="200"/>
        <w:outlineLvl w:val="9"/>
        <w:rPr>
          <w:rFonts w:ascii="Times New Roman" w:hAnsi="Times New Roman" w:eastAsia="宋体"/>
          <w:color w:val="000000" w:themeColor="text1"/>
          <w:spacing w:val="0"/>
          <w:kern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由上表可知，</w:t>
      </w:r>
      <w:r>
        <w:rPr>
          <w:rFonts w:hint="eastAsia" w:ascii="Times New Roman" w:hAnsi="Times New Roman" w:eastAsia="宋体"/>
          <w:color w:val="000000" w:themeColor="text1"/>
          <w:spacing w:val="0"/>
          <w:sz w:val="24"/>
          <w:highlight w:val="none"/>
          <w14:textFill>
            <w14:solidFill>
              <w14:schemeClr w14:val="tx1"/>
            </w14:solidFill>
          </w14:textFill>
        </w:rPr>
        <w:t>龙泉</w:t>
      </w:r>
      <w:r>
        <w:rPr>
          <w:rFonts w:ascii="Times New Roman" w:hAnsi="Times New Roman" w:eastAsia="宋体"/>
          <w:color w:val="000000" w:themeColor="text1"/>
          <w:spacing w:val="0"/>
          <w:kern w:val="0"/>
          <w:sz w:val="24"/>
          <w:highlight w:val="none"/>
          <w14:textFill>
            <w14:solidFill>
              <w14:schemeClr w14:val="tx1"/>
            </w14:solidFill>
          </w14:textFill>
        </w:rPr>
        <w:t>110kV变电站</w:t>
      </w:r>
      <w:r>
        <w:rPr>
          <w:rFonts w:hint="eastAsia" w:ascii="Times New Roman" w:hAnsi="Times New Roman" w:eastAsia="宋体"/>
          <w:color w:val="000000" w:themeColor="text1"/>
          <w:spacing w:val="0"/>
          <w:kern w:val="0"/>
          <w:sz w:val="24"/>
          <w:highlight w:val="none"/>
          <w14:textFill>
            <w14:solidFill>
              <w14:schemeClr w14:val="tx1"/>
            </w14:solidFill>
          </w14:textFill>
        </w:rPr>
        <w:t>厂界</w:t>
      </w:r>
      <w:r>
        <w:rPr>
          <w:rFonts w:ascii="Times New Roman" w:hAnsi="Times New Roman" w:eastAsia="宋体"/>
          <w:color w:val="000000" w:themeColor="text1"/>
          <w:spacing w:val="0"/>
          <w:kern w:val="0"/>
          <w:sz w:val="24"/>
          <w:highlight w:val="none"/>
          <w14:textFill>
            <w14:solidFill>
              <w14:schemeClr w14:val="tx1"/>
            </w14:solidFill>
          </w14:textFill>
        </w:rPr>
        <w:t>围墙外5m监测的工频电场强度为（</w:t>
      </w:r>
      <w:r>
        <w:rPr>
          <w:rFonts w:hint="eastAsia" w:ascii="Times New Roman" w:hAnsi="Times New Roman" w:eastAsia="宋体"/>
          <w:color w:val="000000" w:themeColor="text1"/>
          <w:spacing w:val="0"/>
          <w:kern w:val="0"/>
          <w:sz w:val="24"/>
          <w:highlight w:val="none"/>
          <w14:textFill>
            <w14:solidFill>
              <w14:schemeClr w14:val="tx1"/>
            </w14:solidFill>
          </w14:textFill>
        </w:rPr>
        <w:t>14.47</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14:textFill>
            <w14:solidFill>
              <w14:schemeClr w14:val="tx1"/>
            </w14:solidFill>
          </w14:textFill>
        </w:rPr>
        <w:t>165.3</w:t>
      </w:r>
      <w:r>
        <w:rPr>
          <w:rFonts w:ascii="Times New Roman" w:hAnsi="Times New Roman" w:eastAsia="宋体"/>
          <w:color w:val="000000" w:themeColor="text1"/>
          <w:spacing w:val="0"/>
          <w:kern w:val="0"/>
          <w:sz w:val="24"/>
          <w:highlight w:val="none"/>
          <w14:textFill>
            <w14:solidFill>
              <w14:schemeClr w14:val="tx1"/>
            </w14:solidFill>
          </w14:textFill>
        </w:rPr>
        <w:t>）V/m，工频磁感应强度为（0.</w:t>
      </w:r>
      <w:r>
        <w:rPr>
          <w:rFonts w:hint="eastAsia" w:ascii="Times New Roman" w:hAnsi="Times New Roman" w:eastAsia="宋体"/>
          <w:color w:val="000000" w:themeColor="text1"/>
          <w:spacing w:val="0"/>
          <w:kern w:val="0"/>
          <w:sz w:val="24"/>
          <w:highlight w:val="none"/>
          <w14:textFill>
            <w14:solidFill>
              <w14:schemeClr w14:val="tx1"/>
            </w14:solidFill>
          </w14:textFill>
        </w:rPr>
        <w:t>1355</w:t>
      </w:r>
      <w:r>
        <w:rPr>
          <w:rFonts w:ascii="Times New Roman" w:hAnsi="Times New Roman" w:eastAsia="宋体"/>
          <w:color w:val="000000" w:themeColor="text1"/>
          <w:spacing w:val="0"/>
          <w:kern w:val="0"/>
          <w:sz w:val="24"/>
          <w:highlight w:val="none"/>
          <w14:textFill>
            <w14:solidFill>
              <w14:schemeClr w14:val="tx1"/>
            </w14:solidFill>
          </w14:textFill>
        </w:rPr>
        <w:t>~0.</w:t>
      </w:r>
      <w:r>
        <w:rPr>
          <w:rFonts w:hint="eastAsia" w:ascii="Times New Roman" w:hAnsi="Times New Roman" w:eastAsia="宋体"/>
          <w:color w:val="000000" w:themeColor="text1"/>
          <w:spacing w:val="0"/>
          <w:kern w:val="0"/>
          <w:sz w:val="24"/>
          <w:highlight w:val="none"/>
          <w14:textFill>
            <w14:solidFill>
              <w14:schemeClr w14:val="tx1"/>
            </w14:solidFill>
          </w14:textFill>
        </w:rPr>
        <w:t>5245</w:t>
      </w:r>
      <w:r>
        <w:rPr>
          <w:rFonts w:ascii="Times New Roman" w:hAnsi="Times New Roman" w:eastAsia="宋体"/>
          <w:color w:val="000000" w:themeColor="text1"/>
          <w:spacing w:val="0"/>
          <w:kern w:val="0"/>
          <w:sz w:val="24"/>
          <w:highlight w:val="none"/>
          <w14:textFill>
            <w14:solidFill>
              <w14:schemeClr w14:val="tx1"/>
            </w14:solidFill>
          </w14:textFill>
        </w:rPr>
        <w:t>）μT；</w:t>
      </w:r>
      <w:r>
        <w:rPr>
          <w:rFonts w:hint="eastAsia" w:ascii="Times New Roman" w:hAnsi="Times New Roman" w:eastAsia="宋体"/>
          <w:color w:val="000000" w:themeColor="text1"/>
          <w:spacing w:val="0"/>
          <w:kern w:val="0"/>
          <w:sz w:val="24"/>
          <w:highlight w:val="none"/>
          <w14:textFill>
            <w14:solidFill>
              <w14:schemeClr w14:val="tx1"/>
            </w14:solidFill>
          </w14:textFill>
        </w:rPr>
        <w:t>围墙外10m-50m衰减断面</w:t>
      </w:r>
      <w:r>
        <w:rPr>
          <w:rFonts w:ascii="Times New Roman" w:hAnsi="Times New Roman" w:eastAsia="宋体"/>
          <w:color w:val="000000" w:themeColor="text1"/>
          <w:spacing w:val="0"/>
          <w:kern w:val="0"/>
          <w:sz w:val="24"/>
          <w:highlight w:val="none"/>
          <w14:textFill>
            <w14:solidFill>
              <w14:schemeClr w14:val="tx1"/>
            </w14:solidFill>
          </w14:textFill>
        </w:rPr>
        <w:t>工频电场强度为（</w:t>
      </w:r>
      <w:r>
        <w:rPr>
          <w:rFonts w:hint="eastAsia" w:ascii="Times New Roman" w:hAnsi="Times New Roman" w:eastAsia="宋体"/>
          <w:color w:val="000000" w:themeColor="text1"/>
          <w:spacing w:val="0"/>
          <w:kern w:val="0"/>
          <w:sz w:val="24"/>
          <w:highlight w:val="none"/>
          <w14:textFill>
            <w14:solidFill>
              <w14:schemeClr w14:val="tx1"/>
            </w14:solidFill>
          </w14:textFill>
        </w:rPr>
        <w:t>18.32</w:t>
      </w:r>
      <w:r>
        <w:rPr>
          <w:rFonts w:ascii="Times New Roman" w:hAnsi="Times New Roman" w:eastAsia="宋体"/>
          <w:color w:val="000000" w:themeColor="text1"/>
          <w:spacing w:val="0"/>
          <w:kern w:val="0"/>
          <w:sz w:val="24"/>
          <w:highlight w:val="none"/>
          <w14:textFill>
            <w14:solidFill>
              <w14:schemeClr w14:val="tx1"/>
            </w14:solidFill>
          </w14:textFill>
        </w:rPr>
        <w:t>~</w:t>
      </w:r>
      <w:r>
        <w:rPr>
          <w:rFonts w:hint="eastAsia" w:ascii="Times New Roman" w:hAnsi="Times New Roman" w:eastAsia="宋体"/>
          <w:color w:val="000000" w:themeColor="text1"/>
          <w:spacing w:val="0"/>
          <w:kern w:val="0"/>
          <w:sz w:val="24"/>
          <w:highlight w:val="none"/>
          <w14:textFill>
            <w14:solidFill>
              <w14:schemeClr w14:val="tx1"/>
            </w14:solidFill>
          </w14:textFill>
        </w:rPr>
        <w:t>142.6</w:t>
      </w:r>
      <w:r>
        <w:rPr>
          <w:rFonts w:ascii="Times New Roman" w:hAnsi="Times New Roman" w:eastAsia="宋体"/>
          <w:color w:val="000000" w:themeColor="text1"/>
          <w:spacing w:val="0"/>
          <w:kern w:val="0"/>
          <w:sz w:val="24"/>
          <w:highlight w:val="none"/>
          <w14:textFill>
            <w14:solidFill>
              <w14:schemeClr w14:val="tx1"/>
            </w14:solidFill>
          </w14:textFill>
        </w:rPr>
        <w:t>）V/m，工频磁感应强度为（</w:t>
      </w:r>
      <w:r>
        <w:rPr>
          <w:rFonts w:hint="eastAsia" w:ascii="Times New Roman" w:hAnsi="Times New Roman" w:eastAsia="宋体"/>
          <w:color w:val="000000" w:themeColor="text1"/>
          <w:spacing w:val="0"/>
          <w:kern w:val="0"/>
          <w:sz w:val="24"/>
          <w:highlight w:val="none"/>
          <w14:textFill>
            <w14:solidFill>
              <w14:schemeClr w14:val="tx1"/>
            </w14:solidFill>
          </w14:textFill>
        </w:rPr>
        <w:t>0.0803</w:t>
      </w:r>
      <w:r>
        <w:rPr>
          <w:rFonts w:ascii="Times New Roman" w:hAnsi="Times New Roman" w:eastAsia="宋体"/>
          <w:color w:val="000000" w:themeColor="text1"/>
          <w:spacing w:val="0"/>
          <w:kern w:val="0"/>
          <w:sz w:val="24"/>
          <w:highlight w:val="none"/>
          <w14:textFill>
            <w14:solidFill>
              <w14:schemeClr w14:val="tx1"/>
            </w14:solidFill>
          </w14:textFill>
        </w:rPr>
        <w:t>~0.</w:t>
      </w:r>
      <w:r>
        <w:rPr>
          <w:rFonts w:hint="eastAsia" w:ascii="Times New Roman" w:hAnsi="Times New Roman" w:eastAsia="宋体"/>
          <w:color w:val="000000" w:themeColor="text1"/>
          <w:spacing w:val="0"/>
          <w:kern w:val="0"/>
          <w:sz w:val="24"/>
          <w:highlight w:val="none"/>
          <w14:textFill>
            <w14:solidFill>
              <w14:schemeClr w14:val="tx1"/>
            </w14:solidFill>
          </w14:textFill>
        </w:rPr>
        <w:t>1785</w:t>
      </w:r>
      <w:r>
        <w:rPr>
          <w:rFonts w:ascii="Times New Roman" w:hAnsi="Times New Roman" w:eastAsia="宋体"/>
          <w:color w:val="000000" w:themeColor="text1"/>
          <w:spacing w:val="0"/>
          <w:kern w:val="0"/>
          <w:sz w:val="24"/>
          <w:highlight w:val="none"/>
          <w14:textFill>
            <w14:solidFill>
              <w14:schemeClr w14:val="tx1"/>
            </w14:solidFill>
          </w14:textFill>
        </w:rPr>
        <w:t>）μT；</w:t>
      </w:r>
      <w:r>
        <w:rPr>
          <w:rFonts w:hint="eastAsia" w:ascii="Times New Roman" w:hAnsi="Times New Roman" w:eastAsia="宋体"/>
          <w:color w:val="000000" w:themeColor="text1"/>
          <w:spacing w:val="0"/>
          <w:kern w:val="0"/>
          <w:sz w:val="24"/>
          <w:highlight w:val="none"/>
          <w14:textFill>
            <w14:solidFill>
              <w14:schemeClr w14:val="tx1"/>
            </w14:solidFill>
          </w14:textFill>
        </w:rPr>
        <w:t>龙泉</w:t>
      </w:r>
      <w:r>
        <w:rPr>
          <w:rFonts w:ascii="Times New Roman" w:hAnsi="Times New Roman" w:eastAsia="宋体"/>
          <w:color w:val="000000" w:themeColor="text1"/>
          <w:spacing w:val="0"/>
          <w:sz w:val="24"/>
          <w:highlight w:val="none"/>
          <w14:textFill>
            <w14:solidFill>
              <w14:schemeClr w14:val="tx1"/>
            </w14:solidFill>
          </w14:textFill>
        </w:rPr>
        <w:t>110kV变电站所有测点监测值均</w:t>
      </w:r>
      <w:r>
        <w:rPr>
          <w:rFonts w:hint="eastAsia" w:ascii="Times New Roman" w:hAnsi="Times New Roman" w:eastAsia="宋体"/>
          <w:color w:val="000000" w:themeColor="text1"/>
          <w:spacing w:val="0"/>
          <w:sz w:val="24"/>
          <w:highlight w:val="none"/>
          <w14:textFill>
            <w14:solidFill>
              <w14:schemeClr w14:val="tx1"/>
            </w14:solidFill>
          </w14:textFill>
        </w:rPr>
        <w:t>远远</w:t>
      </w:r>
      <w:r>
        <w:rPr>
          <w:rFonts w:ascii="Times New Roman" w:hAnsi="Times New Roman" w:eastAsia="宋体"/>
          <w:color w:val="000000" w:themeColor="text1"/>
          <w:spacing w:val="0"/>
          <w:sz w:val="24"/>
          <w:highlight w:val="none"/>
          <w14:textFill>
            <w14:solidFill>
              <w14:schemeClr w14:val="tx1"/>
            </w14:solidFill>
          </w14:textFill>
        </w:rPr>
        <w:t>小于《电磁环境控制限值》（GB8702-2014）中规定的4000V/m和100μT的标准限值。</w:t>
      </w:r>
    </w:p>
    <w:p w14:paraId="3B1F5966">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根据类比监测结果可以预测，本项目变电站建成正常运行产生的工频电场强度、工频磁感应强度</w:t>
      </w:r>
      <w:r>
        <w:rPr>
          <w:rFonts w:hint="eastAsia" w:ascii="Times New Roman" w:hAnsi="Times New Roman" w:eastAsia="宋体"/>
          <w:color w:val="000000" w:themeColor="text1"/>
          <w:spacing w:val="0"/>
          <w:sz w:val="24"/>
          <w:highlight w:val="none"/>
          <w14:textFill>
            <w14:solidFill>
              <w14:schemeClr w14:val="tx1"/>
            </w14:solidFill>
          </w14:textFill>
        </w:rPr>
        <w:t>对厂界外电磁环境影响</w:t>
      </w:r>
      <w:r>
        <w:rPr>
          <w:rFonts w:ascii="Times New Roman" w:hAnsi="Times New Roman" w:eastAsia="宋体"/>
          <w:color w:val="000000" w:themeColor="text1"/>
          <w:spacing w:val="0"/>
          <w:sz w:val="24"/>
          <w:highlight w:val="none"/>
          <w14:textFill>
            <w14:solidFill>
              <w14:schemeClr w14:val="tx1"/>
            </w14:solidFill>
          </w14:textFill>
        </w:rPr>
        <w:t>均小于《电磁环境控制限值》（GB8702-2014）中规定的4000V/m和100μT标准限值。</w:t>
      </w:r>
    </w:p>
    <w:p w14:paraId="4EE0BF40">
      <w:pPr>
        <w:spacing w:line="360" w:lineRule="auto"/>
        <w:ind w:firstLine="482" w:firstLineChars="200"/>
        <w:jc w:val="left"/>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hint="eastAsia" w:ascii="Times New Roman" w:hAnsi="Times New Roman" w:eastAsia="宋体"/>
          <w:b/>
          <w:bCs/>
          <w:color w:val="000000" w:themeColor="text1"/>
          <w:spacing w:val="0"/>
          <w:sz w:val="24"/>
          <w:highlight w:val="none"/>
          <w14:textFill>
            <w14:solidFill>
              <w14:schemeClr w14:val="tx1"/>
            </w14:solidFill>
          </w14:textFill>
        </w:rPr>
        <w:t>2</w:t>
      </w:r>
      <w:r>
        <w:rPr>
          <w:rFonts w:ascii="Times New Roman" w:hAnsi="Times New Roman" w:eastAsia="宋体"/>
          <w:b/>
          <w:bCs/>
          <w:color w:val="000000" w:themeColor="text1"/>
          <w:spacing w:val="0"/>
          <w:sz w:val="24"/>
          <w:highlight w:val="none"/>
          <w14:textFill>
            <w14:solidFill>
              <w14:schemeClr w14:val="tx1"/>
            </w14:solidFill>
          </w14:textFill>
        </w:rPr>
        <w:t>、</w:t>
      </w:r>
      <w:r>
        <w:rPr>
          <w:rFonts w:hint="eastAsia" w:ascii="Times New Roman" w:hAnsi="Times New Roman" w:eastAsia="宋体"/>
          <w:b/>
          <w:bCs/>
          <w:color w:val="000000" w:themeColor="text1"/>
          <w:spacing w:val="0"/>
          <w:sz w:val="24"/>
          <w:highlight w:val="none"/>
          <w14:textFill>
            <w14:solidFill>
              <w14:schemeClr w14:val="tx1"/>
            </w14:solidFill>
          </w14:textFill>
        </w:rPr>
        <w:t>输电</w:t>
      </w:r>
      <w:r>
        <w:rPr>
          <w:rFonts w:ascii="Times New Roman" w:hAnsi="Times New Roman" w:eastAsia="宋体"/>
          <w:b/>
          <w:bCs/>
          <w:color w:val="000000" w:themeColor="text1"/>
          <w:spacing w:val="0"/>
          <w:sz w:val="24"/>
          <w:highlight w:val="none"/>
          <w14:textFill>
            <w14:solidFill>
              <w14:schemeClr w14:val="tx1"/>
            </w14:solidFill>
          </w14:textFill>
        </w:rPr>
        <w:t>线路工程</w:t>
      </w:r>
    </w:p>
    <w:p w14:paraId="1F15CAB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根据《环境影响评价技术导则 输变电》（HJ24-2020）的规定，</w:t>
      </w:r>
      <w:r>
        <w:rPr>
          <w:rFonts w:hint="eastAsia" w:ascii="Times New Roman" w:hAnsi="Times New Roman" w:eastAsia="宋体"/>
          <w:color w:val="000000" w:themeColor="text1"/>
          <w:spacing w:val="0"/>
          <w:sz w:val="24"/>
          <w:highlight w:val="none"/>
          <w:lang w:val="en-US" w:eastAsia="zh-CN"/>
          <w14:textFill>
            <w14:solidFill>
              <w14:schemeClr w14:val="tx1"/>
            </w14:solidFill>
          </w14:textFill>
        </w:rPr>
        <w:t>地下电缆线路采用类比预测的方式，架空输电线路</w:t>
      </w:r>
      <w:r>
        <w:rPr>
          <w:rFonts w:ascii="Times New Roman" w:hAnsi="Times New Roman" w:eastAsia="宋体"/>
          <w:color w:val="000000" w:themeColor="text1"/>
          <w:spacing w:val="0"/>
          <w:sz w:val="24"/>
          <w:highlight w:val="none"/>
          <w14:textFill>
            <w14:solidFill>
              <w14:schemeClr w14:val="tx1"/>
            </w14:solidFill>
          </w14:textFill>
        </w:rPr>
        <w:t>采用模式预测方法预测对其周围电磁环境的影响。</w:t>
      </w:r>
    </w:p>
    <w:p w14:paraId="39BC5276">
      <w:pPr>
        <w:spacing w:line="360" w:lineRule="auto"/>
        <w:ind w:firstLine="482"/>
        <w:outlineLvl w:val="9"/>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pacing w:val="0"/>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双回路地下电缆</w:t>
      </w:r>
    </w:p>
    <w:p w14:paraId="21679FAF">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①选择类比对象</w:t>
      </w:r>
    </w:p>
    <w:p w14:paraId="5ED341B3">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对</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本项目地下电缆段的</w:t>
      </w:r>
      <w:r>
        <w:rPr>
          <w:rFonts w:hint="default" w:ascii="Times New Roman" w:hAnsi="Times New Roman" w:eastAsia="宋体" w:cs="Times New Roman"/>
          <w:color w:val="000000" w:themeColor="text1"/>
          <w:spacing w:val="0"/>
          <w:sz w:val="24"/>
          <w:highlight w:val="none"/>
          <w14:textFill>
            <w14:solidFill>
              <w14:schemeClr w14:val="tx1"/>
            </w14:solidFill>
          </w14:textFill>
        </w:rPr>
        <w:t>电磁环境影响预测，选取同规模已运行电缆线路进行类比监测的方法来分析</w:t>
      </w:r>
      <w:r>
        <w:rPr>
          <w:rFonts w:hint="default" w:ascii="Times New Roman" w:hAnsi="Times New Roman" w:eastAsia="宋体" w:cs="Times New Roman"/>
          <w:b w:val="0"/>
          <w:bCs w:val="0"/>
          <w:color w:val="000000" w:themeColor="text1"/>
          <w:spacing w:val="0"/>
          <w:sz w:val="24"/>
          <w:highlight w:val="none"/>
          <w:lang w:val="en-US" w:eastAsia="zh-CN"/>
          <w14:textFill>
            <w14:solidFill>
              <w14:schemeClr w14:val="tx1"/>
            </w14:solidFill>
          </w14:textFill>
        </w:rPr>
        <w:t>本项目地下电缆段</w:t>
      </w:r>
      <w:r>
        <w:rPr>
          <w:rFonts w:hint="default" w:ascii="Times New Roman" w:hAnsi="Times New Roman" w:eastAsia="宋体" w:cs="Times New Roman"/>
          <w:color w:val="000000" w:themeColor="text1"/>
          <w:spacing w:val="0"/>
          <w:sz w:val="24"/>
          <w:highlight w:val="none"/>
          <w14:textFill>
            <w14:solidFill>
              <w14:schemeClr w14:val="tx1"/>
            </w14:solidFill>
          </w14:textFill>
        </w:rPr>
        <w:t>线路产生的电磁对周围环境的影响。类比监测线路选择已运行的</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110千伏塘牵线7#-8#杆塔间地下电缆进行类比，</w:t>
      </w:r>
      <w:r>
        <w:rPr>
          <w:rFonts w:hint="default" w:ascii="Times New Roman" w:hAnsi="Times New Roman" w:eastAsia="宋体" w:cs="Times New Roman"/>
          <w:color w:val="000000" w:themeColor="text1"/>
          <w:spacing w:val="0"/>
          <w:sz w:val="24"/>
          <w:highlight w:val="none"/>
          <w14:textFill>
            <w14:solidFill>
              <w14:schemeClr w14:val="tx1"/>
            </w14:solidFill>
          </w14:textFill>
        </w:rPr>
        <w:t>监测结果引用《</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宁夏中卫迎水桥~甘塘牵引站π入甘塘变110千伏线路新建工程竣工环保验收监测</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报告</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pacing w:val="0"/>
          <w:sz w:val="24"/>
          <w:highlight w:val="none"/>
          <w14:textFill>
            <w14:solidFill>
              <w14:schemeClr w14:val="tx1"/>
            </w14:solidFill>
          </w14:textFill>
        </w:rPr>
        <w:t>对</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塘牵线7#-8#杆塔间地下电缆</w:t>
      </w:r>
      <w:r>
        <w:rPr>
          <w:rFonts w:hint="default" w:ascii="Times New Roman" w:hAnsi="Times New Roman" w:eastAsia="宋体" w:cs="Times New Roman"/>
          <w:color w:val="000000" w:themeColor="text1"/>
          <w:spacing w:val="0"/>
          <w:sz w:val="24"/>
          <w:highlight w:val="none"/>
          <w14:textFill>
            <w14:solidFill>
              <w14:schemeClr w14:val="tx1"/>
            </w14:solidFill>
          </w14:textFill>
        </w:rPr>
        <w:t>的监测数据</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highlight w:val="none"/>
          <w14:textFill>
            <w14:solidFill>
              <w14:schemeClr w14:val="tx1"/>
            </w14:solidFill>
          </w14:textFill>
        </w:rPr>
        <w:t>详见附件</w:t>
      </w:r>
      <w:r>
        <w:rPr>
          <w:rFonts w:hint="eastAsia" w:cs="Times New Roman"/>
          <w:color w:val="000000" w:themeColor="text1"/>
          <w:spacing w:val="0"/>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32732A4F">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电缆线路产生的电磁主要与线路电压等级有关，类比电缆线路与本项目新建电缆线路电压等级</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、回路数</w:t>
      </w:r>
      <w:r>
        <w:rPr>
          <w:rFonts w:hint="default" w:ascii="Times New Roman" w:hAnsi="Times New Roman" w:eastAsia="宋体" w:cs="Times New Roman"/>
          <w:color w:val="000000" w:themeColor="text1"/>
          <w:spacing w:val="0"/>
          <w:sz w:val="24"/>
          <w:highlight w:val="none"/>
          <w14:textFill>
            <w14:solidFill>
              <w14:schemeClr w14:val="tx1"/>
            </w14:solidFill>
          </w14:textFill>
        </w:rPr>
        <w:t>一致，因此，类比电缆线路的电磁监测结果能够较好的反应本项目新建电缆线路运行后产生的电磁影响。</w:t>
      </w:r>
    </w:p>
    <w:p w14:paraId="27CC7490">
      <w:pPr>
        <w:widowControl/>
        <w:jc w:val="center"/>
        <w:outlineLvl w:val="9"/>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专题表</w:t>
      </w: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 xml:space="preserve">  类比情况一览表</w:t>
      </w:r>
    </w:p>
    <w:tbl>
      <w:tblPr>
        <w:tblStyle w:val="26"/>
        <w:tblW w:w="78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3275"/>
        <w:gridCol w:w="3212"/>
      </w:tblGrid>
      <w:tr w14:paraId="6D1BF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67D53BD0">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项目</w:t>
            </w:r>
          </w:p>
        </w:tc>
        <w:tc>
          <w:tcPr>
            <w:tcW w:w="3275" w:type="dxa"/>
            <w:noWrap w:val="0"/>
            <w:vAlign w:val="center"/>
          </w:tcPr>
          <w:p w14:paraId="694D4740">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本项目地下电缆</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110千伏线路</w:t>
            </w:r>
          </w:p>
        </w:tc>
        <w:tc>
          <w:tcPr>
            <w:tcW w:w="3212" w:type="dxa"/>
            <w:noWrap w:val="0"/>
            <w:vAlign w:val="center"/>
          </w:tcPr>
          <w:p w14:paraId="5A95E129">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塘牵线7#-8#杆塔间地下电缆地下电缆段</w:t>
            </w:r>
          </w:p>
        </w:tc>
      </w:tr>
      <w:tr w14:paraId="31D68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27BD96C1">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所在位置</w:t>
            </w:r>
          </w:p>
        </w:tc>
        <w:tc>
          <w:tcPr>
            <w:tcW w:w="3275" w:type="dxa"/>
            <w:noWrap w:val="0"/>
            <w:vAlign w:val="center"/>
          </w:tcPr>
          <w:p w14:paraId="48CE9539">
            <w:pPr>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3212" w:type="dxa"/>
            <w:noWrap w:val="0"/>
            <w:vAlign w:val="center"/>
          </w:tcPr>
          <w:p w14:paraId="0380F4FA">
            <w:pPr>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r>
      <w:tr w14:paraId="1CDF2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7E54C368">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回路</w:t>
            </w:r>
          </w:p>
        </w:tc>
        <w:tc>
          <w:tcPr>
            <w:tcW w:w="3275" w:type="dxa"/>
            <w:noWrap w:val="0"/>
            <w:vAlign w:val="center"/>
          </w:tcPr>
          <w:p w14:paraId="1DC60DF6">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双</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回路</w:t>
            </w:r>
          </w:p>
        </w:tc>
        <w:tc>
          <w:tcPr>
            <w:tcW w:w="3212" w:type="dxa"/>
            <w:noWrap w:val="0"/>
            <w:vAlign w:val="center"/>
          </w:tcPr>
          <w:p w14:paraId="34F34B4C">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双</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回路</w:t>
            </w:r>
          </w:p>
        </w:tc>
      </w:tr>
      <w:tr w14:paraId="21726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7A3F168E">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电压等级</w:t>
            </w:r>
          </w:p>
        </w:tc>
        <w:tc>
          <w:tcPr>
            <w:tcW w:w="3275" w:type="dxa"/>
            <w:noWrap w:val="0"/>
            <w:vAlign w:val="center"/>
          </w:tcPr>
          <w:p w14:paraId="25223DD2">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0kV</w:t>
            </w:r>
          </w:p>
        </w:tc>
        <w:tc>
          <w:tcPr>
            <w:tcW w:w="3212" w:type="dxa"/>
            <w:noWrap w:val="0"/>
            <w:vAlign w:val="center"/>
          </w:tcPr>
          <w:p w14:paraId="5563FE02">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0kV</w:t>
            </w:r>
          </w:p>
        </w:tc>
      </w:tr>
      <w:tr w14:paraId="02BD7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4B190BC8">
            <w:pPr>
              <w:pStyle w:val="45"/>
              <w:spacing w:line="240" w:lineRule="atLeast"/>
              <w:ind w:firstLine="0" w:firstLineChars="0"/>
              <w:jc w:val="center"/>
              <w:textAlignment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环境条件</w:t>
            </w:r>
          </w:p>
        </w:tc>
        <w:tc>
          <w:tcPr>
            <w:tcW w:w="6487" w:type="dxa"/>
            <w:gridSpan w:val="2"/>
            <w:noWrap w:val="0"/>
            <w:vAlign w:val="center"/>
          </w:tcPr>
          <w:p w14:paraId="3BFA981D">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均位于宁夏，地势开阔，环境条件相似</w:t>
            </w:r>
          </w:p>
        </w:tc>
      </w:tr>
    </w:tbl>
    <w:p w14:paraId="67740461">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②类比监测单位</w:t>
      </w:r>
    </w:p>
    <w:p w14:paraId="1C7559F5">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宁夏盛世蓝天环保技术有限公司</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402C85D7">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③类比监测项目</w:t>
      </w:r>
    </w:p>
    <w:p w14:paraId="7A0F0787">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工频电场、工频磁场。</w:t>
      </w:r>
    </w:p>
    <w:p w14:paraId="10859187">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④类比监测方法</w:t>
      </w:r>
    </w:p>
    <w:p w14:paraId="5193D815">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按《交流输变电工程电磁环境监测方法》（试行）（HJ681-2013）进行监测。采用类比分析方法评价电缆线路运行后产生的电磁对周围环境的影响。</w:t>
      </w:r>
    </w:p>
    <w:p w14:paraId="13699516">
      <w:pPr>
        <w:spacing w:line="360" w:lineRule="auto"/>
        <w:ind w:firstLine="482"/>
        <w:outlineLvl w:val="9"/>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⑤类比监测仪器</w:t>
      </w:r>
    </w:p>
    <w:p w14:paraId="3D1199B0">
      <w:pPr>
        <w:pStyle w:val="7"/>
        <w:outlineLvl w:val="9"/>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电磁监测仪器：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SEM-600-LF-01</w:t>
      </w:r>
      <w:r>
        <w:rPr>
          <w:rFonts w:hint="eastAsia" w:cs="Times New Roman"/>
          <w:color w:val="000000" w:themeColor="text1"/>
          <w:spacing w:val="0"/>
          <w:sz w:val="24"/>
          <w:szCs w:val="24"/>
          <w:highlight w:val="none"/>
          <w:lang w:val="en-US" w:eastAsia="zh-CN"/>
          <w14:textFill>
            <w14:solidFill>
              <w14:schemeClr w14:val="tx1"/>
            </w14:solidFill>
          </w14:textFill>
        </w:rPr>
        <w:t xml:space="preserve">D </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电磁场探头和读出装置</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p>
    <w:p w14:paraId="64A3B37B">
      <w:pPr>
        <w:pStyle w:val="7"/>
        <w:outlineLvl w:val="9"/>
        <w:rPr>
          <w:rFonts w:hint="default" w:ascii="Times New Roman" w:hAnsi="Times New Roman" w:eastAsia="宋体" w:cs="Times New Roman"/>
          <w:bCs/>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测量范围：工频电场</w:t>
      </w:r>
      <w:r>
        <w:rPr>
          <w:rFonts w:hint="eastAsia" w:cs="Times New Roman"/>
          <w:color w:val="000000" w:themeColor="text1"/>
          <w:spacing w:val="0"/>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V/m-</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kV/m，工频磁场</w:t>
      </w:r>
      <w:r>
        <w:rPr>
          <w:rFonts w:hint="eastAsia" w:cs="Times New Roman"/>
          <w:color w:val="000000" w:themeColor="text1"/>
          <w:spacing w:val="0"/>
          <w:sz w:val="24"/>
          <w:szCs w:val="24"/>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nT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eastAsia" w:cs="Times New Roman"/>
          <w:color w:val="000000" w:themeColor="text1"/>
          <w:spacing w:val="0"/>
          <w:sz w:val="24"/>
          <w:szCs w:val="24"/>
          <w:highlight w:val="none"/>
          <w:lang w:val="en-US" w:eastAsia="zh-CN"/>
          <w14:textFill>
            <w14:solidFill>
              <w14:schemeClr w14:val="tx1"/>
            </w14:solidFill>
          </w14:textFill>
        </w:rPr>
        <w:t>10m</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p>
    <w:p w14:paraId="45C39A29">
      <w:pPr>
        <w:spacing w:line="360" w:lineRule="auto"/>
        <w:ind w:firstLine="482"/>
        <w:outlineLvl w:val="9"/>
        <w:rPr>
          <w:rFonts w:hint="default" w:ascii="Times New Roman" w:hAnsi="Times New Roman" w:eastAsia="宋体" w:cs="Times New Roman"/>
          <w:bCs/>
          <w:color w:val="000000" w:themeColor="text1"/>
          <w:spacing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sz w:val="24"/>
          <w:highlight w:val="none"/>
          <w14:textFill>
            <w14:solidFill>
              <w14:schemeClr w14:val="tx1"/>
            </w14:solidFill>
          </w14:textFill>
        </w:rPr>
        <w:t>⑥类比监测点位</w:t>
      </w:r>
    </w:p>
    <w:p w14:paraId="358D9D14">
      <w:pPr>
        <w:spacing w:line="360" w:lineRule="auto"/>
        <w:ind w:firstLine="482"/>
        <w:outlineLvl w:val="9"/>
        <w:rPr>
          <w:rFonts w:hint="default" w:ascii="Times New Roman" w:hAnsi="Times New Roman" w:eastAsia="宋体" w:cs="Times New Roman"/>
          <w:bCs/>
          <w:color w:val="000000" w:themeColor="text1"/>
          <w:spacing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sz w:val="24"/>
          <w:highlight w:val="none"/>
          <w14:textFill>
            <w14:solidFill>
              <w14:schemeClr w14:val="tx1"/>
            </w14:solidFill>
          </w14:textFill>
        </w:rPr>
        <w:t>监测布点在电缆线路中心正上方监测一个点位，然后从电缆沟边缘的地面为起点，沿垂直于线路方向进行监测，每1m布置一个监测点位，测至电缆管廊一侧边缘各外延5m处为止。</w:t>
      </w:r>
    </w:p>
    <w:p w14:paraId="328185DE">
      <w:pPr>
        <w:pStyle w:val="7"/>
        <w:keepNext w:val="0"/>
        <w:keepLines w:val="0"/>
        <w:pageBreakBefore w:val="0"/>
        <w:widowControl w:val="0"/>
        <w:kinsoku/>
        <w:wordWrap/>
        <w:overflowPunct/>
        <w:topLinePunct w:val="0"/>
        <w:autoSpaceDE/>
        <w:autoSpaceDN/>
        <w:bidi w:val="0"/>
        <w:adjustRightInd/>
        <w:snapToGrid/>
        <w:ind w:left="0" w:leftChars="0" w:firstLine="0"/>
        <w:jc w:val="center"/>
        <w:textAlignment w:val="auto"/>
        <w:outlineLvl w:val="9"/>
        <w:rPr>
          <w:rFonts w:hint="eastAsia" w:ascii="Times New Roman" w:hAnsi="Times New Roman" w:eastAsia="宋体" w:cs="Times New Roman"/>
          <w:bCs/>
          <w:color w:val="000000" w:themeColor="text1"/>
          <w:spacing w:val="0"/>
          <w:sz w:val="24"/>
          <w:highlight w:val="none"/>
          <w:lang w:eastAsia="zh-CN"/>
          <w14:textFill>
            <w14:solidFill>
              <w14:schemeClr w14:val="tx1"/>
            </w14:solidFill>
          </w14:textFill>
        </w:rPr>
      </w:pPr>
    </w:p>
    <w:p w14:paraId="318E7FAC">
      <w:pPr>
        <w:spacing w:line="360" w:lineRule="auto"/>
        <w:jc w:val="center"/>
        <w:outlineLvl w:val="9"/>
        <w:rPr>
          <w:rFonts w:hint="default" w:ascii="Times New Roman" w:hAnsi="Times New Roman" w:eastAsia="宋体" w:cs="Times New Roman"/>
          <w:b/>
          <w:bCs/>
          <w:color w:val="000000" w:themeColor="text1"/>
          <w:spacing w:val="0"/>
          <w:sz w:val="24"/>
          <w:highlight w:val="none"/>
          <w14:textFill>
            <w14:solidFill>
              <w14:schemeClr w14:val="tx1"/>
            </w14:solidFill>
          </w14:textFill>
        </w:rPr>
      </w:pPr>
      <w:r>
        <w:rPr>
          <w:rFonts w:hint="default" w:ascii="Times New Roman" w:hAnsi="Times New Roman" w:eastAsia="宋体" w:cs="Times New Roman"/>
          <w:b/>
          <w:bCs/>
          <w:color w:val="000000" w:themeColor="text1"/>
          <w:spacing w:val="0"/>
          <w:sz w:val="24"/>
          <w:highlight w:val="none"/>
          <w14:textFill>
            <w14:solidFill>
              <w14:schemeClr w14:val="tx1"/>
            </w14:solidFill>
          </w14:textFill>
        </w:rPr>
        <w:t>专题图</w:t>
      </w: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 xml:space="preserve">  类比地下电缆电磁监测断面示意图</w:t>
      </w:r>
    </w:p>
    <w:p w14:paraId="2E8EDF23">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⑦类比监测条件</w:t>
      </w:r>
    </w:p>
    <w:p w14:paraId="4F545260">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类比监测时间：20</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2</w:t>
      </w:r>
      <w:r>
        <w:rPr>
          <w:rFonts w:hint="eastAsia" w:cs="Times New Roman"/>
          <w:color w:val="000000" w:themeColor="text1"/>
          <w:spacing w:val="0"/>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highlight w:val="none"/>
          <w14:textFill>
            <w14:solidFill>
              <w14:schemeClr w14:val="tx1"/>
            </w14:solidFill>
          </w14:textFill>
        </w:rPr>
        <w:t>年</w:t>
      </w:r>
      <w:r>
        <w:rPr>
          <w:rFonts w:hint="eastAsia" w:cs="Times New Roman"/>
          <w:color w:val="000000" w:themeColor="text1"/>
          <w:spacing w:val="0"/>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highlight w:val="none"/>
          <w14:textFill>
            <w14:solidFill>
              <w14:schemeClr w14:val="tx1"/>
            </w14:solidFill>
          </w14:textFill>
        </w:rPr>
        <w:t>月</w:t>
      </w:r>
      <w:r>
        <w:rPr>
          <w:rFonts w:hint="eastAsia" w:cs="Times New Roman"/>
          <w:color w:val="000000" w:themeColor="text1"/>
          <w:spacing w:val="0"/>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0"/>
          <w:sz w:val="24"/>
          <w:highlight w:val="none"/>
          <w14:textFill>
            <w14:solidFill>
              <w14:schemeClr w14:val="tx1"/>
            </w14:solidFill>
          </w14:textFill>
        </w:rPr>
        <w:t>日。</w:t>
      </w:r>
    </w:p>
    <w:p w14:paraId="34048D19">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昼间天气晴，温度</w:t>
      </w:r>
      <w:r>
        <w:rPr>
          <w:rFonts w:hint="eastAsia" w:cs="Times New Roman"/>
          <w:color w:val="000000" w:themeColor="text1"/>
          <w:spacing w:val="0"/>
          <w:sz w:val="24"/>
          <w:highlight w:val="none"/>
          <w:lang w:val="en-US" w:eastAsia="zh-CN"/>
          <w14:textFill>
            <w14:solidFill>
              <w14:schemeClr w14:val="tx1"/>
            </w14:solidFill>
          </w14:textFill>
        </w:rPr>
        <w:t>23.6</w:t>
      </w:r>
      <w:r>
        <w:rPr>
          <w:rFonts w:hint="default" w:ascii="Times New Roman" w:hAnsi="Times New Roman" w:eastAsia="宋体" w:cs="Times New Roman"/>
          <w:color w:val="000000" w:themeColor="text1"/>
          <w:spacing w:val="0"/>
          <w:sz w:val="24"/>
          <w:highlight w:val="none"/>
          <w14:textFill>
            <w14:solidFill>
              <w14:schemeClr w14:val="tx1"/>
            </w14:solidFill>
          </w14:textFill>
        </w:rPr>
        <w:t>℃，湿度</w:t>
      </w:r>
      <w:r>
        <w:rPr>
          <w:rFonts w:hint="eastAsia" w:cs="Times New Roman"/>
          <w:color w:val="000000" w:themeColor="text1"/>
          <w:spacing w:val="0"/>
          <w:sz w:val="24"/>
          <w:highlight w:val="none"/>
          <w:lang w:val="en-US" w:eastAsia="zh-CN"/>
          <w14:textFill>
            <w14:solidFill>
              <w14:schemeClr w14:val="tx1"/>
            </w14:solidFill>
          </w14:textFill>
        </w:rPr>
        <w:t>30.4</w:t>
      </w:r>
      <w:r>
        <w:rPr>
          <w:rFonts w:hint="default" w:ascii="Times New Roman" w:hAnsi="Times New Roman" w:eastAsia="宋体" w:cs="Times New Roman"/>
          <w:color w:val="000000" w:themeColor="text1"/>
          <w:spacing w:val="0"/>
          <w:sz w:val="24"/>
          <w:highlight w:val="none"/>
          <w14:textFill>
            <w14:solidFill>
              <w14:schemeClr w14:val="tx1"/>
            </w14:solidFill>
          </w14:textFill>
        </w:rPr>
        <w:t>%，风速</w:t>
      </w:r>
      <w:r>
        <w:rPr>
          <w:rFonts w:hint="eastAsia" w:cs="Times New Roman"/>
          <w:color w:val="000000" w:themeColor="text1"/>
          <w:spacing w:val="0"/>
          <w:sz w:val="24"/>
          <w:highlight w:val="none"/>
          <w:lang w:val="en-US" w:eastAsia="zh-CN"/>
          <w14:textFill>
            <w14:solidFill>
              <w14:schemeClr w14:val="tx1"/>
            </w14:solidFill>
          </w14:textFill>
        </w:rPr>
        <w:t>2.1m/s</w:t>
      </w:r>
      <w:r>
        <w:rPr>
          <w:rFonts w:hint="default" w:ascii="Times New Roman" w:hAnsi="Times New Roman" w:eastAsia="宋体" w:cs="Times New Roman"/>
          <w:color w:val="000000" w:themeColor="text1"/>
          <w:spacing w:val="0"/>
          <w:sz w:val="24"/>
          <w:highlight w:val="none"/>
          <w14:textFill>
            <w14:solidFill>
              <w14:schemeClr w14:val="tx1"/>
            </w14:solidFill>
          </w14:textFill>
        </w:rPr>
        <w:t>，大气压8</w:t>
      </w:r>
      <w:r>
        <w:rPr>
          <w:rFonts w:hint="eastAsia" w:cs="Times New Roman"/>
          <w:color w:val="000000" w:themeColor="text1"/>
          <w:spacing w:val="0"/>
          <w:sz w:val="24"/>
          <w:highlight w:val="none"/>
          <w:lang w:val="en-US" w:eastAsia="zh-CN"/>
          <w14:textFill>
            <w14:solidFill>
              <w14:schemeClr w14:val="tx1"/>
            </w14:solidFill>
          </w14:textFill>
        </w:rPr>
        <w:t>73.3</w:t>
      </w:r>
      <w:r>
        <w:rPr>
          <w:rFonts w:hint="default" w:ascii="Times New Roman" w:hAnsi="Times New Roman" w:eastAsia="宋体" w:cs="Times New Roman"/>
          <w:color w:val="000000" w:themeColor="text1"/>
          <w:spacing w:val="0"/>
          <w:sz w:val="24"/>
          <w:highlight w:val="none"/>
          <w14:textFill>
            <w14:solidFill>
              <w14:schemeClr w14:val="tx1"/>
            </w14:solidFill>
          </w14:textFill>
        </w:rPr>
        <w:t>hPa；夜间天气晴，温度</w:t>
      </w:r>
      <w:r>
        <w:rPr>
          <w:rFonts w:hint="eastAsia" w:cs="Times New Roman"/>
          <w:color w:val="000000" w:themeColor="text1"/>
          <w:spacing w:val="0"/>
          <w:sz w:val="24"/>
          <w:highlight w:val="none"/>
          <w:lang w:val="en-US" w:eastAsia="zh-CN"/>
          <w14:textFill>
            <w14:solidFill>
              <w14:schemeClr w14:val="tx1"/>
            </w14:solidFill>
          </w14:textFill>
        </w:rPr>
        <w:t>12.4</w:t>
      </w:r>
      <w:r>
        <w:rPr>
          <w:rFonts w:hint="default" w:ascii="Times New Roman" w:hAnsi="Times New Roman" w:eastAsia="宋体" w:cs="Times New Roman"/>
          <w:color w:val="000000" w:themeColor="text1"/>
          <w:spacing w:val="0"/>
          <w:sz w:val="24"/>
          <w:highlight w:val="none"/>
          <w14:textFill>
            <w14:solidFill>
              <w14:schemeClr w14:val="tx1"/>
            </w14:solidFill>
          </w14:textFill>
        </w:rPr>
        <w:t>℃，湿度</w:t>
      </w:r>
      <w:r>
        <w:rPr>
          <w:rFonts w:hint="eastAsia" w:cs="Times New Roman"/>
          <w:color w:val="000000" w:themeColor="text1"/>
          <w:spacing w:val="0"/>
          <w:sz w:val="24"/>
          <w:highlight w:val="none"/>
          <w:lang w:val="en-US" w:eastAsia="zh-CN"/>
          <w14:textFill>
            <w14:solidFill>
              <w14:schemeClr w14:val="tx1"/>
            </w14:solidFill>
          </w14:textFill>
        </w:rPr>
        <w:t>33.1</w:t>
      </w:r>
      <w:r>
        <w:rPr>
          <w:rFonts w:hint="default" w:ascii="Times New Roman" w:hAnsi="Times New Roman" w:eastAsia="宋体" w:cs="Times New Roman"/>
          <w:color w:val="000000" w:themeColor="text1"/>
          <w:spacing w:val="0"/>
          <w:sz w:val="24"/>
          <w:highlight w:val="none"/>
          <w14:textFill>
            <w14:solidFill>
              <w14:schemeClr w14:val="tx1"/>
            </w14:solidFill>
          </w14:textFill>
        </w:rPr>
        <w:t>%，风速</w:t>
      </w:r>
      <w:r>
        <w:rPr>
          <w:rFonts w:hint="eastAsia" w:cs="Times New Roman"/>
          <w:color w:val="000000" w:themeColor="text1"/>
          <w:spacing w:val="0"/>
          <w:sz w:val="24"/>
          <w:highlight w:val="none"/>
          <w:lang w:val="en-US" w:eastAsia="zh-CN"/>
          <w14:textFill>
            <w14:solidFill>
              <w14:schemeClr w14:val="tx1"/>
            </w14:solidFill>
          </w14:textFill>
        </w:rPr>
        <w:t>1.9m/s</w:t>
      </w:r>
      <w:r>
        <w:rPr>
          <w:rFonts w:hint="default" w:ascii="Times New Roman" w:hAnsi="Times New Roman" w:eastAsia="宋体" w:cs="Times New Roman"/>
          <w:color w:val="000000" w:themeColor="text1"/>
          <w:spacing w:val="0"/>
          <w:sz w:val="24"/>
          <w:highlight w:val="none"/>
          <w14:textFill>
            <w14:solidFill>
              <w14:schemeClr w14:val="tx1"/>
            </w14:solidFill>
          </w14:textFill>
        </w:rPr>
        <w:t>，大气压</w:t>
      </w:r>
      <w:r>
        <w:rPr>
          <w:rFonts w:hint="eastAsia" w:cs="Times New Roman"/>
          <w:color w:val="000000" w:themeColor="text1"/>
          <w:spacing w:val="0"/>
          <w:sz w:val="24"/>
          <w:highlight w:val="none"/>
          <w:lang w:val="en-US" w:eastAsia="zh-CN"/>
          <w14:textFill>
            <w14:solidFill>
              <w14:schemeClr w14:val="tx1"/>
            </w14:solidFill>
          </w14:textFill>
        </w:rPr>
        <w:t>876.5</w:t>
      </w:r>
      <w:r>
        <w:rPr>
          <w:rFonts w:hint="default" w:ascii="Times New Roman" w:hAnsi="Times New Roman" w:eastAsia="宋体" w:cs="Times New Roman"/>
          <w:color w:val="000000" w:themeColor="text1"/>
          <w:spacing w:val="0"/>
          <w:sz w:val="24"/>
          <w:highlight w:val="none"/>
          <w14:textFill>
            <w14:solidFill>
              <w14:schemeClr w14:val="tx1"/>
            </w14:solidFill>
          </w14:textFill>
        </w:rPr>
        <w:t>hPa。</w:t>
      </w:r>
    </w:p>
    <w:p w14:paraId="3098829A">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⑧类比运行工况</w:t>
      </w:r>
    </w:p>
    <w:p w14:paraId="42FE06E5">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监测期间运行工况见专题表</w:t>
      </w:r>
      <w:r>
        <w:rPr>
          <w:rFonts w:hint="eastAsia" w:cs="Times New Roman"/>
          <w:color w:val="000000" w:themeColor="text1"/>
          <w:spacing w:val="0"/>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5C90D07F">
      <w:pPr>
        <w:widowControl/>
        <w:jc w:val="center"/>
        <w:outlineLvl w:val="9"/>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专题表</w:t>
      </w: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 xml:space="preserve">  类比线路监测期间运行工况一览表</w:t>
      </w:r>
    </w:p>
    <w:tbl>
      <w:tblPr>
        <w:tblStyle w:val="26"/>
        <w:tblW w:w="88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991"/>
        <w:gridCol w:w="1695"/>
        <w:gridCol w:w="1555"/>
        <w:gridCol w:w="1730"/>
        <w:gridCol w:w="1847"/>
      </w:tblGrid>
      <w:tr w14:paraId="088DE4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3" w:hRule="atLeast"/>
          <w:jc w:val="center"/>
        </w:trPr>
        <w:tc>
          <w:tcPr>
            <w:tcW w:w="1991" w:type="dxa"/>
            <w:tcBorders>
              <w:tl2br w:val="nil"/>
              <w:tr2bl w:val="nil"/>
            </w:tcBorders>
            <w:shd w:val="clear" w:color="auto" w:fill="auto"/>
            <w:vAlign w:val="center"/>
          </w:tcPr>
          <w:p w14:paraId="38D275AC">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ascii="宋体" w:hAnsi="宋体" w:eastAsia="宋体" w:cs="宋体"/>
                <w:b/>
                <w:bCs/>
                <w:i w:val="0"/>
                <w:iCs w:val="0"/>
                <w:color w:val="000000" w:themeColor="text1"/>
                <w:sz w:val="21"/>
                <w:szCs w:val="21"/>
                <w:u w:val="none"/>
                <w14:textFill>
                  <w14:solidFill>
                    <w14:schemeClr w14:val="tx1"/>
                  </w14:solidFill>
                </w14:textFill>
              </w:rPr>
            </w:pPr>
            <w:r>
              <w:rPr>
                <w:rFonts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名称</w:t>
            </w:r>
          </w:p>
        </w:tc>
        <w:tc>
          <w:tcPr>
            <w:tcW w:w="1695" w:type="dxa"/>
            <w:tcBorders>
              <w:tl2br w:val="nil"/>
              <w:tr2bl w:val="nil"/>
            </w:tcBorders>
            <w:shd w:val="clear" w:color="auto" w:fill="auto"/>
            <w:vAlign w:val="center"/>
          </w:tcPr>
          <w:p w14:paraId="3CF8130E">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ascii="宋体" w:hAnsi="宋体" w:eastAsia="宋体" w:cs="宋体"/>
                <w:b/>
                <w:bCs/>
                <w:i w:val="0"/>
                <w:iCs w:val="0"/>
                <w:color w:val="000000" w:themeColor="text1"/>
                <w:sz w:val="21"/>
                <w:szCs w:val="21"/>
                <w:u w:val="none"/>
                <w14:textFill>
                  <w14:solidFill>
                    <w14:schemeClr w14:val="tx1"/>
                  </w14:solidFill>
                </w14:textFill>
              </w:rPr>
            </w:pPr>
            <w:r>
              <w:rPr>
                <w:rFonts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运行电压</w:t>
            </w:r>
            <w:r>
              <w:rPr>
                <w:rStyle w:val="56"/>
                <w:rFonts w:eastAsia="宋体"/>
                <w:color w:val="000000" w:themeColor="text1"/>
                <w:sz w:val="21"/>
                <w:szCs w:val="21"/>
                <w:lang w:val="en-US" w:eastAsia="zh-CN" w:bidi="ar"/>
                <w14:textFill>
                  <w14:solidFill>
                    <w14:schemeClr w14:val="tx1"/>
                  </w14:solidFill>
                </w14:textFill>
              </w:rPr>
              <w:t>(kV)</w:t>
            </w:r>
          </w:p>
        </w:tc>
        <w:tc>
          <w:tcPr>
            <w:tcW w:w="1555" w:type="dxa"/>
            <w:tcBorders>
              <w:tl2br w:val="nil"/>
              <w:tr2bl w:val="nil"/>
            </w:tcBorders>
            <w:shd w:val="clear" w:color="auto" w:fill="auto"/>
            <w:vAlign w:val="center"/>
          </w:tcPr>
          <w:p w14:paraId="4505C5B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ascii="宋体" w:hAnsi="宋体" w:eastAsia="宋体" w:cs="宋体"/>
                <w:b/>
                <w:bCs/>
                <w:i w:val="0"/>
                <w:iCs w:val="0"/>
                <w:color w:val="000000" w:themeColor="text1"/>
                <w:sz w:val="21"/>
                <w:szCs w:val="21"/>
                <w:u w:val="none"/>
                <w14:textFill>
                  <w14:solidFill>
                    <w14:schemeClr w14:val="tx1"/>
                  </w14:solidFill>
                </w14:textFill>
              </w:rPr>
            </w:pPr>
            <w:r>
              <w:rPr>
                <w:rFonts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运行电流</w:t>
            </w:r>
            <w:r>
              <w:rPr>
                <w:rStyle w:val="56"/>
                <w:rFonts w:eastAsia="宋体"/>
                <w:color w:val="000000" w:themeColor="text1"/>
                <w:sz w:val="21"/>
                <w:szCs w:val="21"/>
                <w:lang w:val="en-US" w:eastAsia="zh-CN" w:bidi="ar"/>
                <w14:textFill>
                  <w14:solidFill>
                    <w14:schemeClr w14:val="tx1"/>
                  </w14:solidFill>
                </w14:textFill>
              </w:rPr>
              <w:t>(A)</w:t>
            </w:r>
          </w:p>
        </w:tc>
        <w:tc>
          <w:tcPr>
            <w:tcW w:w="1730" w:type="dxa"/>
            <w:tcBorders>
              <w:tl2br w:val="nil"/>
              <w:tr2bl w:val="nil"/>
            </w:tcBorders>
            <w:shd w:val="clear" w:color="auto" w:fill="auto"/>
            <w:vAlign w:val="center"/>
          </w:tcPr>
          <w:p w14:paraId="174511A5">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ascii="宋体" w:hAnsi="宋体" w:eastAsia="宋体" w:cs="宋体"/>
                <w:b/>
                <w:bCs/>
                <w:i w:val="0"/>
                <w:iCs w:val="0"/>
                <w:color w:val="000000" w:themeColor="text1"/>
                <w:sz w:val="21"/>
                <w:szCs w:val="21"/>
                <w:u w:val="none"/>
                <w14:textFill>
                  <w14:solidFill>
                    <w14:schemeClr w14:val="tx1"/>
                  </w14:solidFill>
                </w14:textFill>
              </w:rPr>
            </w:pPr>
            <w:r>
              <w:rPr>
                <w:rFonts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有功功率</w:t>
            </w:r>
            <w:r>
              <w:rPr>
                <w:rStyle w:val="56"/>
                <w:rFonts w:eastAsia="宋体"/>
                <w:color w:val="000000" w:themeColor="text1"/>
                <w:sz w:val="21"/>
                <w:szCs w:val="21"/>
                <w:lang w:val="en-US" w:eastAsia="zh-CN" w:bidi="ar"/>
                <w14:textFill>
                  <w14:solidFill>
                    <w14:schemeClr w14:val="tx1"/>
                  </w14:solidFill>
                </w14:textFill>
              </w:rPr>
              <w:t>(MW)</w:t>
            </w:r>
          </w:p>
        </w:tc>
        <w:tc>
          <w:tcPr>
            <w:tcW w:w="1847" w:type="dxa"/>
            <w:tcBorders>
              <w:tl2br w:val="nil"/>
              <w:tr2bl w:val="nil"/>
            </w:tcBorders>
            <w:shd w:val="clear" w:color="auto" w:fill="auto"/>
            <w:vAlign w:val="center"/>
          </w:tcPr>
          <w:p w14:paraId="00BADA17">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ascii="宋体" w:hAnsi="宋体" w:eastAsia="宋体" w:cs="宋体"/>
                <w:b/>
                <w:bCs/>
                <w:i w:val="0"/>
                <w:iCs w:val="0"/>
                <w:color w:val="000000" w:themeColor="text1"/>
                <w:sz w:val="21"/>
                <w:szCs w:val="21"/>
                <w:u w:val="none"/>
                <w14:textFill>
                  <w14:solidFill>
                    <w14:schemeClr w14:val="tx1"/>
                  </w14:solidFill>
                </w14:textFill>
              </w:rPr>
            </w:pPr>
            <w:r>
              <w:rPr>
                <w:rFonts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无功功率</w:t>
            </w:r>
            <w:r>
              <w:rPr>
                <w:rStyle w:val="56"/>
                <w:rFonts w:eastAsia="宋体"/>
                <w:color w:val="000000" w:themeColor="text1"/>
                <w:sz w:val="21"/>
                <w:szCs w:val="21"/>
                <w:lang w:val="en-US" w:eastAsia="zh-CN" w:bidi="ar"/>
                <w14:textFill>
                  <w14:solidFill>
                    <w14:schemeClr w14:val="tx1"/>
                  </w14:solidFill>
                </w14:textFill>
              </w:rPr>
              <w:t>(Mvar)</w:t>
            </w:r>
          </w:p>
        </w:tc>
      </w:tr>
      <w:tr w14:paraId="6258BD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1991" w:type="dxa"/>
            <w:tcBorders>
              <w:tl2br w:val="nil"/>
              <w:tr2bl w:val="nil"/>
            </w:tcBorders>
            <w:shd w:val="clear" w:color="auto" w:fill="auto"/>
            <w:vAlign w:val="center"/>
          </w:tcPr>
          <w:p w14:paraId="0433D8A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w:t>
            </w:r>
            <w:r>
              <w:rPr>
                <w:rFonts w:ascii="宋体" w:hAnsi="宋体" w:eastAsia="宋体" w:cs="宋体"/>
                <w:i w:val="0"/>
                <w:iCs w:val="0"/>
                <w:color w:val="000000" w:themeColor="text1"/>
                <w:kern w:val="0"/>
                <w:sz w:val="21"/>
                <w:szCs w:val="21"/>
                <w:u w:val="none"/>
                <w:lang w:val="en-US" w:eastAsia="zh-CN" w:bidi="ar"/>
                <w14:textFill>
                  <w14:solidFill>
                    <w14:schemeClr w14:val="tx1"/>
                  </w14:solidFill>
                </w14:textFill>
              </w:rPr>
              <w:t>千伏塘牵线</w:t>
            </w:r>
          </w:p>
        </w:tc>
        <w:tc>
          <w:tcPr>
            <w:tcW w:w="1695" w:type="dxa"/>
            <w:tcBorders>
              <w:tl2br w:val="nil"/>
              <w:tr2bl w:val="nil"/>
            </w:tcBorders>
            <w:shd w:val="clear" w:color="auto" w:fill="auto"/>
            <w:vAlign w:val="center"/>
          </w:tcPr>
          <w:p w14:paraId="646D2EA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top"/>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113.8~115.9</w:t>
            </w:r>
          </w:p>
        </w:tc>
        <w:tc>
          <w:tcPr>
            <w:tcW w:w="1555" w:type="dxa"/>
            <w:tcBorders>
              <w:tl2br w:val="nil"/>
              <w:tr2bl w:val="nil"/>
            </w:tcBorders>
            <w:shd w:val="clear" w:color="auto" w:fill="auto"/>
            <w:vAlign w:val="center"/>
          </w:tcPr>
          <w:p w14:paraId="37FA1748">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top"/>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281.1~285.4</w:t>
            </w:r>
          </w:p>
        </w:tc>
        <w:tc>
          <w:tcPr>
            <w:tcW w:w="1730" w:type="dxa"/>
            <w:tcBorders>
              <w:tl2br w:val="nil"/>
              <w:tr2bl w:val="nil"/>
            </w:tcBorders>
            <w:shd w:val="clear" w:color="auto" w:fill="auto"/>
            <w:vAlign w:val="center"/>
          </w:tcPr>
          <w:p w14:paraId="1EAE968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top"/>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35.78~37.15</w:t>
            </w:r>
          </w:p>
        </w:tc>
        <w:tc>
          <w:tcPr>
            <w:tcW w:w="1847" w:type="dxa"/>
            <w:tcBorders>
              <w:tl2br w:val="nil"/>
              <w:tr2bl w:val="nil"/>
            </w:tcBorders>
            <w:shd w:val="clear" w:color="auto" w:fill="auto"/>
            <w:vAlign w:val="center"/>
          </w:tcPr>
          <w:p w14:paraId="7E408C1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top"/>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8.75~9.18</w:t>
            </w:r>
          </w:p>
        </w:tc>
      </w:tr>
      <w:tr w14:paraId="59488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1991" w:type="dxa"/>
            <w:tcBorders>
              <w:tl2br w:val="nil"/>
              <w:tr2bl w:val="nil"/>
            </w:tcBorders>
            <w:shd w:val="clear" w:color="auto" w:fill="auto"/>
            <w:vAlign w:val="center"/>
          </w:tcPr>
          <w:p w14:paraId="3AB23DC2">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center"/>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w:t>
            </w:r>
            <w:r>
              <w:rPr>
                <w:rFonts w:ascii="宋体" w:hAnsi="宋体" w:eastAsia="宋体" w:cs="宋体"/>
                <w:i w:val="0"/>
                <w:iCs w:val="0"/>
                <w:color w:val="000000" w:themeColor="text1"/>
                <w:kern w:val="0"/>
                <w:sz w:val="21"/>
                <w:szCs w:val="21"/>
                <w:u w:val="none"/>
                <w:lang w:val="en-US" w:eastAsia="zh-CN" w:bidi="ar"/>
                <w14:textFill>
                  <w14:solidFill>
                    <w14:schemeClr w14:val="tx1"/>
                  </w14:solidFill>
                </w14:textFill>
              </w:rPr>
              <w:t>千伏桥塘二线</w:t>
            </w:r>
          </w:p>
        </w:tc>
        <w:tc>
          <w:tcPr>
            <w:tcW w:w="1695" w:type="dxa"/>
            <w:tcBorders>
              <w:tl2br w:val="nil"/>
              <w:tr2bl w:val="nil"/>
            </w:tcBorders>
            <w:shd w:val="clear" w:color="auto" w:fill="auto"/>
            <w:vAlign w:val="center"/>
          </w:tcPr>
          <w:p w14:paraId="02992B19">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top"/>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110.5~112.4</w:t>
            </w:r>
          </w:p>
        </w:tc>
        <w:tc>
          <w:tcPr>
            <w:tcW w:w="1555" w:type="dxa"/>
            <w:tcBorders>
              <w:tl2br w:val="nil"/>
              <w:tr2bl w:val="nil"/>
            </w:tcBorders>
            <w:shd w:val="clear" w:color="auto" w:fill="auto"/>
            <w:vAlign w:val="center"/>
          </w:tcPr>
          <w:p w14:paraId="20DBEA61">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top"/>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275.3~276.7</w:t>
            </w:r>
          </w:p>
        </w:tc>
        <w:tc>
          <w:tcPr>
            <w:tcW w:w="1730" w:type="dxa"/>
            <w:tcBorders>
              <w:tl2br w:val="nil"/>
              <w:tr2bl w:val="nil"/>
            </w:tcBorders>
            <w:shd w:val="clear" w:color="auto" w:fill="auto"/>
            <w:vAlign w:val="center"/>
          </w:tcPr>
          <w:p w14:paraId="1C759193">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top"/>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34.34~36.82</w:t>
            </w:r>
          </w:p>
        </w:tc>
        <w:tc>
          <w:tcPr>
            <w:tcW w:w="1847" w:type="dxa"/>
            <w:tcBorders>
              <w:tl2br w:val="nil"/>
              <w:tr2bl w:val="nil"/>
            </w:tcBorders>
            <w:shd w:val="clear" w:color="auto" w:fill="auto"/>
            <w:vAlign w:val="center"/>
          </w:tcPr>
          <w:p w14:paraId="24BF8EF6">
            <w:pPr>
              <w:keepNext w:val="0"/>
              <w:keepLines w:val="0"/>
              <w:pageBreakBefore w:val="0"/>
              <w:widowControl/>
              <w:suppressLineNumbers w:val="0"/>
              <w:kinsoku/>
              <w:wordWrap/>
              <w:overflowPunct/>
              <w:topLinePunct w:val="0"/>
              <w:autoSpaceDE/>
              <w:autoSpaceDN/>
              <w:bidi w:val="0"/>
              <w:adjustRightInd w:val="0"/>
              <w:snapToGrid w:val="0"/>
              <w:ind w:firstLineChars="0"/>
              <w:jc w:val="center"/>
              <w:textAlignment w:val="top"/>
              <w:rPr>
                <w:rFonts w:hint="default" w:ascii="Times New Roman" w:hAnsi="Times New Roman"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7.14~8.56</w:t>
            </w:r>
          </w:p>
        </w:tc>
      </w:tr>
    </w:tbl>
    <w:p w14:paraId="7EDCD3C7">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⑨类比监测结果</w:t>
      </w:r>
    </w:p>
    <w:p w14:paraId="61A22E0F">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产生的电磁场强见专题</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表</w:t>
      </w:r>
      <w:r>
        <w:rPr>
          <w:rFonts w:hint="eastAsia" w:cs="Times New Roman"/>
          <w:color w:val="000000" w:themeColor="text1"/>
          <w:spacing w:val="0"/>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0857FD50">
      <w:pPr>
        <w:widowControl/>
        <w:jc w:val="center"/>
        <w:outlineLvl w:val="9"/>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专题表</w:t>
      </w: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 xml:space="preserve">  类比线路110千伏塘牵线7#-8#杆塔、110千伏桥塘</w:t>
      </w:r>
    </w:p>
    <w:p w14:paraId="1411FFB7">
      <w:pPr>
        <w:widowControl/>
        <w:jc w:val="center"/>
        <w:outlineLvl w:val="9"/>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二线201#-200#间地下电缆段磁环境监测断面监测结果</w:t>
      </w:r>
    </w:p>
    <w:tbl>
      <w:tblPr>
        <w:tblStyle w:val="26"/>
        <w:tblW w:w="90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57"/>
        <w:gridCol w:w="4027"/>
        <w:gridCol w:w="1433"/>
        <w:gridCol w:w="1502"/>
        <w:gridCol w:w="1377"/>
      </w:tblGrid>
      <w:tr w14:paraId="1DE91C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57" w:type="dxa"/>
            <w:tcBorders>
              <w:tl2br w:val="nil"/>
              <w:tr2bl w:val="nil"/>
            </w:tcBorders>
            <w:shd w:val="clear" w:color="auto" w:fill="auto"/>
            <w:vAlign w:val="center"/>
          </w:tcPr>
          <w:p w14:paraId="61506195">
            <w:pPr>
              <w:keepNext w:val="0"/>
              <w:keepLines w:val="0"/>
              <w:widowControl/>
              <w:suppressLineNumbers w:val="0"/>
              <w:jc w:val="center"/>
              <w:textAlignment w:val="center"/>
              <w:rPr>
                <w:rFonts w:ascii="Times New Roman" w:hAnsi="Times New Roman" w:eastAsia="宋体" w:cs="宋体"/>
                <w:b/>
                <w:bCs/>
                <w:i w:val="0"/>
                <w:iCs w:val="0"/>
                <w:color w:val="000000" w:themeColor="text1"/>
                <w:sz w:val="21"/>
                <w:szCs w:val="21"/>
                <w:u w:val="none"/>
                <w14:textFill>
                  <w14:solidFill>
                    <w14:schemeClr w14:val="tx1"/>
                  </w14:solidFill>
                </w14:textFill>
              </w:rPr>
            </w:pPr>
            <w:r>
              <w:rPr>
                <w:rFonts w:ascii="Times New Roman" w:hAnsi="Times New Roman" w:eastAsia="宋体" w:cs="宋体"/>
                <w:b/>
                <w:bCs/>
                <w:i w:val="0"/>
                <w:iCs w:val="0"/>
                <w:color w:val="000000" w:themeColor="text1"/>
                <w:kern w:val="0"/>
                <w:sz w:val="21"/>
                <w:szCs w:val="21"/>
                <w:u w:val="none"/>
                <w:lang w:val="en-US" w:eastAsia="zh-CN" w:bidi="ar"/>
                <w14:textFill>
                  <w14:solidFill>
                    <w14:schemeClr w14:val="tx1"/>
                  </w14:solidFill>
                </w14:textFill>
              </w:rPr>
              <w:t>测点</w:t>
            </w:r>
            <w:r>
              <w:rPr>
                <w:rFonts w:ascii="Times New Roman" w:hAnsi="Times New Roman" w:eastAsia="宋体" w:cs="宋体"/>
                <w:b/>
                <w:bCs/>
                <w:i w:val="0"/>
                <w:iCs w:val="0"/>
                <w:color w:val="000000" w:themeColor="text1"/>
                <w:kern w:val="0"/>
                <w:sz w:val="21"/>
                <w:szCs w:val="21"/>
                <w:u w:val="none"/>
                <w:lang w:val="en-US" w:eastAsia="zh-CN" w:bidi="ar"/>
                <w14:textFill>
                  <w14:solidFill>
                    <w14:schemeClr w14:val="tx1"/>
                  </w14:solidFill>
                </w14:textFill>
              </w:rPr>
              <w:br w:type="textWrapping"/>
            </w:r>
            <w:r>
              <w:rPr>
                <w:rFonts w:ascii="Times New Roman" w:hAnsi="Times New Roman" w:eastAsia="宋体" w:cs="宋体"/>
                <w:b/>
                <w:bCs/>
                <w:i w:val="0"/>
                <w:iCs w:val="0"/>
                <w:color w:val="000000" w:themeColor="text1"/>
                <w:kern w:val="0"/>
                <w:sz w:val="21"/>
                <w:szCs w:val="21"/>
                <w:u w:val="none"/>
                <w:lang w:val="en-US" w:eastAsia="zh-CN" w:bidi="ar"/>
                <w14:textFill>
                  <w14:solidFill>
                    <w14:schemeClr w14:val="tx1"/>
                  </w14:solidFill>
                </w14:textFill>
              </w:rPr>
              <w:t>编号</w:t>
            </w:r>
          </w:p>
        </w:tc>
        <w:tc>
          <w:tcPr>
            <w:tcW w:w="4027" w:type="dxa"/>
            <w:tcBorders>
              <w:tl2br w:val="nil"/>
              <w:tr2bl w:val="nil"/>
            </w:tcBorders>
            <w:shd w:val="clear" w:color="auto" w:fill="auto"/>
            <w:vAlign w:val="center"/>
          </w:tcPr>
          <w:p w14:paraId="299CA114">
            <w:pPr>
              <w:keepNext w:val="0"/>
              <w:keepLines w:val="0"/>
              <w:widowControl/>
              <w:suppressLineNumbers w:val="0"/>
              <w:jc w:val="center"/>
              <w:textAlignment w:val="center"/>
              <w:rPr>
                <w:rFonts w:ascii="Times New Roman" w:hAnsi="Times New Roman" w:eastAsia="宋体" w:cs="宋体"/>
                <w:b/>
                <w:bCs/>
                <w:i w:val="0"/>
                <w:iCs w:val="0"/>
                <w:color w:val="000000" w:themeColor="text1"/>
                <w:sz w:val="21"/>
                <w:szCs w:val="21"/>
                <w:u w:val="none"/>
                <w14:textFill>
                  <w14:solidFill>
                    <w14:schemeClr w14:val="tx1"/>
                  </w14:solidFill>
                </w14:textFill>
              </w:rPr>
            </w:pPr>
            <w:r>
              <w:rPr>
                <w:rFonts w:ascii="Times New Roman" w:hAnsi="Times New Roman" w:eastAsia="宋体" w:cs="宋体"/>
                <w:b/>
                <w:bCs/>
                <w:i w:val="0"/>
                <w:iCs w:val="0"/>
                <w:color w:val="000000" w:themeColor="text1"/>
                <w:kern w:val="0"/>
                <w:sz w:val="21"/>
                <w:szCs w:val="21"/>
                <w:u w:val="none"/>
                <w:lang w:val="en-US" w:eastAsia="zh-CN" w:bidi="ar"/>
                <w14:textFill>
                  <w14:solidFill>
                    <w14:schemeClr w14:val="tx1"/>
                  </w14:solidFill>
                </w14:textFill>
              </w:rPr>
              <w:t>监测点位</w:t>
            </w:r>
          </w:p>
        </w:tc>
        <w:tc>
          <w:tcPr>
            <w:tcW w:w="1433" w:type="dxa"/>
            <w:tcBorders>
              <w:tl2br w:val="nil"/>
              <w:tr2bl w:val="nil"/>
            </w:tcBorders>
            <w:shd w:val="clear" w:color="auto" w:fill="auto"/>
            <w:vAlign w:val="center"/>
          </w:tcPr>
          <w:p w14:paraId="5B629DB7">
            <w:pPr>
              <w:keepNext w:val="0"/>
              <w:keepLines w:val="0"/>
              <w:widowControl/>
              <w:suppressLineNumbers w:val="0"/>
              <w:jc w:val="center"/>
              <w:textAlignment w:val="center"/>
              <w:rPr>
                <w:rFonts w:ascii="Times New Roman" w:hAnsi="Times New Roman" w:eastAsia="宋体" w:cs="宋体"/>
                <w:b/>
                <w:bCs/>
                <w:i w:val="0"/>
                <w:iCs w:val="0"/>
                <w:color w:val="000000" w:themeColor="text1"/>
                <w:sz w:val="21"/>
                <w:szCs w:val="21"/>
                <w:u w:val="none"/>
                <w14:textFill>
                  <w14:solidFill>
                    <w14:schemeClr w14:val="tx1"/>
                  </w14:solidFill>
                </w14:textFill>
              </w:rPr>
            </w:pPr>
            <w:r>
              <w:rPr>
                <w:rFonts w:ascii="Times New Roman" w:hAnsi="Times New Roman" w:eastAsia="宋体" w:cs="宋体"/>
                <w:b/>
                <w:bCs/>
                <w:i w:val="0"/>
                <w:iCs w:val="0"/>
                <w:color w:val="000000" w:themeColor="text1"/>
                <w:kern w:val="0"/>
                <w:sz w:val="21"/>
                <w:szCs w:val="21"/>
                <w:u w:val="none"/>
                <w:lang w:val="en-US" w:eastAsia="zh-CN" w:bidi="ar"/>
                <w14:textFill>
                  <w14:solidFill>
                    <w14:schemeClr w14:val="tx1"/>
                  </w14:solidFill>
                </w14:textFill>
              </w:rPr>
              <w:t>测点高度(m)</w:t>
            </w:r>
          </w:p>
        </w:tc>
        <w:tc>
          <w:tcPr>
            <w:tcW w:w="1502" w:type="dxa"/>
            <w:tcBorders>
              <w:tl2br w:val="nil"/>
              <w:tr2bl w:val="nil"/>
            </w:tcBorders>
            <w:shd w:val="clear" w:color="auto" w:fill="auto"/>
            <w:vAlign w:val="center"/>
          </w:tcPr>
          <w:p w14:paraId="548A8DCD">
            <w:pPr>
              <w:keepNext w:val="0"/>
              <w:keepLines w:val="0"/>
              <w:widowControl/>
              <w:suppressLineNumbers w:val="0"/>
              <w:jc w:val="center"/>
              <w:textAlignment w:val="center"/>
              <w:rPr>
                <w:rFonts w:ascii="Times New Roman" w:hAnsi="Times New Roman" w:eastAsia="宋体" w:cs="宋体"/>
                <w:b/>
                <w:bCs/>
                <w:i w:val="0"/>
                <w:iCs w:val="0"/>
                <w:color w:val="000000" w:themeColor="text1"/>
                <w:sz w:val="21"/>
                <w:szCs w:val="21"/>
                <w:u w:val="none"/>
                <w14:textFill>
                  <w14:solidFill>
                    <w14:schemeClr w14:val="tx1"/>
                  </w14:solidFill>
                </w14:textFill>
              </w:rPr>
            </w:pPr>
            <w:r>
              <w:rPr>
                <w:rFonts w:ascii="Times New Roman" w:hAnsi="Times New Roman" w:eastAsia="宋体" w:cs="宋体"/>
                <w:b/>
                <w:bCs/>
                <w:i w:val="0"/>
                <w:iCs w:val="0"/>
                <w:color w:val="000000" w:themeColor="text1"/>
                <w:kern w:val="0"/>
                <w:sz w:val="21"/>
                <w:szCs w:val="21"/>
                <w:u w:val="none"/>
                <w:lang w:val="en-US" w:eastAsia="zh-CN" w:bidi="ar"/>
                <w14:textFill>
                  <w14:solidFill>
                    <w14:schemeClr w14:val="tx1"/>
                  </w14:solidFill>
                </w14:textFill>
              </w:rPr>
              <w:t>工频电场</w:t>
            </w:r>
            <w:r>
              <w:rPr>
                <w:rFonts w:ascii="Times New Roman" w:hAnsi="Times New Roman" w:eastAsia="宋体" w:cs="宋体"/>
                <w:b/>
                <w:bCs/>
                <w:i w:val="0"/>
                <w:iCs w:val="0"/>
                <w:color w:val="000000" w:themeColor="text1"/>
                <w:kern w:val="0"/>
                <w:sz w:val="21"/>
                <w:szCs w:val="21"/>
                <w:u w:val="none"/>
                <w:lang w:val="en-US" w:eastAsia="zh-CN" w:bidi="ar"/>
                <w14:textFill>
                  <w14:solidFill>
                    <w14:schemeClr w14:val="tx1"/>
                  </w14:solidFill>
                </w14:textFill>
              </w:rPr>
              <w:br w:type="textWrapping"/>
            </w:r>
            <w:r>
              <w:rPr>
                <w:rFonts w:ascii="Times New Roman" w:hAnsi="Times New Roman" w:eastAsia="宋体" w:cs="宋体"/>
                <w:b/>
                <w:bCs/>
                <w:i w:val="0"/>
                <w:iCs w:val="0"/>
                <w:color w:val="000000" w:themeColor="text1"/>
                <w:kern w:val="0"/>
                <w:sz w:val="21"/>
                <w:szCs w:val="21"/>
                <w:u w:val="none"/>
                <w:lang w:val="en-US" w:eastAsia="zh-CN" w:bidi="ar"/>
                <w14:textFill>
                  <w14:solidFill>
                    <w14:schemeClr w14:val="tx1"/>
                  </w14:solidFill>
                </w14:textFill>
              </w:rPr>
              <w:t>强度V/m)</w:t>
            </w:r>
          </w:p>
        </w:tc>
        <w:tc>
          <w:tcPr>
            <w:tcW w:w="1377" w:type="dxa"/>
            <w:tcBorders>
              <w:tl2br w:val="nil"/>
              <w:tr2bl w:val="nil"/>
            </w:tcBorders>
            <w:shd w:val="clear" w:color="auto" w:fill="auto"/>
            <w:vAlign w:val="center"/>
          </w:tcPr>
          <w:p w14:paraId="42555E9D">
            <w:pPr>
              <w:keepNext w:val="0"/>
              <w:keepLines w:val="0"/>
              <w:widowControl/>
              <w:suppressLineNumbers w:val="0"/>
              <w:jc w:val="center"/>
              <w:textAlignment w:val="center"/>
              <w:rPr>
                <w:rFonts w:ascii="Times New Roman" w:hAnsi="Times New Roman" w:eastAsia="宋体" w:cs="宋体"/>
                <w:b/>
                <w:bCs/>
                <w:i w:val="0"/>
                <w:iCs w:val="0"/>
                <w:color w:val="000000" w:themeColor="text1"/>
                <w:sz w:val="21"/>
                <w:szCs w:val="21"/>
                <w:u w:val="none"/>
                <w14:textFill>
                  <w14:solidFill>
                    <w14:schemeClr w14:val="tx1"/>
                  </w14:solidFill>
                </w14:textFill>
              </w:rPr>
            </w:pPr>
            <w:r>
              <w:rPr>
                <w:rFonts w:ascii="Times New Roman" w:hAnsi="Times New Roman" w:eastAsia="宋体" w:cs="宋体"/>
                <w:b/>
                <w:bCs/>
                <w:i w:val="0"/>
                <w:iCs w:val="0"/>
                <w:color w:val="000000" w:themeColor="text1"/>
                <w:kern w:val="0"/>
                <w:sz w:val="21"/>
                <w:szCs w:val="21"/>
                <w:u w:val="none"/>
                <w:lang w:val="en-US" w:eastAsia="zh-CN" w:bidi="ar"/>
                <w14:textFill>
                  <w14:solidFill>
                    <w14:schemeClr w14:val="tx1"/>
                  </w14:solidFill>
                </w14:textFill>
              </w:rPr>
              <w:t>工频磁感应强度(μT)</w:t>
            </w:r>
          </w:p>
        </w:tc>
      </w:tr>
      <w:tr w14:paraId="4B5E33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57" w:type="dxa"/>
            <w:tcBorders>
              <w:tl2br w:val="nil"/>
              <w:tr2bl w:val="nil"/>
            </w:tcBorders>
            <w:shd w:val="clear" w:color="auto" w:fill="auto"/>
            <w:vAlign w:val="center"/>
          </w:tcPr>
          <w:p w14:paraId="5D76A330">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 </w:t>
            </w:r>
          </w:p>
        </w:tc>
        <w:tc>
          <w:tcPr>
            <w:tcW w:w="4027" w:type="dxa"/>
            <w:tcBorders>
              <w:tl2br w:val="nil"/>
              <w:tr2bl w:val="nil"/>
            </w:tcBorders>
            <w:shd w:val="clear" w:color="auto" w:fill="auto"/>
            <w:vAlign w:val="center"/>
          </w:tcPr>
          <w:p w14:paraId="7C3066F1">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110千伏塘牵线、桥塘二线地下输电电缆线路中心正上方0m</w:t>
            </w:r>
          </w:p>
        </w:tc>
        <w:tc>
          <w:tcPr>
            <w:tcW w:w="1433" w:type="dxa"/>
            <w:tcBorders>
              <w:tl2br w:val="nil"/>
              <w:tr2bl w:val="nil"/>
            </w:tcBorders>
            <w:shd w:val="clear" w:color="auto" w:fill="auto"/>
            <w:vAlign w:val="center"/>
          </w:tcPr>
          <w:p w14:paraId="67DE8149">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1.5 </w:t>
            </w:r>
          </w:p>
        </w:tc>
        <w:tc>
          <w:tcPr>
            <w:tcW w:w="1502" w:type="dxa"/>
            <w:tcBorders>
              <w:tl2br w:val="nil"/>
              <w:tr2bl w:val="nil"/>
            </w:tcBorders>
            <w:shd w:val="clear" w:color="auto" w:fill="auto"/>
            <w:vAlign w:val="center"/>
          </w:tcPr>
          <w:p w14:paraId="6D3975CC">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201.5 </w:t>
            </w:r>
          </w:p>
        </w:tc>
        <w:tc>
          <w:tcPr>
            <w:tcW w:w="1377" w:type="dxa"/>
            <w:tcBorders>
              <w:tl2br w:val="nil"/>
              <w:tr2bl w:val="nil"/>
            </w:tcBorders>
            <w:shd w:val="clear" w:color="auto" w:fill="auto"/>
            <w:vAlign w:val="center"/>
          </w:tcPr>
          <w:p w14:paraId="1E869A3D">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0.0916 </w:t>
            </w:r>
          </w:p>
        </w:tc>
      </w:tr>
      <w:tr w14:paraId="4B4675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57" w:type="dxa"/>
            <w:tcBorders>
              <w:tl2br w:val="nil"/>
              <w:tr2bl w:val="nil"/>
            </w:tcBorders>
            <w:shd w:val="clear" w:color="auto" w:fill="auto"/>
            <w:vAlign w:val="center"/>
          </w:tcPr>
          <w:p w14:paraId="6B646CFB">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2 </w:t>
            </w:r>
          </w:p>
        </w:tc>
        <w:tc>
          <w:tcPr>
            <w:tcW w:w="4027" w:type="dxa"/>
            <w:tcBorders>
              <w:tl2br w:val="nil"/>
              <w:tr2bl w:val="nil"/>
            </w:tcBorders>
            <w:shd w:val="clear" w:color="auto" w:fill="auto"/>
            <w:vAlign w:val="center"/>
          </w:tcPr>
          <w:p w14:paraId="0295075A">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110千伏塘牵线、桥塘二线地下输电电缆线路中心东侧1m</w:t>
            </w:r>
          </w:p>
        </w:tc>
        <w:tc>
          <w:tcPr>
            <w:tcW w:w="1433" w:type="dxa"/>
            <w:tcBorders>
              <w:tl2br w:val="nil"/>
              <w:tr2bl w:val="nil"/>
            </w:tcBorders>
            <w:shd w:val="clear" w:color="auto" w:fill="auto"/>
            <w:vAlign w:val="center"/>
          </w:tcPr>
          <w:p w14:paraId="216CF470">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1.5 </w:t>
            </w:r>
          </w:p>
        </w:tc>
        <w:tc>
          <w:tcPr>
            <w:tcW w:w="1502" w:type="dxa"/>
            <w:tcBorders>
              <w:tl2br w:val="nil"/>
              <w:tr2bl w:val="nil"/>
            </w:tcBorders>
            <w:shd w:val="clear" w:color="auto" w:fill="auto"/>
            <w:vAlign w:val="center"/>
          </w:tcPr>
          <w:p w14:paraId="6C172169">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181.3 </w:t>
            </w:r>
          </w:p>
        </w:tc>
        <w:tc>
          <w:tcPr>
            <w:tcW w:w="1377" w:type="dxa"/>
            <w:tcBorders>
              <w:tl2br w:val="nil"/>
              <w:tr2bl w:val="nil"/>
            </w:tcBorders>
            <w:shd w:val="clear" w:color="auto" w:fill="auto"/>
            <w:vAlign w:val="center"/>
          </w:tcPr>
          <w:p w14:paraId="61036551">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0.0876 </w:t>
            </w:r>
          </w:p>
        </w:tc>
      </w:tr>
      <w:tr w14:paraId="448352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57" w:type="dxa"/>
            <w:tcBorders>
              <w:tl2br w:val="nil"/>
              <w:tr2bl w:val="nil"/>
            </w:tcBorders>
            <w:shd w:val="clear" w:color="auto" w:fill="auto"/>
            <w:vAlign w:val="center"/>
          </w:tcPr>
          <w:p w14:paraId="27BA2C57">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3 </w:t>
            </w:r>
          </w:p>
        </w:tc>
        <w:tc>
          <w:tcPr>
            <w:tcW w:w="4027" w:type="dxa"/>
            <w:tcBorders>
              <w:tl2br w:val="nil"/>
              <w:tr2bl w:val="nil"/>
            </w:tcBorders>
            <w:shd w:val="clear" w:color="auto" w:fill="auto"/>
            <w:vAlign w:val="center"/>
          </w:tcPr>
          <w:p w14:paraId="491AA238">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110千伏塘牵线、桥塘二线地下输电电缆线路中心东侧1.45m</w:t>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(110千伏桥塘二线电缆管廊边缘东侧0m)</w:t>
            </w:r>
          </w:p>
        </w:tc>
        <w:tc>
          <w:tcPr>
            <w:tcW w:w="1433" w:type="dxa"/>
            <w:tcBorders>
              <w:tl2br w:val="nil"/>
              <w:tr2bl w:val="nil"/>
            </w:tcBorders>
            <w:shd w:val="clear" w:color="auto" w:fill="auto"/>
            <w:vAlign w:val="center"/>
          </w:tcPr>
          <w:p w14:paraId="24DEABAA">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1.5 </w:t>
            </w:r>
          </w:p>
        </w:tc>
        <w:tc>
          <w:tcPr>
            <w:tcW w:w="1502" w:type="dxa"/>
            <w:tcBorders>
              <w:tl2br w:val="nil"/>
              <w:tr2bl w:val="nil"/>
            </w:tcBorders>
            <w:shd w:val="clear" w:color="auto" w:fill="auto"/>
            <w:vAlign w:val="center"/>
          </w:tcPr>
          <w:p w14:paraId="52327E95">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172.9 </w:t>
            </w:r>
          </w:p>
        </w:tc>
        <w:tc>
          <w:tcPr>
            <w:tcW w:w="1377" w:type="dxa"/>
            <w:tcBorders>
              <w:tl2br w:val="nil"/>
              <w:tr2bl w:val="nil"/>
            </w:tcBorders>
            <w:shd w:val="clear" w:color="auto" w:fill="auto"/>
            <w:vAlign w:val="center"/>
          </w:tcPr>
          <w:p w14:paraId="198E84B3">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0.0823 </w:t>
            </w:r>
          </w:p>
        </w:tc>
      </w:tr>
      <w:tr w14:paraId="077E91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57" w:type="dxa"/>
            <w:tcBorders>
              <w:tl2br w:val="nil"/>
              <w:tr2bl w:val="nil"/>
            </w:tcBorders>
            <w:shd w:val="clear" w:color="auto" w:fill="auto"/>
            <w:vAlign w:val="center"/>
          </w:tcPr>
          <w:p w14:paraId="7A31D9AA">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4 </w:t>
            </w:r>
          </w:p>
        </w:tc>
        <w:tc>
          <w:tcPr>
            <w:tcW w:w="4027" w:type="dxa"/>
            <w:tcBorders>
              <w:tl2br w:val="nil"/>
              <w:tr2bl w:val="nil"/>
            </w:tcBorders>
            <w:shd w:val="clear" w:color="auto" w:fill="auto"/>
            <w:vAlign w:val="center"/>
          </w:tcPr>
          <w:p w14:paraId="171F632C">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地下输电电缆线路中心东侧2.45m</w:t>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(110千伏桥塘二线电缆管廊边缘东侧1m)</w:t>
            </w:r>
          </w:p>
        </w:tc>
        <w:tc>
          <w:tcPr>
            <w:tcW w:w="1433" w:type="dxa"/>
            <w:tcBorders>
              <w:tl2br w:val="nil"/>
              <w:tr2bl w:val="nil"/>
            </w:tcBorders>
            <w:shd w:val="clear" w:color="auto" w:fill="auto"/>
            <w:vAlign w:val="center"/>
          </w:tcPr>
          <w:p w14:paraId="1D5CB0D9">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1.5 </w:t>
            </w:r>
          </w:p>
        </w:tc>
        <w:tc>
          <w:tcPr>
            <w:tcW w:w="1502" w:type="dxa"/>
            <w:tcBorders>
              <w:tl2br w:val="nil"/>
              <w:tr2bl w:val="nil"/>
            </w:tcBorders>
            <w:shd w:val="clear" w:color="auto" w:fill="auto"/>
            <w:vAlign w:val="center"/>
          </w:tcPr>
          <w:p w14:paraId="45378E37">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159.6 </w:t>
            </w:r>
          </w:p>
        </w:tc>
        <w:tc>
          <w:tcPr>
            <w:tcW w:w="1377" w:type="dxa"/>
            <w:tcBorders>
              <w:tl2br w:val="nil"/>
              <w:tr2bl w:val="nil"/>
            </w:tcBorders>
            <w:shd w:val="clear" w:color="auto" w:fill="auto"/>
            <w:vAlign w:val="center"/>
          </w:tcPr>
          <w:p w14:paraId="6F5FCE57">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0.0796 </w:t>
            </w:r>
          </w:p>
        </w:tc>
      </w:tr>
      <w:tr w14:paraId="29DFA5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57" w:type="dxa"/>
            <w:tcBorders>
              <w:tl2br w:val="nil"/>
              <w:tr2bl w:val="nil"/>
            </w:tcBorders>
            <w:shd w:val="clear" w:color="auto" w:fill="auto"/>
            <w:vAlign w:val="center"/>
          </w:tcPr>
          <w:p w14:paraId="5D0B185D">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5 </w:t>
            </w:r>
          </w:p>
        </w:tc>
        <w:tc>
          <w:tcPr>
            <w:tcW w:w="4027" w:type="dxa"/>
            <w:tcBorders>
              <w:tl2br w:val="nil"/>
              <w:tr2bl w:val="nil"/>
            </w:tcBorders>
            <w:shd w:val="clear" w:color="auto" w:fill="auto"/>
            <w:vAlign w:val="center"/>
          </w:tcPr>
          <w:p w14:paraId="3173E65B">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地下输电电缆线路中心东侧3.45m</w:t>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(110千伏桥塘二线电缆管廊边缘东侧2m)</w:t>
            </w:r>
          </w:p>
        </w:tc>
        <w:tc>
          <w:tcPr>
            <w:tcW w:w="1433" w:type="dxa"/>
            <w:tcBorders>
              <w:tl2br w:val="nil"/>
              <w:tr2bl w:val="nil"/>
            </w:tcBorders>
            <w:shd w:val="clear" w:color="auto" w:fill="auto"/>
            <w:vAlign w:val="center"/>
          </w:tcPr>
          <w:p w14:paraId="3966642E">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1.5 </w:t>
            </w:r>
          </w:p>
        </w:tc>
        <w:tc>
          <w:tcPr>
            <w:tcW w:w="1502" w:type="dxa"/>
            <w:tcBorders>
              <w:tl2br w:val="nil"/>
              <w:tr2bl w:val="nil"/>
            </w:tcBorders>
            <w:shd w:val="clear" w:color="auto" w:fill="auto"/>
            <w:vAlign w:val="center"/>
          </w:tcPr>
          <w:p w14:paraId="066A59FF">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132.5 </w:t>
            </w:r>
          </w:p>
        </w:tc>
        <w:tc>
          <w:tcPr>
            <w:tcW w:w="1377" w:type="dxa"/>
            <w:tcBorders>
              <w:tl2br w:val="nil"/>
              <w:tr2bl w:val="nil"/>
            </w:tcBorders>
            <w:shd w:val="clear" w:color="auto" w:fill="auto"/>
            <w:vAlign w:val="center"/>
          </w:tcPr>
          <w:p w14:paraId="2D406B72">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0.0712 </w:t>
            </w:r>
          </w:p>
        </w:tc>
      </w:tr>
      <w:tr w14:paraId="4862B9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57" w:type="dxa"/>
            <w:tcBorders>
              <w:tl2br w:val="nil"/>
              <w:tr2bl w:val="nil"/>
            </w:tcBorders>
            <w:shd w:val="clear" w:color="auto" w:fill="auto"/>
            <w:vAlign w:val="center"/>
          </w:tcPr>
          <w:p w14:paraId="1082CAD5">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6 </w:t>
            </w:r>
          </w:p>
        </w:tc>
        <w:tc>
          <w:tcPr>
            <w:tcW w:w="4027" w:type="dxa"/>
            <w:tcBorders>
              <w:tl2br w:val="nil"/>
              <w:tr2bl w:val="nil"/>
            </w:tcBorders>
            <w:shd w:val="clear" w:color="auto" w:fill="auto"/>
            <w:vAlign w:val="center"/>
          </w:tcPr>
          <w:p w14:paraId="1B3DAA97">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地下输电电缆线路中心东侧4.45m</w:t>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(110千伏桥塘二线电缆管廊边缘东侧3m)</w:t>
            </w:r>
          </w:p>
        </w:tc>
        <w:tc>
          <w:tcPr>
            <w:tcW w:w="1433" w:type="dxa"/>
            <w:tcBorders>
              <w:tl2br w:val="nil"/>
              <w:tr2bl w:val="nil"/>
            </w:tcBorders>
            <w:shd w:val="clear" w:color="auto" w:fill="auto"/>
            <w:vAlign w:val="center"/>
          </w:tcPr>
          <w:p w14:paraId="4308E737">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1.5 </w:t>
            </w:r>
          </w:p>
        </w:tc>
        <w:tc>
          <w:tcPr>
            <w:tcW w:w="1502" w:type="dxa"/>
            <w:tcBorders>
              <w:tl2br w:val="nil"/>
              <w:tr2bl w:val="nil"/>
            </w:tcBorders>
            <w:shd w:val="clear" w:color="auto" w:fill="auto"/>
            <w:vAlign w:val="center"/>
          </w:tcPr>
          <w:p w14:paraId="22C11362">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116.4 </w:t>
            </w:r>
          </w:p>
        </w:tc>
        <w:tc>
          <w:tcPr>
            <w:tcW w:w="1377" w:type="dxa"/>
            <w:tcBorders>
              <w:tl2br w:val="nil"/>
              <w:tr2bl w:val="nil"/>
            </w:tcBorders>
            <w:shd w:val="clear" w:color="auto" w:fill="auto"/>
            <w:vAlign w:val="center"/>
          </w:tcPr>
          <w:p w14:paraId="7F81F4CB">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0.0687 </w:t>
            </w:r>
          </w:p>
        </w:tc>
      </w:tr>
      <w:tr w14:paraId="30F87B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57" w:type="dxa"/>
            <w:tcBorders>
              <w:tl2br w:val="nil"/>
              <w:tr2bl w:val="nil"/>
            </w:tcBorders>
            <w:shd w:val="clear" w:color="auto" w:fill="auto"/>
            <w:vAlign w:val="center"/>
          </w:tcPr>
          <w:p w14:paraId="13FA1263">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7 </w:t>
            </w:r>
          </w:p>
        </w:tc>
        <w:tc>
          <w:tcPr>
            <w:tcW w:w="4027" w:type="dxa"/>
            <w:tcBorders>
              <w:tl2br w:val="nil"/>
              <w:tr2bl w:val="nil"/>
            </w:tcBorders>
            <w:shd w:val="clear" w:color="auto" w:fill="auto"/>
            <w:vAlign w:val="center"/>
          </w:tcPr>
          <w:p w14:paraId="10E96056">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地下输电电缆线路中心东侧5.45m</w:t>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(110千伏桥塘二线电缆管廊边缘东侧4m)</w:t>
            </w:r>
          </w:p>
        </w:tc>
        <w:tc>
          <w:tcPr>
            <w:tcW w:w="1433" w:type="dxa"/>
            <w:tcBorders>
              <w:tl2br w:val="nil"/>
              <w:tr2bl w:val="nil"/>
            </w:tcBorders>
            <w:shd w:val="clear" w:color="auto" w:fill="auto"/>
            <w:vAlign w:val="center"/>
          </w:tcPr>
          <w:p w14:paraId="284C3CD6">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1.5 </w:t>
            </w:r>
          </w:p>
        </w:tc>
        <w:tc>
          <w:tcPr>
            <w:tcW w:w="1502" w:type="dxa"/>
            <w:tcBorders>
              <w:tl2br w:val="nil"/>
              <w:tr2bl w:val="nil"/>
            </w:tcBorders>
            <w:shd w:val="clear" w:color="auto" w:fill="auto"/>
            <w:vAlign w:val="center"/>
          </w:tcPr>
          <w:p w14:paraId="0C983ECB">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100.9 </w:t>
            </w:r>
          </w:p>
        </w:tc>
        <w:tc>
          <w:tcPr>
            <w:tcW w:w="1377" w:type="dxa"/>
            <w:tcBorders>
              <w:tl2br w:val="nil"/>
              <w:tr2bl w:val="nil"/>
            </w:tcBorders>
            <w:shd w:val="clear" w:color="auto" w:fill="auto"/>
            <w:vAlign w:val="center"/>
          </w:tcPr>
          <w:p w14:paraId="6AAF58A3">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0.0652 </w:t>
            </w:r>
          </w:p>
        </w:tc>
      </w:tr>
      <w:tr w14:paraId="62B51D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57" w:type="dxa"/>
            <w:tcBorders>
              <w:tl2br w:val="nil"/>
              <w:tr2bl w:val="nil"/>
            </w:tcBorders>
            <w:shd w:val="clear" w:color="auto" w:fill="auto"/>
            <w:vAlign w:val="center"/>
          </w:tcPr>
          <w:p w14:paraId="41176DEE">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8 </w:t>
            </w:r>
          </w:p>
        </w:tc>
        <w:tc>
          <w:tcPr>
            <w:tcW w:w="4027" w:type="dxa"/>
            <w:tcBorders>
              <w:tl2br w:val="nil"/>
              <w:tr2bl w:val="nil"/>
            </w:tcBorders>
            <w:shd w:val="clear" w:color="auto" w:fill="auto"/>
            <w:vAlign w:val="center"/>
          </w:tcPr>
          <w:p w14:paraId="7AD1CE2D">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地下输电电缆线路中心东侧6.45m</w:t>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(110千伏桥塘二线电缆管廊边缘东侧5m)</w:t>
            </w:r>
          </w:p>
        </w:tc>
        <w:tc>
          <w:tcPr>
            <w:tcW w:w="1433" w:type="dxa"/>
            <w:tcBorders>
              <w:tl2br w:val="nil"/>
              <w:tr2bl w:val="nil"/>
            </w:tcBorders>
            <w:shd w:val="clear" w:color="auto" w:fill="auto"/>
            <w:vAlign w:val="center"/>
          </w:tcPr>
          <w:p w14:paraId="4679E03C">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1.5 </w:t>
            </w:r>
          </w:p>
        </w:tc>
        <w:tc>
          <w:tcPr>
            <w:tcW w:w="1502" w:type="dxa"/>
            <w:tcBorders>
              <w:tl2br w:val="nil"/>
              <w:tr2bl w:val="nil"/>
            </w:tcBorders>
            <w:shd w:val="clear" w:color="auto" w:fill="auto"/>
            <w:vAlign w:val="center"/>
          </w:tcPr>
          <w:p w14:paraId="28C26CF1">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85.41 </w:t>
            </w:r>
          </w:p>
        </w:tc>
        <w:tc>
          <w:tcPr>
            <w:tcW w:w="1377" w:type="dxa"/>
            <w:tcBorders>
              <w:tl2br w:val="nil"/>
              <w:tr2bl w:val="nil"/>
            </w:tcBorders>
            <w:shd w:val="clear" w:color="auto" w:fill="auto"/>
            <w:vAlign w:val="center"/>
          </w:tcPr>
          <w:p w14:paraId="1E00FFA8">
            <w:pPr>
              <w:keepNext w:val="0"/>
              <w:keepLines w:val="0"/>
              <w:widowControl/>
              <w:suppressLineNumbers w:val="0"/>
              <w:jc w:val="center"/>
              <w:textAlignment w:val="center"/>
              <w:rPr>
                <w:rFonts w:ascii="Times New Roman" w:hAnsi="Times New Roman" w:eastAsia="宋体" w:cs="宋体"/>
                <w:i w:val="0"/>
                <w:iCs w:val="0"/>
                <w:color w:val="000000" w:themeColor="text1"/>
                <w:sz w:val="21"/>
                <w:szCs w:val="21"/>
                <w:u w:val="none"/>
                <w14:textFill>
                  <w14:solidFill>
                    <w14:schemeClr w14:val="tx1"/>
                  </w14:solidFill>
                </w14:textFill>
              </w:rPr>
            </w:pPr>
            <w:r>
              <w:rPr>
                <w:rFonts w:ascii="Times New Roman" w:hAnsi="Times New Roman" w:eastAsia="宋体" w:cs="宋体"/>
                <w:i w:val="0"/>
                <w:iCs w:val="0"/>
                <w:color w:val="000000" w:themeColor="text1"/>
                <w:kern w:val="0"/>
                <w:sz w:val="21"/>
                <w:szCs w:val="21"/>
                <w:u w:val="none"/>
                <w:lang w:val="en-US" w:eastAsia="zh-CN" w:bidi="ar"/>
                <w14:textFill>
                  <w14:solidFill>
                    <w14:schemeClr w14:val="tx1"/>
                  </w14:solidFill>
                </w14:textFill>
              </w:rPr>
              <w:t xml:space="preserve">0.0603 </w:t>
            </w:r>
          </w:p>
        </w:tc>
      </w:tr>
    </w:tbl>
    <w:p w14:paraId="7816C74B">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由上表可以看出</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eastAsia" w:cs="Times New Roman"/>
          <w:color w:val="000000" w:themeColor="text1"/>
          <w:spacing w:val="0"/>
          <w:sz w:val="24"/>
          <w:highlight w:val="none"/>
          <w:lang w:val="en-US" w:eastAsia="zh-CN"/>
          <w14:textFill>
            <w14:solidFill>
              <w14:schemeClr w14:val="tx1"/>
            </w14:solidFill>
          </w14:textFill>
        </w:rPr>
        <w:t>类比</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地下电缆段</w:t>
      </w:r>
      <w:r>
        <w:rPr>
          <w:rFonts w:hint="default" w:ascii="Times New Roman" w:hAnsi="Times New Roman" w:eastAsia="宋体" w:cs="Times New Roman"/>
          <w:color w:val="000000" w:themeColor="text1"/>
          <w:spacing w:val="0"/>
          <w:sz w:val="24"/>
          <w:highlight w:val="none"/>
          <w14:textFill>
            <w14:solidFill>
              <w14:schemeClr w14:val="tx1"/>
            </w14:solidFill>
          </w14:textFill>
        </w:rPr>
        <w:t>电磁环境衰减断面的工频电场强度监测值在</w:t>
      </w:r>
      <w:r>
        <w:rPr>
          <w:rFonts w:hint="eastAsia" w:cs="Times New Roman"/>
          <w:color w:val="000000" w:themeColor="text1"/>
          <w:spacing w:val="0"/>
          <w:sz w:val="24"/>
          <w:highlight w:val="none"/>
          <w:lang w:val="en-US" w:eastAsia="zh-CN"/>
          <w14:textFill>
            <w14:solidFill>
              <w14:schemeClr w14:val="tx1"/>
            </w14:solidFill>
          </w14:textFill>
        </w:rPr>
        <w:t>85.41</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eastAsia" w:cs="Times New Roman"/>
          <w:color w:val="000000" w:themeColor="text1"/>
          <w:spacing w:val="0"/>
          <w:sz w:val="24"/>
          <w:highlight w:val="none"/>
          <w:lang w:val="en-US" w:eastAsia="zh-CN"/>
          <w14:textFill>
            <w14:solidFill>
              <w14:schemeClr w14:val="tx1"/>
            </w14:solidFill>
          </w14:textFill>
        </w:rPr>
        <w:t>201.5</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V</w:t>
      </w:r>
      <w:r>
        <w:rPr>
          <w:rFonts w:hint="default" w:ascii="Times New Roman" w:hAnsi="Times New Roman" w:eastAsia="宋体" w:cs="Times New Roman"/>
          <w:color w:val="000000" w:themeColor="text1"/>
          <w:spacing w:val="0"/>
          <w:sz w:val="24"/>
          <w:highlight w:val="none"/>
          <w14:textFill>
            <w14:solidFill>
              <w14:schemeClr w14:val="tx1"/>
            </w14:solidFill>
          </w14:textFill>
        </w:rPr>
        <w:t>/m之间，工频磁感应强度监测值在</w:t>
      </w:r>
      <w:r>
        <w:rPr>
          <w:rFonts w:hint="eastAsia" w:cs="Times New Roman"/>
          <w:color w:val="000000" w:themeColor="text1"/>
          <w:spacing w:val="0"/>
          <w:sz w:val="24"/>
          <w:highlight w:val="none"/>
          <w:lang w:val="en-US" w:eastAsia="zh-CN"/>
          <w14:textFill>
            <w14:solidFill>
              <w14:schemeClr w14:val="tx1"/>
            </w14:solidFill>
          </w14:textFill>
        </w:rPr>
        <w:t>0.0603</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eastAsia" w:cs="Times New Roman"/>
          <w:color w:val="000000" w:themeColor="text1"/>
          <w:spacing w:val="0"/>
          <w:sz w:val="24"/>
          <w:highlight w:val="none"/>
          <w:lang w:val="en-US" w:eastAsia="zh-CN"/>
          <w14:textFill>
            <w14:solidFill>
              <w14:schemeClr w14:val="tx1"/>
            </w14:solidFill>
          </w14:textFill>
        </w:rPr>
        <w:t>0.0916</w:t>
      </w:r>
      <w:r>
        <w:rPr>
          <w:rFonts w:hint="default" w:ascii="Times New Roman" w:hAnsi="Times New Roman" w:eastAsia="宋体" w:cs="Times New Roman"/>
          <w:color w:val="000000" w:themeColor="text1"/>
          <w:spacing w:val="0"/>
          <w:sz w:val="24"/>
          <w:highlight w:val="none"/>
          <w14:textFill>
            <w14:solidFill>
              <w14:schemeClr w14:val="tx1"/>
            </w14:solidFill>
          </w14:textFill>
        </w:rPr>
        <w:t>μT之间，所有测点监测值均小于《电磁环境控制限值》（GB8702-2014）中规定的4000V/m和100μT的标准限值。</w:t>
      </w:r>
    </w:p>
    <w:p w14:paraId="2FCD80E3">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sz w:val="24"/>
          <w:highlight w:val="none"/>
          <w14:textFill>
            <w14:solidFill>
              <w14:schemeClr w14:val="tx1"/>
            </w14:solidFill>
          </w14:textFill>
        </w:rPr>
        <w:t>根据类比电缆线路正常运行工况下的</w:t>
      </w:r>
      <w:r>
        <w:rPr>
          <w:rFonts w:hint="default" w:ascii="Times New Roman" w:hAnsi="Times New Roman" w:eastAsia="宋体" w:cs="Times New Roman"/>
          <w:color w:val="000000" w:themeColor="text1"/>
          <w:spacing w:val="0"/>
          <w:sz w:val="24"/>
          <w:highlight w:val="none"/>
          <w14:textFill>
            <w14:solidFill>
              <w14:schemeClr w14:val="tx1"/>
            </w14:solidFill>
          </w14:textFill>
        </w:rPr>
        <w:t>实测工频电场强度、工频磁感应强度，</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可以预测本项目</w:t>
      </w:r>
      <w:r>
        <w:rPr>
          <w:rFonts w:hint="default" w:ascii="Times New Roman" w:hAnsi="Times New Roman" w:eastAsia="宋体" w:cs="Times New Roman"/>
          <w:bCs/>
          <w:color w:val="000000" w:themeColor="text1"/>
          <w:spacing w:val="0"/>
          <w:sz w:val="24"/>
          <w:highlight w:val="none"/>
          <w:lang w:val="en-US" w:eastAsia="zh-CN"/>
          <w14:textFill>
            <w14:solidFill>
              <w14:schemeClr w14:val="tx1"/>
            </w14:solidFill>
          </w14:textFill>
        </w:rPr>
        <w:t>双回路地下电缆段</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建成运行后产生的工频电场强度、工频磁感应强均</w:t>
      </w:r>
      <w:r>
        <w:rPr>
          <w:rFonts w:hint="default" w:ascii="Times New Roman" w:hAnsi="Times New Roman" w:eastAsia="宋体" w:cs="Times New Roman"/>
          <w:color w:val="000000" w:themeColor="text1"/>
          <w:spacing w:val="0"/>
          <w:sz w:val="24"/>
          <w:highlight w:val="none"/>
          <w14:textFill>
            <w14:solidFill>
              <w14:schemeClr w14:val="tx1"/>
            </w14:solidFill>
          </w14:textFill>
        </w:rPr>
        <w:t>均低于《电磁环境控制限值》（GB8702-2014）中规定的4000V/m和100μT标准限值。</w:t>
      </w:r>
    </w:p>
    <w:p w14:paraId="71575C2E">
      <w:pPr>
        <w:spacing w:line="360" w:lineRule="auto"/>
        <w:ind w:firstLine="482" w:firstLineChars="200"/>
        <w:outlineLvl w:val="9"/>
        <w:rPr>
          <w:rFonts w:hint="default"/>
          <w:b/>
          <w:bCs/>
          <w:color w:val="000000" w:themeColor="text1"/>
          <w:spacing w:val="0"/>
          <w:sz w:val="24"/>
          <w:highlight w:val="none"/>
          <w:lang w:val="en-US" w:eastAsia="zh-CN"/>
          <w14:textFill>
            <w14:solidFill>
              <w14:schemeClr w14:val="tx1"/>
            </w14:solidFill>
          </w14:textFill>
        </w:rPr>
      </w:pPr>
      <w:r>
        <w:rPr>
          <w:rFonts w:hint="eastAsia"/>
          <w:b/>
          <w:bCs/>
          <w:color w:val="000000" w:themeColor="text1"/>
          <w:spacing w:val="0"/>
          <w:sz w:val="24"/>
          <w:highlight w:val="none"/>
          <w:lang w:eastAsia="zh-CN"/>
          <w14:textFill>
            <w14:solidFill>
              <w14:schemeClr w14:val="tx1"/>
            </w14:solidFill>
          </w14:textFill>
        </w:rPr>
        <w:t>（</w:t>
      </w:r>
      <w:r>
        <w:rPr>
          <w:rFonts w:hint="eastAsia"/>
          <w:b/>
          <w:bCs/>
          <w:color w:val="000000" w:themeColor="text1"/>
          <w:spacing w:val="0"/>
          <w:sz w:val="24"/>
          <w:highlight w:val="none"/>
          <w:lang w:val="en-US" w:eastAsia="zh-CN"/>
          <w14:textFill>
            <w14:solidFill>
              <w14:schemeClr w14:val="tx1"/>
            </w14:solidFill>
          </w14:textFill>
        </w:rPr>
        <w:t>2</w:t>
      </w:r>
      <w:r>
        <w:rPr>
          <w:rFonts w:hint="eastAsia"/>
          <w:b/>
          <w:bCs/>
          <w:color w:val="000000" w:themeColor="text1"/>
          <w:spacing w:val="0"/>
          <w:sz w:val="24"/>
          <w:highlight w:val="none"/>
          <w:lang w:eastAsia="zh-CN"/>
          <w14:textFill>
            <w14:solidFill>
              <w14:schemeClr w14:val="tx1"/>
            </w14:solidFill>
          </w14:textFill>
        </w:rPr>
        <w:t>）</w:t>
      </w:r>
      <w:r>
        <w:rPr>
          <w:rFonts w:hint="eastAsia"/>
          <w:b/>
          <w:bCs/>
          <w:color w:val="000000" w:themeColor="text1"/>
          <w:spacing w:val="0"/>
          <w:sz w:val="24"/>
          <w:highlight w:val="none"/>
          <w:lang w:val="en-US" w:eastAsia="zh-CN"/>
          <w14:textFill>
            <w14:solidFill>
              <w14:schemeClr w14:val="tx1"/>
            </w14:solidFill>
          </w14:textFill>
        </w:rPr>
        <w:t>单回路地下电缆</w:t>
      </w:r>
    </w:p>
    <w:p w14:paraId="014A8C7C">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对</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本项目</w:t>
      </w:r>
      <w:r>
        <w:rPr>
          <w:rFonts w:hint="eastAsia" w:cs="Times New Roman"/>
          <w:color w:val="000000" w:themeColor="text1"/>
          <w:spacing w:val="0"/>
          <w:sz w:val="24"/>
          <w:highlight w:val="none"/>
          <w:lang w:val="en-US" w:eastAsia="zh-CN"/>
          <w14:textFill>
            <w14:solidFill>
              <w14:schemeClr w14:val="tx1"/>
            </w14:solidFill>
          </w14:textFill>
        </w:rPr>
        <w:t>单回路</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地下电缆段的</w:t>
      </w:r>
      <w:r>
        <w:rPr>
          <w:rFonts w:hint="default" w:ascii="Times New Roman" w:hAnsi="Times New Roman" w:eastAsia="宋体" w:cs="Times New Roman"/>
          <w:color w:val="000000" w:themeColor="text1"/>
          <w:spacing w:val="0"/>
          <w:sz w:val="24"/>
          <w:highlight w:val="none"/>
          <w14:textFill>
            <w14:solidFill>
              <w14:schemeClr w14:val="tx1"/>
            </w14:solidFill>
          </w14:textFill>
        </w:rPr>
        <w:t>电磁环境影响预测，选取同规模已运行电缆线路进行类比监测的方法来分析</w:t>
      </w:r>
      <w:r>
        <w:rPr>
          <w:rFonts w:hint="default" w:ascii="Times New Roman" w:hAnsi="Times New Roman" w:eastAsia="宋体" w:cs="Times New Roman"/>
          <w:b w:val="0"/>
          <w:bCs w:val="0"/>
          <w:color w:val="000000" w:themeColor="text1"/>
          <w:spacing w:val="0"/>
          <w:sz w:val="24"/>
          <w:highlight w:val="none"/>
          <w:lang w:val="en-US" w:eastAsia="zh-CN"/>
          <w14:textFill>
            <w14:solidFill>
              <w14:schemeClr w14:val="tx1"/>
            </w14:solidFill>
          </w14:textFill>
        </w:rPr>
        <w:t>本项目地下电缆段</w:t>
      </w:r>
      <w:r>
        <w:rPr>
          <w:rFonts w:hint="default" w:ascii="Times New Roman" w:hAnsi="Times New Roman" w:eastAsia="宋体" w:cs="Times New Roman"/>
          <w:color w:val="000000" w:themeColor="text1"/>
          <w:spacing w:val="0"/>
          <w:sz w:val="24"/>
          <w:highlight w:val="none"/>
          <w14:textFill>
            <w14:solidFill>
              <w14:schemeClr w14:val="tx1"/>
            </w14:solidFill>
          </w14:textFill>
        </w:rPr>
        <w:t>线路产生的电磁对周围环境的影响。类比监测线路选择已运行的</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地下电缆进行类比，</w:t>
      </w:r>
      <w:r>
        <w:rPr>
          <w:rFonts w:hint="default" w:ascii="Times New Roman" w:hAnsi="Times New Roman" w:eastAsia="宋体" w:cs="Times New Roman"/>
          <w:color w:val="000000" w:themeColor="text1"/>
          <w:spacing w:val="0"/>
          <w:sz w:val="24"/>
          <w:highlight w:val="none"/>
          <w14:textFill>
            <w14:solidFill>
              <w14:schemeClr w14:val="tx1"/>
            </w14:solidFill>
          </w14:textFill>
        </w:rPr>
        <w:t>监测结果引用《</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包银高铁宁夏石嘴山南牵引站220千伏外部供电工程竣工环境保护验收监测</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pacing w:val="0"/>
          <w:sz w:val="24"/>
          <w:highlight w:val="none"/>
          <w14:textFill>
            <w14:solidFill>
              <w14:schemeClr w14:val="tx1"/>
            </w14:solidFill>
          </w14:textFill>
        </w:rPr>
        <w:t>对</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城宇110kV线路改造段电缆</w:t>
      </w:r>
      <w:r>
        <w:rPr>
          <w:rFonts w:hint="default" w:ascii="Times New Roman" w:hAnsi="Times New Roman" w:eastAsia="宋体" w:cs="Times New Roman"/>
          <w:color w:val="000000" w:themeColor="text1"/>
          <w:spacing w:val="0"/>
          <w:sz w:val="24"/>
          <w:highlight w:val="none"/>
          <w14:textFill>
            <w14:solidFill>
              <w14:schemeClr w14:val="tx1"/>
            </w14:solidFill>
          </w14:textFill>
        </w:rPr>
        <w:t>的监测数据</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highlight w:val="none"/>
          <w14:textFill>
            <w14:solidFill>
              <w14:schemeClr w14:val="tx1"/>
            </w14:solidFill>
          </w14:textFill>
        </w:rPr>
        <w:t>具体详见附件</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36C00A6C">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电缆线路产生的电磁主要与线路电压等级有关，类比电缆线路与本项目新建电缆线路电压等级</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、回路数</w:t>
      </w:r>
      <w:r>
        <w:rPr>
          <w:rFonts w:hint="default" w:ascii="Times New Roman" w:hAnsi="Times New Roman" w:eastAsia="宋体" w:cs="Times New Roman"/>
          <w:color w:val="000000" w:themeColor="text1"/>
          <w:spacing w:val="0"/>
          <w:sz w:val="24"/>
          <w:highlight w:val="none"/>
          <w14:textFill>
            <w14:solidFill>
              <w14:schemeClr w14:val="tx1"/>
            </w14:solidFill>
          </w14:textFill>
        </w:rPr>
        <w:t>一致，因此，类比电缆线路的电磁监测结果能够较好的反应本项目新建电缆线路运行后产生的电磁影响。</w:t>
      </w:r>
    </w:p>
    <w:p w14:paraId="7A2BCAB8">
      <w:pPr>
        <w:widowControl/>
        <w:jc w:val="center"/>
        <w:outlineLvl w:val="9"/>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专题表</w:t>
      </w: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 xml:space="preserve"> </w:t>
      </w: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110kV地下电缆线路类比情况一览表</w:t>
      </w:r>
    </w:p>
    <w:tbl>
      <w:tblPr>
        <w:tblStyle w:val="26"/>
        <w:tblW w:w="78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3275"/>
        <w:gridCol w:w="3212"/>
      </w:tblGrid>
      <w:tr w14:paraId="1DE0D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1806663C">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项目</w:t>
            </w:r>
          </w:p>
        </w:tc>
        <w:tc>
          <w:tcPr>
            <w:tcW w:w="3275" w:type="dxa"/>
            <w:noWrap w:val="0"/>
            <w:vAlign w:val="center"/>
          </w:tcPr>
          <w:p w14:paraId="399A8540">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本项目地下电缆</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110千伏线路</w:t>
            </w:r>
          </w:p>
        </w:tc>
        <w:tc>
          <w:tcPr>
            <w:tcW w:w="3212" w:type="dxa"/>
            <w:noWrap w:val="0"/>
            <w:vAlign w:val="center"/>
          </w:tcPr>
          <w:p w14:paraId="558F6BC7">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城宇110kV线路改造段电缆</w:t>
            </w:r>
          </w:p>
        </w:tc>
      </w:tr>
      <w:tr w14:paraId="4B245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2FD409AD">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所在位置</w:t>
            </w:r>
          </w:p>
        </w:tc>
        <w:tc>
          <w:tcPr>
            <w:tcW w:w="3275" w:type="dxa"/>
            <w:noWrap w:val="0"/>
            <w:vAlign w:val="center"/>
          </w:tcPr>
          <w:p w14:paraId="55624679">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宁夏回族自治区</w:t>
            </w:r>
            <w:r>
              <w:rPr>
                <w:rFonts w:hint="eastAsia" w:eastAsia="宋体" w:cs="Times New Roman"/>
                <w:bCs/>
                <w:color w:val="000000" w:themeColor="text1"/>
                <w:spacing w:val="0"/>
                <w:sz w:val="21"/>
                <w:szCs w:val="21"/>
                <w:highlight w:val="none"/>
                <w:lang w:val="en-US" w:eastAsia="zh-CN"/>
                <w14:textFill>
                  <w14:solidFill>
                    <w14:schemeClr w14:val="tx1"/>
                  </w14:solidFill>
                </w14:textFill>
              </w:rPr>
              <w:t>固原</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市境内</w:t>
            </w:r>
          </w:p>
        </w:tc>
        <w:tc>
          <w:tcPr>
            <w:tcW w:w="3212" w:type="dxa"/>
            <w:noWrap w:val="0"/>
            <w:vAlign w:val="center"/>
          </w:tcPr>
          <w:p w14:paraId="57FE9A8B">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宁夏回族自治区</w:t>
            </w:r>
            <w:r>
              <w:rPr>
                <w:rFonts w:hint="eastAsia" w:eastAsia="宋体" w:cs="Times New Roman"/>
                <w:bCs/>
                <w:color w:val="000000" w:themeColor="text1"/>
                <w:spacing w:val="0"/>
                <w:sz w:val="21"/>
                <w:szCs w:val="21"/>
                <w:highlight w:val="none"/>
                <w:lang w:val="en-US" w:eastAsia="zh-CN"/>
                <w14:textFill>
                  <w14:solidFill>
                    <w14:schemeClr w14:val="tx1"/>
                  </w14:solidFill>
                </w14:textFill>
              </w:rPr>
              <w:t>石嘴山</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市境内</w:t>
            </w:r>
          </w:p>
        </w:tc>
      </w:tr>
      <w:tr w14:paraId="7EA71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080CB153">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回路</w:t>
            </w:r>
          </w:p>
        </w:tc>
        <w:tc>
          <w:tcPr>
            <w:tcW w:w="3275" w:type="dxa"/>
            <w:noWrap w:val="0"/>
            <w:vAlign w:val="center"/>
          </w:tcPr>
          <w:p w14:paraId="0AAFF4A6">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eastAsia" w:eastAsia="宋体" w:cs="Times New Roman"/>
                <w:bCs/>
                <w:color w:val="000000" w:themeColor="text1"/>
                <w:spacing w:val="0"/>
                <w:sz w:val="21"/>
                <w:szCs w:val="21"/>
                <w:highlight w:val="none"/>
                <w:lang w:val="en-US" w:eastAsia="zh-CN"/>
                <w14:textFill>
                  <w14:solidFill>
                    <w14:schemeClr w14:val="tx1"/>
                  </w14:solidFill>
                </w14:textFill>
              </w:rPr>
              <w:t>单</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回路</w:t>
            </w:r>
          </w:p>
        </w:tc>
        <w:tc>
          <w:tcPr>
            <w:tcW w:w="3212" w:type="dxa"/>
            <w:noWrap w:val="0"/>
            <w:vAlign w:val="center"/>
          </w:tcPr>
          <w:p w14:paraId="6D967000">
            <w:pPr>
              <w:pStyle w:val="45"/>
              <w:spacing w:line="240" w:lineRule="atLeast"/>
              <w:ind w:firstLine="0" w:firstLineChars="0"/>
              <w:jc w:val="center"/>
              <w:textAlignment w:val="center"/>
              <w:outlineLvl w:val="9"/>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pPr>
            <w:r>
              <w:rPr>
                <w:rFonts w:hint="eastAsia" w:eastAsia="宋体" w:cs="Times New Roman"/>
                <w:bCs/>
                <w:color w:val="000000" w:themeColor="text1"/>
                <w:spacing w:val="0"/>
                <w:sz w:val="21"/>
                <w:szCs w:val="21"/>
                <w:highlight w:val="none"/>
                <w:lang w:val="en-US" w:eastAsia="zh-CN"/>
                <w14:textFill>
                  <w14:solidFill>
                    <w14:schemeClr w14:val="tx1"/>
                  </w14:solidFill>
                </w14:textFill>
              </w:rPr>
              <w:t>单</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回路</w:t>
            </w:r>
          </w:p>
        </w:tc>
      </w:tr>
      <w:tr w14:paraId="0457D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6397AF3E">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电压等级</w:t>
            </w:r>
          </w:p>
        </w:tc>
        <w:tc>
          <w:tcPr>
            <w:tcW w:w="3275" w:type="dxa"/>
            <w:noWrap w:val="0"/>
            <w:vAlign w:val="center"/>
          </w:tcPr>
          <w:p w14:paraId="6693C56B">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0kV</w:t>
            </w:r>
          </w:p>
        </w:tc>
        <w:tc>
          <w:tcPr>
            <w:tcW w:w="3212" w:type="dxa"/>
            <w:noWrap w:val="0"/>
            <w:vAlign w:val="center"/>
          </w:tcPr>
          <w:p w14:paraId="5B434815">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0kV</w:t>
            </w:r>
          </w:p>
        </w:tc>
      </w:tr>
      <w:tr w14:paraId="6381D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5" w:type="dxa"/>
            <w:noWrap w:val="0"/>
            <w:vAlign w:val="center"/>
          </w:tcPr>
          <w:p w14:paraId="4AF4639A">
            <w:pPr>
              <w:pStyle w:val="45"/>
              <w:spacing w:line="240" w:lineRule="atLeast"/>
              <w:ind w:firstLine="0" w:firstLineChars="0"/>
              <w:jc w:val="center"/>
              <w:textAlignment w:val="center"/>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eastAsia="宋体" w:cs="Times New Roman"/>
                <w:color w:val="000000" w:themeColor="text1"/>
                <w:spacing w:val="0"/>
                <w:sz w:val="21"/>
                <w:szCs w:val="21"/>
                <w:highlight w:val="none"/>
                <w:lang w:val="en-US" w:eastAsia="zh-CN"/>
                <w14:textFill>
                  <w14:solidFill>
                    <w14:schemeClr w14:val="tx1"/>
                  </w14:solidFill>
                </w14:textFill>
              </w:rPr>
              <w:t>环境条件</w:t>
            </w:r>
          </w:p>
        </w:tc>
        <w:tc>
          <w:tcPr>
            <w:tcW w:w="6487" w:type="dxa"/>
            <w:gridSpan w:val="2"/>
            <w:noWrap w:val="0"/>
            <w:vAlign w:val="center"/>
          </w:tcPr>
          <w:p w14:paraId="7802EDAE">
            <w:pPr>
              <w:pStyle w:val="45"/>
              <w:spacing w:line="240" w:lineRule="atLeast"/>
              <w:ind w:firstLine="0" w:firstLineChars="0"/>
              <w:jc w:val="center"/>
              <w:textAlignment w:val="center"/>
              <w:outlineLvl w:val="9"/>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均位于宁夏，地势开阔，环境条件相似</w:t>
            </w:r>
          </w:p>
        </w:tc>
      </w:tr>
    </w:tbl>
    <w:p w14:paraId="225F5698">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②类比监测单位</w:t>
      </w:r>
    </w:p>
    <w:p w14:paraId="1719D0B8">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宁夏盛世蓝天环保技术有限公司</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6F244F96">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③类比监测项目</w:t>
      </w:r>
    </w:p>
    <w:p w14:paraId="4643A4C7">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工频电场、工频磁场。</w:t>
      </w:r>
    </w:p>
    <w:p w14:paraId="4754D51B">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④类比监测方法</w:t>
      </w:r>
    </w:p>
    <w:p w14:paraId="01875118">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按《交流输变电工程电磁环境监测方法》（试行）（HJ681-2013）进行监测。采用类比分析方法评价电缆线路运行后产生的电磁对周围环境的影响。</w:t>
      </w:r>
    </w:p>
    <w:p w14:paraId="4056FBA5">
      <w:pPr>
        <w:spacing w:line="360" w:lineRule="auto"/>
        <w:ind w:firstLine="482"/>
        <w:outlineLvl w:val="9"/>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⑤类比监测仪器</w:t>
      </w:r>
    </w:p>
    <w:p w14:paraId="36C61C76">
      <w:pPr>
        <w:pStyle w:val="7"/>
        <w:outlineLvl w:val="9"/>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仪器名称：电磁场探头和读出装置；</w:t>
      </w:r>
    </w:p>
    <w:p w14:paraId="025B2EAA">
      <w:pPr>
        <w:pStyle w:val="7"/>
        <w:outlineLvl w:val="9"/>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型号规格：SEM-600LF-01D</w:t>
      </w:r>
    </w:p>
    <w:p w14:paraId="59830F5F">
      <w:pPr>
        <w:pStyle w:val="7"/>
        <w:outlineLvl w:val="9"/>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出厂编号：G-2240/D-2238</w:t>
      </w:r>
    </w:p>
    <w:p w14:paraId="7A658B18">
      <w:pPr>
        <w:spacing w:line="360" w:lineRule="auto"/>
        <w:ind w:firstLine="482"/>
        <w:outlineLvl w:val="9"/>
        <w:rPr>
          <w:rFonts w:hint="default" w:ascii="Times New Roman" w:hAnsi="Times New Roman" w:eastAsia="宋体" w:cs="Times New Roman"/>
          <w:bCs/>
          <w:color w:val="000000" w:themeColor="text1"/>
          <w:spacing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sz w:val="24"/>
          <w:highlight w:val="none"/>
          <w14:textFill>
            <w14:solidFill>
              <w14:schemeClr w14:val="tx1"/>
            </w14:solidFill>
          </w14:textFill>
        </w:rPr>
        <w:t>⑥类比监测点位</w:t>
      </w:r>
    </w:p>
    <w:p w14:paraId="3889E684">
      <w:pPr>
        <w:spacing w:line="360" w:lineRule="auto"/>
        <w:ind w:firstLine="482"/>
        <w:outlineLvl w:val="9"/>
        <w:rPr>
          <w:rFonts w:hint="default" w:ascii="Times New Roman" w:hAnsi="Times New Roman" w:eastAsia="宋体" w:cs="Times New Roman"/>
          <w:bCs/>
          <w:color w:val="000000" w:themeColor="text1"/>
          <w:spacing w:val="0"/>
          <w:sz w:val="24"/>
          <w:highlight w:val="none"/>
          <w14:textFill>
            <w14:solidFill>
              <w14:schemeClr w14:val="tx1"/>
            </w14:solidFill>
          </w14:textFill>
        </w:rPr>
      </w:pPr>
      <w:r>
        <w:rPr>
          <w:rFonts w:hint="default" w:ascii="Times New Roman" w:hAnsi="Times New Roman" w:eastAsia="宋体" w:cs="Times New Roman"/>
          <w:bCs/>
          <w:color w:val="000000" w:themeColor="text1"/>
          <w:spacing w:val="0"/>
          <w:sz w:val="24"/>
          <w:highlight w:val="none"/>
          <w14:textFill>
            <w14:solidFill>
              <w14:schemeClr w14:val="tx1"/>
            </w14:solidFill>
          </w14:textFill>
        </w:rPr>
        <w:t>以输电电缆线路中心正上方的地面为起点，沿垂直于线路方向进行，监测点间距为1m，顺序测至电缆管廊两侧边缘各外延5m处为止。</w:t>
      </w:r>
    </w:p>
    <w:p w14:paraId="0AF99513">
      <w:pPr>
        <w:pStyle w:val="7"/>
        <w:keepNext w:val="0"/>
        <w:keepLines w:val="0"/>
        <w:pageBreakBefore w:val="0"/>
        <w:widowControl w:val="0"/>
        <w:kinsoku/>
        <w:wordWrap/>
        <w:overflowPunct/>
        <w:topLinePunct w:val="0"/>
        <w:autoSpaceDE/>
        <w:autoSpaceDN/>
        <w:bidi w:val="0"/>
        <w:adjustRightInd/>
        <w:snapToGrid/>
        <w:ind w:left="0" w:leftChars="0" w:firstLine="0"/>
        <w:jc w:val="center"/>
        <w:textAlignment w:val="auto"/>
        <w:outlineLvl w:val="9"/>
        <w:rPr>
          <w:rFonts w:hint="eastAsia" w:ascii="Times New Roman" w:hAnsi="Times New Roman" w:eastAsia="宋体" w:cs="Times New Roman"/>
          <w:bCs/>
          <w:color w:val="000000" w:themeColor="text1"/>
          <w:spacing w:val="0"/>
          <w:sz w:val="24"/>
          <w:highlight w:val="none"/>
          <w:lang w:eastAsia="zh-CN"/>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p w14:paraId="7394E669">
      <w:pPr>
        <w:spacing w:line="360" w:lineRule="auto"/>
        <w:jc w:val="center"/>
        <w:outlineLvl w:val="9"/>
        <w:rPr>
          <w:rFonts w:hint="default" w:ascii="Times New Roman" w:hAnsi="Times New Roman" w:eastAsia="宋体" w:cs="Times New Roman"/>
          <w:b/>
          <w:bCs/>
          <w:color w:val="000000" w:themeColor="text1"/>
          <w:spacing w:val="0"/>
          <w:sz w:val="24"/>
          <w:highlight w:val="none"/>
          <w14:textFill>
            <w14:solidFill>
              <w14:schemeClr w14:val="tx1"/>
            </w14:solidFill>
          </w14:textFill>
        </w:rPr>
      </w:pPr>
      <w:r>
        <w:rPr>
          <w:rFonts w:hint="default" w:ascii="Times New Roman" w:hAnsi="Times New Roman" w:eastAsia="宋体" w:cs="Times New Roman"/>
          <w:b/>
          <w:bCs/>
          <w:color w:val="000000" w:themeColor="text1"/>
          <w:spacing w:val="0"/>
          <w:sz w:val="24"/>
          <w:highlight w:val="none"/>
          <w14:textFill>
            <w14:solidFill>
              <w14:schemeClr w14:val="tx1"/>
            </w14:solidFill>
          </w14:textFill>
        </w:rPr>
        <w:t>专题图</w:t>
      </w: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 xml:space="preserve">  类比地下电缆电磁监测断面示意图</w:t>
      </w:r>
    </w:p>
    <w:p w14:paraId="09B95D8C">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⑦类比监测条件</w:t>
      </w:r>
    </w:p>
    <w:p w14:paraId="39E0504A">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类比监测时间：2024年7月14日。</w:t>
      </w:r>
    </w:p>
    <w:p w14:paraId="0BA5B38C">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昼间天气晴，温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昼间天气晴，温度27.6℃，湿度31.4%，静风，大气压858.4hPa</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08B8F911">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⑧类比运行工况</w:t>
      </w:r>
    </w:p>
    <w:p w14:paraId="4506EFEC">
      <w:pPr>
        <w:spacing w:line="360" w:lineRule="auto"/>
        <w:ind w:firstLine="482"/>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监测期间运行工况见专题表</w:t>
      </w:r>
      <w:r>
        <w:rPr>
          <w:rFonts w:hint="eastAsia" w:cs="Times New Roman"/>
          <w:color w:val="000000" w:themeColor="text1"/>
          <w:spacing w:val="0"/>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5E10F8C3">
      <w:pPr>
        <w:widowControl/>
        <w:jc w:val="center"/>
        <w:outlineLvl w:val="9"/>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专题表</w:t>
      </w: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 xml:space="preserve">  类比线路监测期间运行工况一览表</w:t>
      </w:r>
    </w:p>
    <w:tbl>
      <w:tblPr>
        <w:tblStyle w:val="26"/>
        <w:tblW w:w="83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30"/>
        <w:gridCol w:w="1338"/>
        <w:gridCol w:w="1235"/>
        <w:gridCol w:w="1258"/>
        <w:gridCol w:w="1181"/>
      </w:tblGrid>
      <w:tr w14:paraId="1E34F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30" w:type="dxa"/>
            <w:tcBorders>
              <w:tl2br w:val="nil"/>
              <w:tr2bl w:val="nil"/>
            </w:tcBorders>
            <w:noWrap w:val="0"/>
            <w:vAlign w:val="center"/>
          </w:tcPr>
          <w:p w14:paraId="2E1CBC69">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线路名称</w:t>
            </w:r>
          </w:p>
        </w:tc>
        <w:tc>
          <w:tcPr>
            <w:tcW w:w="1338" w:type="dxa"/>
            <w:tcBorders>
              <w:tl2br w:val="nil"/>
              <w:tr2bl w:val="nil"/>
            </w:tcBorders>
            <w:noWrap w:val="0"/>
            <w:vAlign w:val="center"/>
          </w:tcPr>
          <w:p w14:paraId="78E16272">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运行电压</w:t>
            </w:r>
          </w:p>
          <w:p w14:paraId="4A1EAB2F">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(kV)</w:t>
            </w:r>
          </w:p>
        </w:tc>
        <w:tc>
          <w:tcPr>
            <w:tcW w:w="1235" w:type="dxa"/>
            <w:tcBorders>
              <w:tl2br w:val="nil"/>
              <w:tr2bl w:val="nil"/>
            </w:tcBorders>
            <w:noWrap w:val="0"/>
            <w:vAlign w:val="center"/>
          </w:tcPr>
          <w:p w14:paraId="52A2171D">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运行电流</w:t>
            </w:r>
          </w:p>
          <w:p w14:paraId="33771062">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(A)</w:t>
            </w:r>
          </w:p>
        </w:tc>
        <w:tc>
          <w:tcPr>
            <w:tcW w:w="1258" w:type="dxa"/>
            <w:tcBorders>
              <w:tl2br w:val="nil"/>
              <w:tr2bl w:val="nil"/>
            </w:tcBorders>
            <w:noWrap w:val="0"/>
            <w:vAlign w:val="center"/>
          </w:tcPr>
          <w:p w14:paraId="3E8A442A">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有功功率</w:t>
            </w:r>
          </w:p>
          <w:p w14:paraId="23755AA5">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(MW)</w:t>
            </w:r>
          </w:p>
        </w:tc>
        <w:tc>
          <w:tcPr>
            <w:tcW w:w="1181" w:type="dxa"/>
            <w:tcBorders>
              <w:tl2br w:val="nil"/>
              <w:tr2bl w:val="nil"/>
            </w:tcBorders>
            <w:noWrap w:val="0"/>
            <w:vAlign w:val="center"/>
          </w:tcPr>
          <w:p w14:paraId="6F7374B4">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无功功率</w:t>
            </w:r>
          </w:p>
          <w:p w14:paraId="13B17072">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(Mvar)</w:t>
            </w:r>
          </w:p>
        </w:tc>
      </w:tr>
      <w:tr w14:paraId="0B2F6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0" w:type="dxa"/>
            <w:tcBorders>
              <w:tl2br w:val="nil"/>
              <w:tr2bl w:val="nil"/>
            </w:tcBorders>
            <w:noWrap w:val="0"/>
            <w:vAlign w:val="center"/>
          </w:tcPr>
          <w:p w14:paraId="1229DA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t>110kV城宇线路</w:t>
            </w:r>
          </w:p>
        </w:tc>
        <w:tc>
          <w:tcPr>
            <w:tcW w:w="1338" w:type="dxa"/>
            <w:tcBorders>
              <w:tl2br w:val="nil"/>
              <w:tr2bl w:val="nil"/>
            </w:tcBorders>
            <w:noWrap w:val="0"/>
            <w:vAlign w:val="center"/>
          </w:tcPr>
          <w:p w14:paraId="55C6CE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1235" w:type="dxa"/>
            <w:tcBorders>
              <w:tl2br w:val="nil"/>
              <w:tr2bl w:val="nil"/>
            </w:tcBorders>
            <w:noWrap w:val="0"/>
            <w:vAlign w:val="center"/>
          </w:tcPr>
          <w:p w14:paraId="364D81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1258" w:type="dxa"/>
            <w:tcBorders>
              <w:tl2br w:val="nil"/>
              <w:tr2bl w:val="nil"/>
            </w:tcBorders>
            <w:noWrap w:val="0"/>
            <w:vAlign w:val="center"/>
          </w:tcPr>
          <w:p w14:paraId="4F18AE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1181" w:type="dxa"/>
            <w:tcBorders>
              <w:tl2br w:val="nil"/>
              <w:tr2bl w:val="nil"/>
            </w:tcBorders>
            <w:noWrap w:val="0"/>
            <w:vAlign w:val="center"/>
          </w:tcPr>
          <w:p w14:paraId="5A03A5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r>
    </w:tbl>
    <w:p w14:paraId="660BE856">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⑨类比监测结果</w:t>
      </w:r>
    </w:p>
    <w:p w14:paraId="1C936833">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产生的电磁场强见专题</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表</w:t>
      </w:r>
      <w:r>
        <w:rPr>
          <w:rFonts w:hint="eastAsia" w:cs="Times New Roman"/>
          <w:color w:val="000000" w:themeColor="text1"/>
          <w:spacing w:val="0"/>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p>
    <w:p w14:paraId="22C38DCE">
      <w:pPr>
        <w:widowControl/>
        <w:jc w:val="center"/>
        <w:outlineLvl w:val="9"/>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专题表</w:t>
      </w: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 xml:space="preserve">  类比线路（地下电缆）产生的电磁场强值</w:t>
      </w:r>
    </w:p>
    <w:tbl>
      <w:tblPr>
        <w:tblStyle w:val="26"/>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4"/>
        <w:gridCol w:w="3011"/>
        <w:gridCol w:w="1192"/>
        <w:gridCol w:w="1631"/>
        <w:gridCol w:w="1749"/>
      </w:tblGrid>
      <w:tr w14:paraId="6D92B8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940" w:type="dxa"/>
            <w:tcBorders>
              <w:tl2br w:val="nil"/>
              <w:tr2bl w:val="nil"/>
            </w:tcBorders>
            <w:noWrap w:val="0"/>
            <w:vAlign w:val="center"/>
          </w:tcPr>
          <w:p w14:paraId="20677FD7">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序号</w:t>
            </w:r>
          </w:p>
        </w:tc>
        <w:tc>
          <w:tcPr>
            <w:tcW w:w="3327" w:type="dxa"/>
            <w:tcBorders>
              <w:tl2br w:val="nil"/>
              <w:tr2bl w:val="nil"/>
            </w:tcBorders>
            <w:noWrap w:val="0"/>
            <w:vAlign w:val="center"/>
          </w:tcPr>
          <w:p w14:paraId="0CF84E71">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点位描述</w:t>
            </w:r>
          </w:p>
        </w:tc>
        <w:tc>
          <w:tcPr>
            <w:tcW w:w="1314" w:type="dxa"/>
            <w:tcBorders>
              <w:tl2br w:val="nil"/>
              <w:tr2bl w:val="nil"/>
            </w:tcBorders>
            <w:noWrap w:val="0"/>
            <w:vAlign w:val="center"/>
          </w:tcPr>
          <w:p w14:paraId="3C9AFD52">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测量高度</w:t>
            </w:r>
          </w:p>
          <w:p w14:paraId="461DF9FD">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（m）</w:t>
            </w:r>
          </w:p>
        </w:tc>
        <w:tc>
          <w:tcPr>
            <w:tcW w:w="1800" w:type="dxa"/>
            <w:tcBorders>
              <w:tl2br w:val="nil"/>
              <w:tr2bl w:val="nil"/>
            </w:tcBorders>
            <w:noWrap w:val="0"/>
            <w:vAlign w:val="center"/>
          </w:tcPr>
          <w:p w14:paraId="4A64FDAC">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工频电场强度（V/m）</w:t>
            </w:r>
          </w:p>
        </w:tc>
        <w:tc>
          <w:tcPr>
            <w:tcW w:w="1931" w:type="dxa"/>
            <w:tcBorders>
              <w:tl2br w:val="nil"/>
              <w:tr2bl w:val="nil"/>
            </w:tcBorders>
            <w:noWrap w:val="0"/>
            <w:vAlign w:val="center"/>
          </w:tcPr>
          <w:p w14:paraId="7AD593FF">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工频磁感应强度（μT）</w:t>
            </w:r>
          </w:p>
        </w:tc>
      </w:tr>
      <w:tr w14:paraId="3E734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940" w:type="dxa"/>
            <w:tcBorders>
              <w:tl2br w:val="nil"/>
              <w:tr2bl w:val="nil"/>
            </w:tcBorders>
            <w:noWrap w:val="0"/>
            <w:vAlign w:val="center"/>
          </w:tcPr>
          <w:p w14:paraId="75B31B5A">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w:t>
            </w:r>
          </w:p>
        </w:tc>
        <w:tc>
          <w:tcPr>
            <w:tcW w:w="3327" w:type="dxa"/>
            <w:tcBorders>
              <w:tl2br w:val="nil"/>
              <w:tr2bl w:val="nil"/>
            </w:tcBorders>
            <w:noWrap w:val="0"/>
            <w:vAlign w:val="center"/>
          </w:tcPr>
          <w:p w14:paraId="140D904D">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地下输电电缆线路中心正上方0m</w:t>
            </w:r>
          </w:p>
        </w:tc>
        <w:tc>
          <w:tcPr>
            <w:tcW w:w="1314" w:type="dxa"/>
            <w:tcBorders>
              <w:tl2br w:val="nil"/>
              <w:tr2bl w:val="nil"/>
            </w:tcBorders>
            <w:noWrap w:val="0"/>
            <w:vAlign w:val="center"/>
          </w:tcPr>
          <w:p w14:paraId="48A8A5C8">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1.5</w:t>
            </w:r>
          </w:p>
        </w:tc>
        <w:tc>
          <w:tcPr>
            <w:tcW w:w="1800" w:type="dxa"/>
            <w:tcBorders>
              <w:tl2br w:val="nil"/>
              <w:tr2bl w:val="nil"/>
            </w:tcBorders>
            <w:noWrap w:val="0"/>
            <w:vAlign w:val="center"/>
          </w:tcPr>
          <w:p w14:paraId="5B154961">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645.48</w:t>
            </w:r>
          </w:p>
        </w:tc>
        <w:tc>
          <w:tcPr>
            <w:tcW w:w="1931" w:type="dxa"/>
            <w:tcBorders>
              <w:tl2br w:val="nil"/>
              <w:tr2bl w:val="nil"/>
            </w:tcBorders>
            <w:noWrap w:val="0"/>
            <w:vAlign w:val="center"/>
          </w:tcPr>
          <w:p w14:paraId="08BB9AA9">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0.7435</w:t>
            </w:r>
          </w:p>
        </w:tc>
      </w:tr>
      <w:tr w14:paraId="24A087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40" w:type="dxa"/>
            <w:tcBorders>
              <w:tl2br w:val="nil"/>
              <w:tr2bl w:val="nil"/>
            </w:tcBorders>
            <w:noWrap w:val="0"/>
            <w:vAlign w:val="center"/>
          </w:tcPr>
          <w:p w14:paraId="7AFCE6EB">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2</w:t>
            </w:r>
          </w:p>
        </w:tc>
        <w:tc>
          <w:tcPr>
            <w:tcW w:w="3327" w:type="dxa"/>
            <w:tcBorders>
              <w:tl2br w:val="nil"/>
              <w:tr2bl w:val="nil"/>
            </w:tcBorders>
            <w:noWrap w:val="0"/>
            <w:vAlign w:val="center"/>
          </w:tcPr>
          <w:p w14:paraId="7E33135D">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地下输电电缆线路中心南侧0.7m（电缆管廊边缘南侧0m）</w:t>
            </w:r>
          </w:p>
        </w:tc>
        <w:tc>
          <w:tcPr>
            <w:tcW w:w="1314" w:type="dxa"/>
            <w:tcBorders>
              <w:tl2br w:val="nil"/>
              <w:tr2bl w:val="nil"/>
            </w:tcBorders>
            <w:noWrap w:val="0"/>
            <w:vAlign w:val="center"/>
          </w:tcPr>
          <w:p w14:paraId="3A44B22C">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1.5</w:t>
            </w:r>
          </w:p>
        </w:tc>
        <w:tc>
          <w:tcPr>
            <w:tcW w:w="1800" w:type="dxa"/>
            <w:tcBorders>
              <w:tl2br w:val="nil"/>
              <w:tr2bl w:val="nil"/>
            </w:tcBorders>
            <w:noWrap w:val="0"/>
            <w:vAlign w:val="center"/>
          </w:tcPr>
          <w:p w14:paraId="1F050CA3">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662.33</w:t>
            </w:r>
          </w:p>
        </w:tc>
        <w:tc>
          <w:tcPr>
            <w:tcW w:w="1931" w:type="dxa"/>
            <w:tcBorders>
              <w:tl2br w:val="nil"/>
              <w:tr2bl w:val="nil"/>
            </w:tcBorders>
            <w:noWrap w:val="0"/>
            <w:vAlign w:val="center"/>
          </w:tcPr>
          <w:p w14:paraId="125EC15E">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0.7525</w:t>
            </w:r>
          </w:p>
        </w:tc>
      </w:tr>
      <w:tr w14:paraId="1C3F48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40" w:type="dxa"/>
            <w:tcBorders>
              <w:tl2br w:val="nil"/>
              <w:tr2bl w:val="nil"/>
            </w:tcBorders>
            <w:noWrap w:val="0"/>
            <w:vAlign w:val="center"/>
          </w:tcPr>
          <w:p w14:paraId="29747946">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3</w:t>
            </w:r>
          </w:p>
        </w:tc>
        <w:tc>
          <w:tcPr>
            <w:tcW w:w="3327" w:type="dxa"/>
            <w:tcBorders>
              <w:tl2br w:val="nil"/>
              <w:tr2bl w:val="nil"/>
            </w:tcBorders>
            <w:noWrap w:val="0"/>
            <w:vAlign w:val="center"/>
          </w:tcPr>
          <w:p w14:paraId="74A16E78">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电缆管廊边缘南侧1m</w:t>
            </w:r>
          </w:p>
        </w:tc>
        <w:tc>
          <w:tcPr>
            <w:tcW w:w="1314" w:type="dxa"/>
            <w:tcBorders>
              <w:tl2br w:val="nil"/>
              <w:tr2bl w:val="nil"/>
            </w:tcBorders>
            <w:noWrap w:val="0"/>
            <w:vAlign w:val="center"/>
          </w:tcPr>
          <w:p w14:paraId="7C36E77A">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1.5</w:t>
            </w:r>
          </w:p>
        </w:tc>
        <w:tc>
          <w:tcPr>
            <w:tcW w:w="1800" w:type="dxa"/>
            <w:tcBorders>
              <w:tl2br w:val="nil"/>
              <w:tr2bl w:val="nil"/>
            </w:tcBorders>
            <w:noWrap w:val="0"/>
            <w:vAlign w:val="center"/>
          </w:tcPr>
          <w:p w14:paraId="694B6956">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586.26</w:t>
            </w:r>
          </w:p>
        </w:tc>
        <w:tc>
          <w:tcPr>
            <w:tcW w:w="1931" w:type="dxa"/>
            <w:tcBorders>
              <w:tl2br w:val="nil"/>
              <w:tr2bl w:val="nil"/>
            </w:tcBorders>
            <w:noWrap w:val="0"/>
            <w:vAlign w:val="center"/>
          </w:tcPr>
          <w:p w14:paraId="0F44D5AC">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0.6810</w:t>
            </w:r>
          </w:p>
        </w:tc>
      </w:tr>
      <w:tr w14:paraId="44D63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940" w:type="dxa"/>
            <w:tcBorders>
              <w:tl2br w:val="nil"/>
              <w:tr2bl w:val="nil"/>
            </w:tcBorders>
            <w:noWrap w:val="0"/>
            <w:vAlign w:val="center"/>
          </w:tcPr>
          <w:p w14:paraId="4F7F6CFD">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4</w:t>
            </w:r>
          </w:p>
        </w:tc>
        <w:tc>
          <w:tcPr>
            <w:tcW w:w="3327" w:type="dxa"/>
            <w:tcBorders>
              <w:tl2br w:val="nil"/>
              <w:tr2bl w:val="nil"/>
            </w:tcBorders>
            <w:noWrap w:val="0"/>
            <w:vAlign w:val="center"/>
          </w:tcPr>
          <w:p w14:paraId="24DBFD06">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电缆管廊边缘南侧2m</w:t>
            </w:r>
          </w:p>
        </w:tc>
        <w:tc>
          <w:tcPr>
            <w:tcW w:w="1314" w:type="dxa"/>
            <w:tcBorders>
              <w:tl2br w:val="nil"/>
              <w:tr2bl w:val="nil"/>
            </w:tcBorders>
            <w:noWrap w:val="0"/>
            <w:vAlign w:val="center"/>
          </w:tcPr>
          <w:p w14:paraId="4F3545C4">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1.5</w:t>
            </w:r>
          </w:p>
        </w:tc>
        <w:tc>
          <w:tcPr>
            <w:tcW w:w="1800" w:type="dxa"/>
            <w:tcBorders>
              <w:tl2br w:val="nil"/>
              <w:tr2bl w:val="nil"/>
            </w:tcBorders>
            <w:noWrap w:val="0"/>
            <w:vAlign w:val="center"/>
          </w:tcPr>
          <w:p w14:paraId="15886BF8">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546.31</w:t>
            </w:r>
          </w:p>
        </w:tc>
        <w:tc>
          <w:tcPr>
            <w:tcW w:w="1931" w:type="dxa"/>
            <w:tcBorders>
              <w:tl2br w:val="nil"/>
              <w:tr2bl w:val="nil"/>
            </w:tcBorders>
            <w:noWrap w:val="0"/>
            <w:vAlign w:val="center"/>
          </w:tcPr>
          <w:p w14:paraId="3FB5AC2A">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0.6633</w:t>
            </w:r>
          </w:p>
        </w:tc>
      </w:tr>
      <w:tr w14:paraId="466642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40" w:type="dxa"/>
            <w:tcBorders>
              <w:tl2br w:val="nil"/>
              <w:tr2bl w:val="nil"/>
            </w:tcBorders>
            <w:noWrap w:val="0"/>
            <w:vAlign w:val="center"/>
          </w:tcPr>
          <w:p w14:paraId="00889C02">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5</w:t>
            </w:r>
          </w:p>
        </w:tc>
        <w:tc>
          <w:tcPr>
            <w:tcW w:w="3327" w:type="dxa"/>
            <w:tcBorders>
              <w:tl2br w:val="nil"/>
              <w:tr2bl w:val="nil"/>
            </w:tcBorders>
            <w:noWrap w:val="0"/>
            <w:vAlign w:val="center"/>
          </w:tcPr>
          <w:p w14:paraId="1D1BDCCE">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电缆管廊边缘南侧3m</w:t>
            </w:r>
          </w:p>
        </w:tc>
        <w:tc>
          <w:tcPr>
            <w:tcW w:w="1314" w:type="dxa"/>
            <w:tcBorders>
              <w:tl2br w:val="nil"/>
              <w:tr2bl w:val="nil"/>
            </w:tcBorders>
            <w:noWrap w:val="0"/>
            <w:vAlign w:val="center"/>
          </w:tcPr>
          <w:p w14:paraId="450BD740">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1.5</w:t>
            </w:r>
          </w:p>
        </w:tc>
        <w:tc>
          <w:tcPr>
            <w:tcW w:w="1800" w:type="dxa"/>
            <w:tcBorders>
              <w:tl2br w:val="nil"/>
              <w:tr2bl w:val="nil"/>
            </w:tcBorders>
            <w:noWrap w:val="0"/>
            <w:vAlign w:val="center"/>
          </w:tcPr>
          <w:p w14:paraId="3952F927">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515.62</w:t>
            </w:r>
          </w:p>
        </w:tc>
        <w:tc>
          <w:tcPr>
            <w:tcW w:w="1931" w:type="dxa"/>
            <w:tcBorders>
              <w:tl2br w:val="nil"/>
              <w:tr2bl w:val="nil"/>
            </w:tcBorders>
            <w:noWrap w:val="0"/>
            <w:vAlign w:val="center"/>
          </w:tcPr>
          <w:p w14:paraId="015B44CA">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0.5114</w:t>
            </w:r>
          </w:p>
        </w:tc>
      </w:tr>
      <w:tr w14:paraId="3120F3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940" w:type="dxa"/>
            <w:tcBorders>
              <w:tl2br w:val="nil"/>
              <w:tr2bl w:val="nil"/>
            </w:tcBorders>
            <w:noWrap w:val="0"/>
            <w:vAlign w:val="center"/>
          </w:tcPr>
          <w:p w14:paraId="69CA7A04">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6</w:t>
            </w:r>
          </w:p>
        </w:tc>
        <w:tc>
          <w:tcPr>
            <w:tcW w:w="3327" w:type="dxa"/>
            <w:tcBorders>
              <w:tl2br w:val="nil"/>
              <w:tr2bl w:val="nil"/>
            </w:tcBorders>
            <w:noWrap w:val="0"/>
            <w:vAlign w:val="center"/>
          </w:tcPr>
          <w:p w14:paraId="37D86489">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电缆管廊边缘南侧4m</w:t>
            </w:r>
          </w:p>
        </w:tc>
        <w:tc>
          <w:tcPr>
            <w:tcW w:w="1314" w:type="dxa"/>
            <w:tcBorders>
              <w:tl2br w:val="nil"/>
              <w:tr2bl w:val="nil"/>
            </w:tcBorders>
            <w:noWrap w:val="0"/>
            <w:vAlign w:val="center"/>
          </w:tcPr>
          <w:p w14:paraId="6BB6A355">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1.5</w:t>
            </w:r>
          </w:p>
        </w:tc>
        <w:tc>
          <w:tcPr>
            <w:tcW w:w="1800" w:type="dxa"/>
            <w:tcBorders>
              <w:tl2br w:val="nil"/>
              <w:tr2bl w:val="nil"/>
            </w:tcBorders>
            <w:noWrap w:val="0"/>
            <w:vAlign w:val="center"/>
          </w:tcPr>
          <w:p w14:paraId="718325BD">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464.34</w:t>
            </w:r>
          </w:p>
        </w:tc>
        <w:tc>
          <w:tcPr>
            <w:tcW w:w="1931" w:type="dxa"/>
            <w:tcBorders>
              <w:tl2br w:val="nil"/>
              <w:tr2bl w:val="nil"/>
            </w:tcBorders>
            <w:noWrap w:val="0"/>
            <w:vAlign w:val="center"/>
          </w:tcPr>
          <w:p w14:paraId="7FD509D3">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0.4754</w:t>
            </w:r>
          </w:p>
        </w:tc>
      </w:tr>
      <w:tr w14:paraId="406C66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940" w:type="dxa"/>
            <w:tcBorders>
              <w:tl2br w:val="nil"/>
              <w:tr2bl w:val="nil"/>
            </w:tcBorders>
            <w:noWrap w:val="0"/>
            <w:vAlign w:val="center"/>
          </w:tcPr>
          <w:p w14:paraId="6A2068EF">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7</w:t>
            </w:r>
          </w:p>
        </w:tc>
        <w:tc>
          <w:tcPr>
            <w:tcW w:w="3327" w:type="dxa"/>
            <w:tcBorders>
              <w:tl2br w:val="nil"/>
              <w:tr2bl w:val="nil"/>
            </w:tcBorders>
            <w:noWrap w:val="0"/>
            <w:vAlign w:val="center"/>
          </w:tcPr>
          <w:p w14:paraId="7BD138E5">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电缆管廊边缘南侧5m</w:t>
            </w:r>
          </w:p>
        </w:tc>
        <w:tc>
          <w:tcPr>
            <w:tcW w:w="1314" w:type="dxa"/>
            <w:tcBorders>
              <w:tl2br w:val="nil"/>
              <w:tr2bl w:val="nil"/>
            </w:tcBorders>
            <w:noWrap w:val="0"/>
            <w:vAlign w:val="center"/>
          </w:tcPr>
          <w:p w14:paraId="1C136E26">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1.5</w:t>
            </w:r>
          </w:p>
        </w:tc>
        <w:tc>
          <w:tcPr>
            <w:tcW w:w="1800" w:type="dxa"/>
            <w:tcBorders>
              <w:tl2br w:val="nil"/>
              <w:tr2bl w:val="nil"/>
            </w:tcBorders>
            <w:noWrap w:val="0"/>
            <w:vAlign w:val="center"/>
          </w:tcPr>
          <w:p w14:paraId="262A9EFD">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386.36</w:t>
            </w:r>
          </w:p>
        </w:tc>
        <w:tc>
          <w:tcPr>
            <w:tcW w:w="1931" w:type="dxa"/>
            <w:tcBorders>
              <w:tl2br w:val="nil"/>
              <w:tr2bl w:val="nil"/>
            </w:tcBorders>
            <w:noWrap w:val="0"/>
            <w:vAlign w:val="center"/>
          </w:tcPr>
          <w:p w14:paraId="18D11B7E">
            <w:pPr>
              <w:pStyle w:val="4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14:textFill>
                  <w14:solidFill>
                    <w14:schemeClr w14:val="tx1"/>
                  </w14:solidFill>
                </w14:textFill>
              </w:rPr>
              <w:t>0.4221</w:t>
            </w:r>
          </w:p>
        </w:tc>
      </w:tr>
    </w:tbl>
    <w:p w14:paraId="1BCA657B">
      <w:pPr>
        <w:spacing w:line="360" w:lineRule="auto"/>
        <w:ind w:firstLine="480" w:firstLineChars="200"/>
        <w:outlineLvl w:val="9"/>
        <w:rPr>
          <w:rFonts w:hint="default" w:ascii="Times New Roman" w:hAnsi="Times New Roman" w:eastAsia="宋体" w:cs="Times New Roman"/>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t>由上表可以看出</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highlight w:val="none"/>
          <w14:textFill>
            <w14:solidFill>
              <w14:schemeClr w14:val="tx1"/>
            </w14:solidFill>
          </w14:textFill>
        </w:rPr>
        <w:t>电磁环境衰减断面的工频电场强度监测值在</w:t>
      </w:r>
      <w:r>
        <w:rPr>
          <w:rFonts w:hint="eastAsia" w:cs="Times New Roman"/>
          <w:color w:val="000000" w:themeColor="text1"/>
          <w:spacing w:val="0"/>
          <w:sz w:val="24"/>
          <w:highlight w:val="none"/>
          <w:lang w:val="en-US" w:eastAsia="zh-CN"/>
          <w14:textFill>
            <w14:solidFill>
              <w14:schemeClr w14:val="tx1"/>
            </w14:solidFill>
          </w14:textFill>
        </w:rPr>
        <w:t>386.36</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eastAsia" w:cs="Times New Roman"/>
          <w:color w:val="000000" w:themeColor="text1"/>
          <w:spacing w:val="0"/>
          <w:sz w:val="24"/>
          <w:highlight w:val="none"/>
          <w:lang w:val="en-US" w:eastAsia="zh-CN"/>
          <w14:textFill>
            <w14:solidFill>
              <w14:schemeClr w14:val="tx1"/>
            </w14:solidFill>
          </w14:textFill>
        </w:rPr>
        <w:t>662.33</w:t>
      </w:r>
      <w:r>
        <w:rPr>
          <w:rFonts w:hint="default" w:ascii="Times New Roman" w:hAnsi="Times New Roman" w:eastAsia="宋体" w:cs="Times New Roman"/>
          <w:color w:val="000000" w:themeColor="text1"/>
          <w:spacing w:val="0"/>
          <w:kern w:val="0"/>
          <w:sz w:val="24"/>
          <w:highlight w:val="none"/>
          <w14:textFill>
            <w14:solidFill>
              <w14:schemeClr w14:val="tx1"/>
            </w14:solidFill>
          </w14:textFill>
        </w:rPr>
        <w:t>V</w:t>
      </w:r>
      <w:r>
        <w:rPr>
          <w:rFonts w:hint="default" w:ascii="Times New Roman" w:hAnsi="Times New Roman" w:eastAsia="宋体" w:cs="Times New Roman"/>
          <w:color w:val="000000" w:themeColor="text1"/>
          <w:spacing w:val="0"/>
          <w:sz w:val="24"/>
          <w:highlight w:val="none"/>
          <w14:textFill>
            <w14:solidFill>
              <w14:schemeClr w14:val="tx1"/>
            </w14:solidFill>
          </w14:textFill>
        </w:rPr>
        <w:t>/m之间，工频磁感应强度监测值在</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0.</w:t>
      </w:r>
      <w:r>
        <w:rPr>
          <w:rFonts w:hint="eastAsia" w:cs="Times New Roman"/>
          <w:color w:val="000000" w:themeColor="text1"/>
          <w:spacing w:val="0"/>
          <w:sz w:val="24"/>
          <w:highlight w:val="none"/>
          <w:lang w:val="en-US" w:eastAsia="zh-CN"/>
          <w14:textFill>
            <w14:solidFill>
              <w14:schemeClr w14:val="tx1"/>
            </w14:solidFill>
          </w14:textFill>
        </w:rPr>
        <w:t>4221</w:t>
      </w:r>
      <w:r>
        <w:rPr>
          <w:rFonts w:hint="default" w:ascii="Times New Roman" w:hAnsi="Times New Roman" w:eastAsia="宋体" w:cs="Times New Roman"/>
          <w:color w:val="000000" w:themeColor="text1"/>
          <w:spacing w:val="0"/>
          <w:sz w:val="24"/>
          <w:highlight w:val="none"/>
          <w14:textFill>
            <w14:solidFill>
              <w14:schemeClr w14:val="tx1"/>
            </w14:solidFill>
          </w14:textFill>
        </w:rPr>
        <w:t>~</w:t>
      </w:r>
      <w:r>
        <w:rPr>
          <w:rFonts w:hint="eastAsia" w:cs="Times New Roman"/>
          <w:color w:val="000000" w:themeColor="text1"/>
          <w:spacing w:val="0"/>
          <w:sz w:val="24"/>
          <w:highlight w:val="none"/>
          <w:lang w:val="en-US" w:eastAsia="zh-CN"/>
          <w14:textFill>
            <w14:solidFill>
              <w14:schemeClr w14:val="tx1"/>
            </w14:solidFill>
          </w14:textFill>
        </w:rPr>
        <w:t>0.7525</w:t>
      </w:r>
      <w:r>
        <w:rPr>
          <w:rFonts w:hint="default" w:ascii="Times New Roman" w:hAnsi="Times New Roman" w:eastAsia="宋体" w:cs="Times New Roman"/>
          <w:color w:val="000000" w:themeColor="text1"/>
          <w:spacing w:val="0"/>
          <w:sz w:val="24"/>
          <w:highlight w:val="none"/>
          <w14:textFill>
            <w14:solidFill>
              <w14:schemeClr w14:val="tx1"/>
            </w14:solidFill>
          </w14:textFill>
        </w:rPr>
        <w:t>μT之间，监测值较大是因为本项目靠近城关220kV变电站及本项目架空线路的影响</w:t>
      </w:r>
      <w:r>
        <w:rPr>
          <w:rFonts w:hint="eastAsia" w:cs="Times New Roman"/>
          <w:color w:val="000000" w:themeColor="text1"/>
          <w:spacing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highlight w:val="none"/>
          <w14:textFill>
            <w14:solidFill>
              <w14:schemeClr w14:val="tx1"/>
            </w14:solidFill>
          </w14:textFill>
        </w:rPr>
        <w:t>所有测点监测值均小于《电磁环境控制限值》（GB8702-2014）中规定的4000V/m和100μT的标准限值。</w:t>
      </w:r>
    </w:p>
    <w:p w14:paraId="63F37EB7">
      <w:pPr>
        <w:spacing w:line="360" w:lineRule="auto"/>
        <w:ind w:firstLine="480" w:firstLineChars="200"/>
        <w:outlineLvl w:val="9"/>
        <w:rPr>
          <w:rFonts w:hint="eastAsia"/>
          <w:b/>
          <w:bCs/>
          <w:color w:val="000000" w:themeColor="text1"/>
          <w:spacing w:val="0"/>
          <w:sz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4"/>
          <w:highlight w:val="none"/>
          <w14:textFill>
            <w14:solidFill>
              <w14:schemeClr w14:val="tx1"/>
            </w14:solidFill>
          </w14:textFill>
        </w:rPr>
        <w:t>根据类比电缆线路正常运行工况下的</w:t>
      </w:r>
      <w:r>
        <w:rPr>
          <w:rFonts w:hint="default" w:ascii="Times New Roman" w:hAnsi="Times New Roman" w:eastAsia="宋体" w:cs="Times New Roman"/>
          <w:color w:val="000000" w:themeColor="text1"/>
          <w:spacing w:val="0"/>
          <w:sz w:val="24"/>
          <w:highlight w:val="none"/>
          <w14:textFill>
            <w14:solidFill>
              <w14:schemeClr w14:val="tx1"/>
            </w14:solidFill>
          </w14:textFill>
        </w:rPr>
        <w:t>实测工频电场强度、工频磁感应强度，</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可以预测本项目</w:t>
      </w:r>
      <w:r>
        <w:rPr>
          <w:rFonts w:hint="default" w:ascii="Times New Roman" w:hAnsi="Times New Roman" w:eastAsia="宋体" w:cs="Times New Roman"/>
          <w:bCs/>
          <w:color w:val="000000" w:themeColor="text1"/>
          <w:spacing w:val="0"/>
          <w:sz w:val="24"/>
          <w:highlight w:val="none"/>
          <w:lang w:val="en-US" w:eastAsia="zh-CN"/>
          <w14:textFill>
            <w14:solidFill>
              <w14:schemeClr w14:val="tx1"/>
            </w14:solidFill>
          </w14:textFill>
        </w:rPr>
        <w:t>地下电缆段</w:t>
      </w:r>
      <w:r>
        <w:rPr>
          <w:rFonts w:hint="default" w:ascii="Times New Roman" w:hAnsi="Times New Roman" w:eastAsia="宋体" w:cs="Times New Roman"/>
          <w:bCs/>
          <w:color w:val="000000" w:themeColor="text1"/>
          <w:spacing w:val="0"/>
          <w:sz w:val="24"/>
          <w:highlight w:val="none"/>
          <w14:textFill>
            <w14:solidFill>
              <w14:schemeClr w14:val="tx1"/>
            </w14:solidFill>
          </w14:textFill>
        </w:rPr>
        <w:t>建成运行后产生的工频电场强度、工频磁感应强均</w:t>
      </w:r>
      <w:r>
        <w:rPr>
          <w:rFonts w:hint="default" w:ascii="Times New Roman" w:hAnsi="Times New Roman" w:eastAsia="宋体" w:cs="Times New Roman"/>
          <w:color w:val="000000" w:themeColor="text1"/>
          <w:spacing w:val="0"/>
          <w:sz w:val="24"/>
          <w:highlight w:val="none"/>
          <w14:textFill>
            <w14:solidFill>
              <w14:schemeClr w14:val="tx1"/>
            </w14:solidFill>
          </w14:textFill>
        </w:rPr>
        <w:t>均低于《电磁环境控制限值》（GB8702-2014）中规定的4000V/m和100μT标准限值。</w:t>
      </w:r>
    </w:p>
    <w:p w14:paraId="220F03A9">
      <w:pPr>
        <w:spacing w:line="360" w:lineRule="auto"/>
        <w:ind w:firstLine="482" w:firstLineChars="200"/>
        <w:outlineLvl w:val="9"/>
        <w:rPr>
          <w:rFonts w:hint="eastAsia" w:ascii="Times New Roman" w:hAnsi="Times New Roman" w:eastAsia="宋体"/>
          <w:b/>
          <w:bCs/>
          <w:color w:val="000000" w:themeColor="text1"/>
          <w:spacing w:val="0"/>
          <w:sz w:val="24"/>
          <w:highlight w:val="none"/>
          <w:lang w:eastAsia="zh-CN"/>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w:t>
      </w:r>
      <w:r>
        <w:rPr>
          <w:rFonts w:hint="eastAsia"/>
          <w:b/>
          <w:bCs/>
          <w:color w:val="000000" w:themeColor="text1"/>
          <w:spacing w:val="0"/>
          <w:sz w:val="24"/>
          <w:highlight w:val="none"/>
          <w:lang w:val="en-US" w:eastAsia="zh-CN"/>
          <w14:textFill>
            <w14:solidFill>
              <w14:schemeClr w14:val="tx1"/>
            </w14:solidFill>
          </w14:textFill>
        </w:rPr>
        <w:t>3</w:t>
      </w:r>
      <w:r>
        <w:rPr>
          <w:rFonts w:ascii="Times New Roman" w:hAnsi="Times New Roman" w:eastAsia="宋体"/>
          <w:b/>
          <w:bCs/>
          <w:color w:val="000000" w:themeColor="text1"/>
          <w:spacing w:val="0"/>
          <w:sz w:val="24"/>
          <w:highlight w:val="none"/>
          <w14:textFill>
            <w14:solidFill>
              <w14:schemeClr w14:val="tx1"/>
            </w14:solidFill>
          </w14:textFill>
        </w:rPr>
        <w:t>）</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架空线路</w:t>
      </w:r>
    </w:p>
    <w:p w14:paraId="350C25D0">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本项目架空线路的工频电场、工频磁场影响预测将参照《环境影响评价技术导则 输变电》（HJ24-2020）附录C、D推荐的计算模式进行。</w:t>
      </w:r>
    </w:p>
    <w:p w14:paraId="2E1377FA">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①高压交流架空输电线路下空间工频电场强度的计算（附录C）</w:t>
      </w:r>
    </w:p>
    <w:p w14:paraId="3BEE7C60">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a．单位长度导线上等效电荷的计算</w:t>
      </w:r>
    </w:p>
    <w:p w14:paraId="47263E73">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高压输电线上的等效电荷是线电荷，由于高压输电线半径r远远小于架设高度h，所以等效电荷的位置可以认为是在输电导线的几何中心。</w:t>
      </w:r>
    </w:p>
    <w:p w14:paraId="213697DF">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设输电线路为无限长并且平行于地面，地面可视为良导体，利用镜像法计算输电线上的等效电荷。</w:t>
      </w:r>
    </w:p>
    <w:p w14:paraId="466D1489">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为了计算多导线线路中导线上的等效电荷，可写出下列矩阵方程：</w:t>
      </w:r>
    </w:p>
    <w:p w14:paraId="4C202175">
      <w:pPr>
        <w:pStyle w:val="25"/>
        <w:ind w:firstLine="640" w:firstLineChars="200"/>
        <w:jc w:val="center"/>
        <w:outlineLvl w:val="9"/>
        <w:rPr>
          <w:rFonts w:ascii="Times New Roman" w:hAnsi="Times New Roman" w:eastAsia="宋体"/>
          <w:color w:val="000000" w:themeColor="text1"/>
          <w:spacing w:val="0"/>
          <w14:textFill>
            <w14:solidFill>
              <w14:schemeClr w14:val="tx1"/>
            </w14:solidFill>
          </w14:textFill>
        </w:rPr>
      </w:pPr>
      <w:r>
        <w:rPr>
          <w:rFonts w:ascii="Times New Roman" w:hAnsi="Times New Roman" w:eastAsia="宋体"/>
          <w:color w:val="000000" w:themeColor="text1"/>
          <w:spacing w:val="0"/>
          <w14:textFill>
            <w14:solidFill>
              <w14:schemeClr w14:val="tx1"/>
            </w14:solidFill>
          </w14:textFill>
        </w:rPr>
        <w:drawing>
          <wp:inline distT="0" distB="0" distL="114300" distR="114300">
            <wp:extent cx="2976880" cy="1263650"/>
            <wp:effectExtent l="0" t="0" r="13970" b="1270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20"/>
                    <a:stretch>
                      <a:fillRect/>
                    </a:stretch>
                  </pic:blipFill>
                  <pic:spPr>
                    <a:xfrm>
                      <a:off x="0" y="0"/>
                      <a:ext cx="2976880" cy="1263650"/>
                    </a:xfrm>
                    <a:prstGeom prst="rect">
                      <a:avLst/>
                    </a:prstGeom>
                    <a:noFill/>
                    <a:ln>
                      <a:noFill/>
                    </a:ln>
                  </pic:spPr>
                </pic:pic>
              </a:graphicData>
            </a:graphic>
          </wp:inline>
        </w:drawing>
      </w:r>
    </w:p>
    <w:p w14:paraId="7FA112F3">
      <w:pPr>
        <w:pStyle w:val="25"/>
        <w:ind w:firstLine="480" w:firstLineChars="200"/>
        <w:jc w:val="both"/>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式中：U——各导线对地电压的单列矩阵；</w:t>
      </w:r>
    </w:p>
    <w:p w14:paraId="6160ED49">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Q——各导线上等效电荷的单列矩阵；</w:t>
      </w:r>
    </w:p>
    <w:p w14:paraId="5E7BF0D8">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Λ——各导线的电位系数组成的m阶方阵（m为导线数目）。</w:t>
      </w:r>
    </w:p>
    <w:p w14:paraId="53D37AD0">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[U]矩阵可由输电线的电压和相位确定，从环境保护考虑以额定电压的1.05倍作为计算电压。</w:t>
      </w:r>
    </w:p>
    <w:p w14:paraId="731B706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b．计算由等效电荷产生的电场</w:t>
      </w:r>
    </w:p>
    <w:p w14:paraId="7EB4F0E4">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为计算地面电场强度的最大值，通常取设计最大孤垂时导线的最小对地高度。</w:t>
      </w:r>
    </w:p>
    <w:p w14:paraId="7E8A5F39">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当各导线单位长度的等效电荷量求出后，空间任意一点的电场强度可根据叠加原理计算得出，在（x，y）点的电场强度分量Ex和Ey可表示为：</w:t>
      </w:r>
    </w:p>
    <w:p w14:paraId="080CF7FB">
      <w:pPr>
        <w:spacing w:line="360" w:lineRule="auto"/>
        <w:ind w:firstLine="480" w:firstLineChars="200"/>
        <w:jc w:val="center"/>
        <w:outlineLvl w:val="9"/>
        <w:rPr>
          <w:rFonts w:hint="eastAsia" w:ascii="Times New Roman" w:hAnsi="Times New Roman" w:eastAsia="宋体"/>
          <w:bCs/>
          <w:color w:val="000000" w:themeColor="text1"/>
          <w:spacing w:val="0"/>
          <w:sz w:val="24"/>
          <w:highlight w:val="none"/>
          <w:lang w:eastAsia="zh-CN"/>
          <w14:textFill>
            <w14:solidFill>
              <w14:schemeClr w14:val="tx1"/>
            </w14:solidFill>
          </w14:textFill>
        </w:rPr>
      </w:pPr>
      <w:r>
        <w:rPr>
          <w:rFonts w:hint="eastAsia" w:ascii="Times New Roman" w:hAnsi="Times New Roman" w:eastAsia="宋体"/>
          <w:bCs/>
          <w:color w:val="000000" w:themeColor="text1"/>
          <w:spacing w:val="0"/>
          <w:sz w:val="24"/>
          <w:highlight w:val="none"/>
          <w:lang w:eastAsia="zh-CN"/>
          <w14:textFill>
            <w14:solidFill>
              <w14:schemeClr w14:val="tx1"/>
            </w14:solidFill>
          </w14:textFill>
        </w:rPr>
        <w:drawing>
          <wp:inline distT="0" distB="0" distL="114300" distR="114300">
            <wp:extent cx="3895725" cy="1149985"/>
            <wp:effectExtent l="0" t="0" r="9525" b="12065"/>
            <wp:docPr id="64" name="图片 64" descr="2f9eeb0b-2760-4fb5-9de7-6e024fba2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f9eeb0b-2760-4fb5-9de7-6e024fba234b"/>
                    <pic:cNvPicPr>
                      <a:picLocks noChangeAspect="1"/>
                    </pic:cNvPicPr>
                  </pic:nvPicPr>
                  <pic:blipFill>
                    <a:blip r:embed="rId21"/>
                    <a:stretch>
                      <a:fillRect/>
                    </a:stretch>
                  </pic:blipFill>
                  <pic:spPr>
                    <a:xfrm>
                      <a:off x="0" y="0"/>
                      <a:ext cx="3895725" cy="1149985"/>
                    </a:xfrm>
                    <a:prstGeom prst="rect">
                      <a:avLst/>
                    </a:prstGeom>
                  </pic:spPr>
                </pic:pic>
              </a:graphicData>
            </a:graphic>
          </wp:inline>
        </w:drawing>
      </w:r>
    </w:p>
    <w:p w14:paraId="749217DF">
      <w:pPr>
        <w:spacing w:line="360" w:lineRule="auto"/>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 xml:space="preserve">    式中：x</w:t>
      </w:r>
      <w:r>
        <w:rPr>
          <w:rFonts w:ascii="Times New Roman" w:hAnsi="Times New Roman" w:eastAsia="宋体"/>
          <w:bCs/>
          <w:color w:val="000000" w:themeColor="text1"/>
          <w:spacing w:val="0"/>
          <w:sz w:val="24"/>
          <w:highlight w:val="none"/>
          <w:vertAlign w:val="subscript"/>
          <w14:textFill>
            <w14:solidFill>
              <w14:schemeClr w14:val="tx1"/>
            </w14:solidFill>
          </w14:textFill>
        </w:rPr>
        <w:t>i</w:t>
      </w:r>
      <w:r>
        <w:rPr>
          <w:rFonts w:ascii="Times New Roman" w:hAnsi="Times New Roman" w:eastAsia="宋体"/>
          <w:bCs/>
          <w:color w:val="000000" w:themeColor="text1"/>
          <w:spacing w:val="0"/>
          <w:sz w:val="24"/>
          <w:highlight w:val="none"/>
          <w14:textFill>
            <w14:solidFill>
              <w14:schemeClr w14:val="tx1"/>
            </w14:solidFill>
          </w14:textFill>
        </w:rPr>
        <w:t>、y</w:t>
      </w:r>
      <w:r>
        <w:rPr>
          <w:rFonts w:ascii="Times New Roman" w:hAnsi="Times New Roman" w:eastAsia="宋体"/>
          <w:bCs/>
          <w:color w:val="000000" w:themeColor="text1"/>
          <w:spacing w:val="0"/>
          <w:sz w:val="24"/>
          <w:highlight w:val="none"/>
          <w:vertAlign w:val="subscript"/>
          <w14:textFill>
            <w14:solidFill>
              <w14:schemeClr w14:val="tx1"/>
            </w14:solidFill>
          </w14:textFill>
        </w:rPr>
        <w:t>i</w:t>
      </w:r>
      <w:r>
        <w:rPr>
          <w:rFonts w:ascii="Times New Roman" w:hAnsi="Times New Roman" w:eastAsia="宋体"/>
          <w:bCs/>
          <w:color w:val="000000" w:themeColor="text1"/>
          <w:spacing w:val="0"/>
          <w:sz w:val="24"/>
          <w:highlight w:val="none"/>
          <w14:textFill>
            <w14:solidFill>
              <w14:schemeClr w14:val="tx1"/>
            </w14:solidFill>
          </w14:textFill>
        </w:rPr>
        <w:t>——导线i的坐标（i=1、2、…m）；</w:t>
      </w:r>
    </w:p>
    <w:p w14:paraId="23AAAEFD">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M——导线数目；</w:t>
      </w:r>
    </w:p>
    <w:p w14:paraId="6607E5D1">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L</w:t>
      </w:r>
      <w:r>
        <w:rPr>
          <w:rFonts w:ascii="Times New Roman" w:hAnsi="Times New Roman" w:eastAsia="宋体"/>
          <w:bCs/>
          <w:color w:val="000000" w:themeColor="text1"/>
          <w:spacing w:val="0"/>
          <w:sz w:val="24"/>
          <w:highlight w:val="none"/>
          <w:vertAlign w:val="subscript"/>
          <w14:textFill>
            <w14:solidFill>
              <w14:schemeClr w14:val="tx1"/>
            </w14:solidFill>
          </w14:textFill>
        </w:rPr>
        <w:t>i</w:t>
      </w:r>
      <w:r>
        <w:rPr>
          <w:rFonts w:ascii="Times New Roman" w:hAnsi="Times New Roman" w:eastAsia="宋体"/>
          <w:bCs/>
          <w:color w:val="000000" w:themeColor="text1"/>
          <w:spacing w:val="0"/>
          <w:sz w:val="24"/>
          <w:highlight w:val="none"/>
          <w14:textFill>
            <w14:solidFill>
              <w14:schemeClr w14:val="tx1"/>
            </w14:solidFill>
          </w14:textFill>
        </w:rPr>
        <w:t>、L</w:t>
      </w:r>
      <w:r>
        <w:rPr>
          <w:rFonts w:ascii="Times New Roman" w:hAnsi="Times New Roman" w:eastAsia="宋体"/>
          <w:bCs/>
          <w:color w:val="000000" w:themeColor="text1"/>
          <w:spacing w:val="0"/>
          <w:sz w:val="24"/>
          <w:highlight w:val="none"/>
          <w:vertAlign w:val="subscript"/>
          <w14:textFill>
            <w14:solidFill>
              <w14:schemeClr w14:val="tx1"/>
            </w14:solidFill>
          </w14:textFill>
        </w:rPr>
        <w:t>i</w:t>
      </w:r>
      <w:r>
        <w:rPr>
          <w:rFonts w:ascii="Times New Roman" w:hAnsi="Times New Roman" w:eastAsia="宋体"/>
          <w:bCs/>
          <w:color w:val="000000" w:themeColor="text1"/>
          <w:spacing w:val="0"/>
          <w:sz w:val="24"/>
          <w:highlight w:val="none"/>
          <w14:textFill>
            <w14:solidFill>
              <w14:schemeClr w14:val="tx1"/>
            </w14:solidFill>
          </w14:textFill>
        </w:rPr>
        <w:t>——分别为导线i及其镜像至计算点的距离，m。</w:t>
      </w:r>
    </w:p>
    <w:p w14:paraId="58086ED2">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由于接地架空线对于地面附近场强的影响很小，对导线水平排列的几种情况计算表明，没有架空地线时较有架空地线时的场强增加约1%</w:t>
      </w:r>
      <w:r>
        <w:rPr>
          <w:rFonts w:ascii="Times New Roman" w:hAnsi="Times New Roman" w:eastAsia="宋体"/>
          <w:color w:val="000000" w:themeColor="text1"/>
          <w:spacing w:val="0"/>
          <w:sz w:val="24"/>
          <w:highlight w:val="none"/>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2%，所以常不计架空地线影响而使计算简化。</w:t>
      </w:r>
    </w:p>
    <w:p w14:paraId="56905DB5">
      <w:pPr>
        <w:spacing w:line="360" w:lineRule="auto"/>
        <w:ind w:left="420" w:left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②高压交流架空输电线路下空间工频磁场强度的计算（附录D）</w:t>
      </w:r>
    </w:p>
    <w:p w14:paraId="7B67C669">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由于工频电磁场具有准静态性，线路的磁场仅由电流产生。应用安培定律，将计算结果按矢量叠加，可得出导线周围的磁场强度。</w:t>
      </w:r>
    </w:p>
    <w:p w14:paraId="5733AC4B">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在一般情况下，可只考虑处于空间的实际导线，忽略它的镜像进行计算，其结果已足够符合实际，如专题图</w:t>
      </w:r>
      <w:r>
        <w:rPr>
          <w:rFonts w:hint="eastAsia" w:ascii="Times New Roman" w:hAnsi="Times New Roman" w:eastAsia="宋体"/>
          <w:bCs/>
          <w:color w:val="000000" w:themeColor="text1"/>
          <w:spacing w:val="0"/>
          <w:sz w:val="24"/>
          <w:highlight w:val="none"/>
          <w14:textFill>
            <w14:solidFill>
              <w14:schemeClr w14:val="tx1"/>
            </w14:solidFill>
          </w14:textFill>
        </w:rPr>
        <w:t>3</w:t>
      </w:r>
      <w:r>
        <w:rPr>
          <w:rFonts w:ascii="Times New Roman" w:hAnsi="Times New Roman" w:eastAsia="宋体"/>
          <w:bCs/>
          <w:color w:val="000000" w:themeColor="text1"/>
          <w:spacing w:val="0"/>
          <w:sz w:val="24"/>
          <w:highlight w:val="none"/>
          <w14:textFill>
            <w14:solidFill>
              <w14:schemeClr w14:val="tx1"/>
            </w14:solidFill>
          </w14:textFill>
        </w:rPr>
        <w:t>。不考虑导线i的镜像时，可计算其在A点产生的磁场强度：</w:t>
      </w:r>
    </w:p>
    <w:p w14:paraId="7465A6B7">
      <w:pPr>
        <w:spacing w:line="360" w:lineRule="auto"/>
        <w:ind w:firstLine="480" w:firstLineChars="200"/>
        <w:jc w:val="center"/>
        <w:outlineLvl w:val="9"/>
        <w:rPr>
          <w:rFonts w:hint="eastAsia" w:ascii="Times New Roman" w:hAnsi="Times New Roman" w:eastAsia="宋体"/>
          <w:bCs/>
          <w:color w:val="000000" w:themeColor="text1"/>
          <w:spacing w:val="0"/>
          <w:sz w:val="24"/>
          <w:highlight w:val="none"/>
          <w:lang w:eastAsia="zh-CN"/>
          <w14:textFill>
            <w14:solidFill>
              <w14:schemeClr w14:val="tx1"/>
            </w14:solidFill>
          </w14:textFill>
        </w:rPr>
      </w:pPr>
      <w:r>
        <w:rPr>
          <w:rFonts w:hint="eastAsia" w:ascii="Times New Roman" w:hAnsi="Times New Roman" w:eastAsia="宋体"/>
          <w:bCs/>
          <w:color w:val="000000" w:themeColor="text1"/>
          <w:spacing w:val="0"/>
          <w:sz w:val="24"/>
          <w:highlight w:val="none"/>
          <w:lang w:eastAsia="zh-CN"/>
          <w14:textFill>
            <w14:solidFill>
              <w14:schemeClr w14:val="tx1"/>
            </w14:solidFill>
          </w14:textFill>
        </w:rPr>
        <w:drawing>
          <wp:inline distT="0" distB="0" distL="114300" distR="114300">
            <wp:extent cx="2038350" cy="800100"/>
            <wp:effectExtent l="0" t="0" r="0" b="0"/>
            <wp:docPr id="66" name="图片 66" descr="b8bd53fc-a031-4835-b618-8516c6104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b8bd53fc-a031-4835-b618-8516c61043db"/>
                    <pic:cNvPicPr>
                      <a:picLocks noChangeAspect="1"/>
                    </pic:cNvPicPr>
                  </pic:nvPicPr>
                  <pic:blipFill>
                    <a:blip r:embed="rId22"/>
                    <a:stretch>
                      <a:fillRect/>
                    </a:stretch>
                  </pic:blipFill>
                  <pic:spPr>
                    <a:xfrm>
                      <a:off x="0" y="0"/>
                      <a:ext cx="2038350" cy="800100"/>
                    </a:xfrm>
                    <a:prstGeom prst="rect">
                      <a:avLst/>
                    </a:prstGeom>
                  </pic:spPr>
                </pic:pic>
              </a:graphicData>
            </a:graphic>
          </wp:inline>
        </w:drawing>
      </w:r>
    </w:p>
    <w:p w14:paraId="7AB9A2C7">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式中：I——导线i中的电流值，A；</w:t>
      </w:r>
    </w:p>
    <w:p w14:paraId="3EA6A680">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H——导线与预测点的高差；</w:t>
      </w:r>
    </w:p>
    <w:p w14:paraId="1A4E603B">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L——导线与预测点的水平距离，m。</w:t>
      </w:r>
    </w:p>
    <w:p w14:paraId="4BCE8835">
      <w:pPr>
        <w:spacing w:line="360" w:lineRule="auto"/>
        <w:jc w:val="center"/>
        <w:outlineLvl w:val="9"/>
        <w:rPr>
          <w:rFonts w:ascii="Times New Roman" w:hAnsi="Times New Roman" w:eastAsia="宋体"/>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highlight w:val="none"/>
          <w14:textFill>
            <w14:solidFill>
              <w14:schemeClr w14:val="tx1"/>
            </w14:solidFill>
          </w14:textFill>
        </w:rPr>
        <w:drawing>
          <wp:inline distT="0" distB="0" distL="114300" distR="114300">
            <wp:extent cx="3412490" cy="2882900"/>
            <wp:effectExtent l="0" t="0" r="16510" b="12700"/>
            <wp:docPr id="67" name="图片 9" descr="磁场矢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descr="磁场矢量图"/>
                    <pic:cNvPicPr>
                      <a:picLocks noChangeAspect="1"/>
                    </pic:cNvPicPr>
                  </pic:nvPicPr>
                  <pic:blipFill>
                    <a:blip r:embed="rId23"/>
                    <a:stretch>
                      <a:fillRect/>
                    </a:stretch>
                  </pic:blipFill>
                  <pic:spPr>
                    <a:xfrm>
                      <a:off x="0" y="0"/>
                      <a:ext cx="3412490" cy="2882900"/>
                    </a:xfrm>
                    <a:prstGeom prst="rect">
                      <a:avLst/>
                    </a:prstGeom>
                    <a:noFill/>
                    <a:ln>
                      <a:noFill/>
                    </a:ln>
                  </pic:spPr>
                </pic:pic>
              </a:graphicData>
            </a:graphic>
          </wp:inline>
        </w:drawing>
      </w:r>
    </w:p>
    <w:p w14:paraId="4D4C2BC0">
      <w:pPr>
        <w:spacing w:line="360" w:lineRule="auto"/>
        <w:jc w:val="center"/>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专题图</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5</w:t>
      </w:r>
      <w:r>
        <w:rPr>
          <w:rFonts w:ascii="Times New Roman" w:hAnsi="Times New Roman" w:eastAsia="宋体"/>
          <w:b/>
          <w:bCs/>
          <w:color w:val="000000" w:themeColor="text1"/>
          <w:spacing w:val="0"/>
          <w:sz w:val="24"/>
          <w:highlight w:val="none"/>
          <w14:textFill>
            <w14:solidFill>
              <w14:schemeClr w14:val="tx1"/>
            </w14:solidFill>
          </w14:textFill>
        </w:rPr>
        <w:t xml:space="preserve">  磁场向量图</w:t>
      </w:r>
    </w:p>
    <w:p w14:paraId="7E373E10">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本项目为三相线路，水平和垂直场强分别为：</w:t>
      </w:r>
    </w:p>
    <w:p w14:paraId="2854D96F">
      <w:pPr>
        <w:spacing w:line="360" w:lineRule="auto"/>
        <w:ind w:firstLine="600"/>
        <w:jc w:val="center"/>
        <w:outlineLvl w:val="9"/>
        <w:rPr>
          <w:rFonts w:ascii="Times New Roman" w:hAnsi="Times New Roman" w:eastAsia="宋体"/>
          <w:bCs/>
          <w:i/>
          <w:color w:val="000000" w:themeColor="text1"/>
          <w:spacing w:val="0"/>
          <w:sz w:val="24"/>
          <w:highlight w:val="none"/>
          <w14:textFill>
            <w14:solidFill>
              <w14:schemeClr w14:val="tx1"/>
            </w14:solidFill>
          </w14:textFill>
        </w:rPr>
      </w:pPr>
      <w:r>
        <w:rPr>
          <w:rFonts w:ascii="Times New Roman" w:hAnsi="Times New Roman" w:eastAsia="宋体"/>
          <w:bCs/>
          <w:i/>
          <w:color w:val="000000" w:themeColor="text1"/>
          <w:spacing w:val="0"/>
          <w:sz w:val="24"/>
          <w:highlight w:val="none"/>
          <w14:textFill>
            <w14:solidFill>
              <w14:schemeClr w14:val="tx1"/>
            </w14:solidFill>
          </w14:textFill>
        </w:rPr>
        <w:t>H</w:t>
      </w:r>
      <w:r>
        <w:rPr>
          <w:rFonts w:ascii="Times New Roman" w:hAnsi="Times New Roman" w:eastAsia="宋体"/>
          <w:bCs/>
          <w:i/>
          <w:color w:val="000000" w:themeColor="text1"/>
          <w:spacing w:val="0"/>
          <w:sz w:val="24"/>
          <w:highlight w:val="none"/>
          <w:vertAlign w:val="subscript"/>
          <w14:textFill>
            <w14:solidFill>
              <w14:schemeClr w14:val="tx1"/>
            </w14:solidFill>
          </w14:textFill>
        </w:rPr>
        <w:t>x</w:t>
      </w:r>
      <w:r>
        <w:rPr>
          <w:rFonts w:ascii="Times New Roman" w:hAnsi="Times New Roman" w:eastAsia="宋体"/>
          <w:bCs/>
          <w:i/>
          <w:color w:val="000000" w:themeColor="text1"/>
          <w:spacing w:val="0"/>
          <w:sz w:val="24"/>
          <w:highlight w:val="none"/>
          <w14:textFill>
            <w14:solidFill>
              <w14:schemeClr w14:val="tx1"/>
            </w14:solidFill>
          </w14:textFill>
        </w:rPr>
        <w:t>=H</w:t>
      </w:r>
      <w:r>
        <w:rPr>
          <w:rFonts w:ascii="Times New Roman" w:hAnsi="Times New Roman" w:eastAsia="宋体"/>
          <w:bCs/>
          <w:i/>
          <w:color w:val="000000" w:themeColor="text1"/>
          <w:spacing w:val="0"/>
          <w:sz w:val="24"/>
          <w:highlight w:val="none"/>
          <w:vertAlign w:val="subscript"/>
          <w14:textFill>
            <w14:solidFill>
              <w14:schemeClr w14:val="tx1"/>
            </w14:solidFill>
          </w14:textFill>
        </w:rPr>
        <w:t>1x</w:t>
      </w:r>
      <w:r>
        <w:rPr>
          <w:rFonts w:ascii="Times New Roman" w:hAnsi="Times New Roman" w:eastAsia="宋体"/>
          <w:bCs/>
          <w:i/>
          <w:color w:val="000000" w:themeColor="text1"/>
          <w:spacing w:val="0"/>
          <w:sz w:val="24"/>
          <w:highlight w:val="none"/>
          <w14:textFill>
            <w14:solidFill>
              <w14:schemeClr w14:val="tx1"/>
            </w14:solidFill>
          </w14:textFill>
        </w:rPr>
        <w:t>+H</w:t>
      </w:r>
      <w:r>
        <w:rPr>
          <w:rFonts w:ascii="Times New Roman" w:hAnsi="Times New Roman" w:eastAsia="宋体"/>
          <w:bCs/>
          <w:i/>
          <w:color w:val="000000" w:themeColor="text1"/>
          <w:spacing w:val="0"/>
          <w:sz w:val="24"/>
          <w:highlight w:val="none"/>
          <w:vertAlign w:val="subscript"/>
          <w14:textFill>
            <w14:solidFill>
              <w14:schemeClr w14:val="tx1"/>
            </w14:solidFill>
          </w14:textFill>
        </w:rPr>
        <w:t>2x</w:t>
      </w:r>
      <w:r>
        <w:rPr>
          <w:rFonts w:ascii="Times New Roman" w:hAnsi="Times New Roman" w:eastAsia="宋体"/>
          <w:bCs/>
          <w:i/>
          <w:color w:val="000000" w:themeColor="text1"/>
          <w:spacing w:val="0"/>
          <w:sz w:val="24"/>
          <w:highlight w:val="none"/>
          <w14:textFill>
            <w14:solidFill>
              <w14:schemeClr w14:val="tx1"/>
            </w14:solidFill>
          </w14:textFill>
        </w:rPr>
        <w:t>+H</w:t>
      </w:r>
      <w:r>
        <w:rPr>
          <w:rFonts w:ascii="Times New Roman" w:hAnsi="Times New Roman" w:eastAsia="宋体"/>
          <w:bCs/>
          <w:i/>
          <w:color w:val="000000" w:themeColor="text1"/>
          <w:spacing w:val="0"/>
          <w:sz w:val="24"/>
          <w:highlight w:val="none"/>
          <w:vertAlign w:val="subscript"/>
          <w14:textFill>
            <w14:solidFill>
              <w14:schemeClr w14:val="tx1"/>
            </w14:solidFill>
          </w14:textFill>
        </w:rPr>
        <w:t>3x</w:t>
      </w:r>
    </w:p>
    <w:p w14:paraId="5A264745">
      <w:pPr>
        <w:spacing w:line="360" w:lineRule="auto"/>
        <w:ind w:firstLine="600"/>
        <w:jc w:val="center"/>
        <w:outlineLvl w:val="9"/>
        <w:rPr>
          <w:rFonts w:ascii="Times New Roman" w:hAnsi="Times New Roman" w:eastAsia="宋体"/>
          <w:bCs/>
          <w:i/>
          <w:color w:val="000000" w:themeColor="text1"/>
          <w:spacing w:val="0"/>
          <w:sz w:val="24"/>
          <w:highlight w:val="none"/>
          <w14:textFill>
            <w14:solidFill>
              <w14:schemeClr w14:val="tx1"/>
            </w14:solidFill>
          </w14:textFill>
        </w:rPr>
      </w:pPr>
      <w:r>
        <w:rPr>
          <w:rFonts w:ascii="Times New Roman" w:hAnsi="Times New Roman" w:eastAsia="宋体"/>
          <w:bCs/>
          <w:i/>
          <w:color w:val="000000" w:themeColor="text1"/>
          <w:spacing w:val="0"/>
          <w:sz w:val="24"/>
          <w:highlight w:val="none"/>
          <w14:textFill>
            <w14:solidFill>
              <w14:schemeClr w14:val="tx1"/>
            </w14:solidFill>
          </w14:textFill>
        </w:rPr>
        <w:t>H</w:t>
      </w:r>
      <w:r>
        <w:rPr>
          <w:rFonts w:ascii="Times New Roman" w:hAnsi="Times New Roman" w:eastAsia="宋体"/>
          <w:bCs/>
          <w:i/>
          <w:color w:val="000000" w:themeColor="text1"/>
          <w:spacing w:val="0"/>
          <w:sz w:val="24"/>
          <w:highlight w:val="none"/>
          <w:vertAlign w:val="subscript"/>
          <w14:textFill>
            <w14:solidFill>
              <w14:schemeClr w14:val="tx1"/>
            </w14:solidFill>
          </w14:textFill>
        </w:rPr>
        <w:t>y</w:t>
      </w:r>
      <w:r>
        <w:rPr>
          <w:rFonts w:ascii="Times New Roman" w:hAnsi="Times New Roman" w:eastAsia="宋体"/>
          <w:bCs/>
          <w:i/>
          <w:color w:val="000000" w:themeColor="text1"/>
          <w:spacing w:val="0"/>
          <w:sz w:val="24"/>
          <w:highlight w:val="none"/>
          <w14:textFill>
            <w14:solidFill>
              <w14:schemeClr w14:val="tx1"/>
            </w14:solidFill>
          </w14:textFill>
        </w:rPr>
        <w:t>=H</w:t>
      </w:r>
      <w:r>
        <w:rPr>
          <w:rFonts w:ascii="Times New Roman" w:hAnsi="Times New Roman" w:eastAsia="宋体"/>
          <w:bCs/>
          <w:i/>
          <w:color w:val="000000" w:themeColor="text1"/>
          <w:spacing w:val="0"/>
          <w:sz w:val="24"/>
          <w:highlight w:val="none"/>
          <w:vertAlign w:val="subscript"/>
          <w14:textFill>
            <w14:solidFill>
              <w14:schemeClr w14:val="tx1"/>
            </w14:solidFill>
          </w14:textFill>
        </w:rPr>
        <w:t>1</w:t>
      </w:r>
      <w:r>
        <w:rPr>
          <w:rFonts w:ascii="Times New Roman" w:hAnsi="Times New Roman" w:eastAsia="宋体"/>
          <w:bCs/>
          <w:i/>
          <w:color w:val="000000" w:themeColor="text1"/>
          <w:spacing w:val="0"/>
          <w:sz w:val="24"/>
          <w:highlight w:val="none"/>
          <w14:textFill>
            <w14:solidFill>
              <w14:schemeClr w14:val="tx1"/>
            </w14:solidFill>
          </w14:textFill>
        </w:rPr>
        <w:t>y+H</w:t>
      </w:r>
      <w:r>
        <w:rPr>
          <w:rFonts w:ascii="Times New Roman" w:hAnsi="Times New Roman" w:eastAsia="宋体"/>
          <w:bCs/>
          <w:i/>
          <w:color w:val="000000" w:themeColor="text1"/>
          <w:spacing w:val="0"/>
          <w:sz w:val="24"/>
          <w:highlight w:val="none"/>
          <w:vertAlign w:val="subscript"/>
          <w14:textFill>
            <w14:solidFill>
              <w14:schemeClr w14:val="tx1"/>
            </w14:solidFill>
          </w14:textFill>
        </w:rPr>
        <w:t>2y</w:t>
      </w:r>
      <w:r>
        <w:rPr>
          <w:rFonts w:ascii="Times New Roman" w:hAnsi="Times New Roman" w:eastAsia="宋体"/>
          <w:bCs/>
          <w:i/>
          <w:color w:val="000000" w:themeColor="text1"/>
          <w:spacing w:val="0"/>
          <w:sz w:val="24"/>
          <w:highlight w:val="none"/>
          <w14:textFill>
            <w14:solidFill>
              <w14:schemeClr w14:val="tx1"/>
            </w14:solidFill>
          </w14:textFill>
        </w:rPr>
        <w:t>+H</w:t>
      </w:r>
      <w:r>
        <w:rPr>
          <w:rFonts w:ascii="Times New Roman" w:hAnsi="Times New Roman" w:eastAsia="宋体"/>
          <w:bCs/>
          <w:i/>
          <w:color w:val="000000" w:themeColor="text1"/>
          <w:spacing w:val="0"/>
          <w:sz w:val="24"/>
          <w:highlight w:val="none"/>
          <w:vertAlign w:val="subscript"/>
          <w14:textFill>
            <w14:solidFill>
              <w14:schemeClr w14:val="tx1"/>
            </w14:solidFill>
          </w14:textFill>
        </w:rPr>
        <w:t>3y</w:t>
      </w:r>
    </w:p>
    <w:p w14:paraId="09891B01">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式中：H</w:t>
      </w:r>
      <w:r>
        <w:rPr>
          <w:rFonts w:ascii="Times New Roman" w:hAnsi="Times New Roman" w:eastAsia="宋体"/>
          <w:bCs/>
          <w:color w:val="000000" w:themeColor="text1"/>
          <w:spacing w:val="0"/>
          <w:sz w:val="24"/>
          <w:highlight w:val="none"/>
          <w:vertAlign w:val="subscript"/>
          <w14:textFill>
            <w14:solidFill>
              <w14:schemeClr w14:val="tx1"/>
            </w14:solidFill>
          </w14:textFill>
        </w:rPr>
        <w:t>1x</w:t>
      </w:r>
      <w:r>
        <w:rPr>
          <w:rFonts w:ascii="Times New Roman" w:hAnsi="Times New Roman" w:eastAsia="宋体"/>
          <w:bCs/>
          <w:color w:val="000000" w:themeColor="text1"/>
          <w:spacing w:val="0"/>
          <w:sz w:val="24"/>
          <w:highlight w:val="none"/>
          <w14:textFill>
            <w14:solidFill>
              <w14:schemeClr w14:val="tx1"/>
            </w14:solidFill>
          </w14:textFill>
        </w:rPr>
        <w:t>、H</w:t>
      </w:r>
      <w:r>
        <w:rPr>
          <w:rFonts w:ascii="Times New Roman" w:hAnsi="Times New Roman" w:eastAsia="宋体"/>
          <w:bCs/>
          <w:color w:val="000000" w:themeColor="text1"/>
          <w:spacing w:val="0"/>
          <w:sz w:val="24"/>
          <w:highlight w:val="none"/>
          <w:vertAlign w:val="subscript"/>
          <w14:textFill>
            <w14:solidFill>
              <w14:schemeClr w14:val="tx1"/>
            </w14:solidFill>
          </w14:textFill>
        </w:rPr>
        <w:t>2x</w:t>
      </w:r>
      <w:r>
        <w:rPr>
          <w:rFonts w:ascii="Times New Roman" w:hAnsi="Times New Roman" w:eastAsia="宋体"/>
          <w:bCs/>
          <w:color w:val="000000" w:themeColor="text1"/>
          <w:spacing w:val="0"/>
          <w:sz w:val="24"/>
          <w:highlight w:val="none"/>
          <w14:textFill>
            <w14:solidFill>
              <w14:schemeClr w14:val="tx1"/>
            </w14:solidFill>
          </w14:textFill>
        </w:rPr>
        <w:t>、H</w:t>
      </w:r>
      <w:r>
        <w:rPr>
          <w:rFonts w:ascii="Times New Roman" w:hAnsi="Times New Roman" w:eastAsia="宋体"/>
          <w:bCs/>
          <w:color w:val="000000" w:themeColor="text1"/>
          <w:spacing w:val="0"/>
          <w:sz w:val="24"/>
          <w:highlight w:val="none"/>
          <w:vertAlign w:val="subscript"/>
          <w14:textFill>
            <w14:solidFill>
              <w14:schemeClr w14:val="tx1"/>
            </w14:solidFill>
          </w14:textFill>
        </w:rPr>
        <w:t>3x</w:t>
      </w:r>
      <w:r>
        <w:rPr>
          <w:rFonts w:ascii="Times New Roman" w:hAnsi="Times New Roman" w:eastAsia="宋体"/>
          <w:bCs/>
          <w:color w:val="000000" w:themeColor="text1"/>
          <w:spacing w:val="0"/>
          <w:sz w:val="24"/>
          <w:highlight w:val="none"/>
          <w14:textFill>
            <w14:solidFill>
              <w14:schemeClr w14:val="tx1"/>
            </w14:solidFill>
          </w14:textFill>
        </w:rPr>
        <w:t>为各相导线的场强的水平分量；</w:t>
      </w:r>
    </w:p>
    <w:p w14:paraId="6BDDAF48">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H</w:t>
      </w:r>
      <w:r>
        <w:rPr>
          <w:rFonts w:ascii="Times New Roman" w:hAnsi="Times New Roman" w:eastAsia="宋体"/>
          <w:bCs/>
          <w:color w:val="000000" w:themeColor="text1"/>
          <w:spacing w:val="0"/>
          <w:sz w:val="24"/>
          <w:highlight w:val="none"/>
          <w:vertAlign w:val="subscript"/>
          <w14:textFill>
            <w14:solidFill>
              <w14:schemeClr w14:val="tx1"/>
            </w14:solidFill>
          </w14:textFill>
        </w:rPr>
        <w:t>1y</w:t>
      </w:r>
      <w:r>
        <w:rPr>
          <w:rFonts w:ascii="Times New Roman" w:hAnsi="Times New Roman" w:eastAsia="宋体"/>
          <w:bCs/>
          <w:color w:val="000000" w:themeColor="text1"/>
          <w:spacing w:val="0"/>
          <w:sz w:val="24"/>
          <w:highlight w:val="none"/>
          <w14:textFill>
            <w14:solidFill>
              <w14:schemeClr w14:val="tx1"/>
            </w14:solidFill>
          </w14:textFill>
        </w:rPr>
        <w:t>、H</w:t>
      </w:r>
      <w:r>
        <w:rPr>
          <w:rFonts w:ascii="Times New Roman" w:hAnsi="Times New Roman" w:eastAsia="宋体"/>
          <w:bCs/>
          <w:color w:val="000000" w:themeColor="text1"/>
          <w:spacing w:val="0"/>
          <w:sz w:val="24"/>
          <w:highlight w:val="none"/>
          <w:vertAlign w:val="subscript"/>
          <w14:textFill>
            <w14:solidFill>
              <w14:schemeClr w14:val="tx1"/>
            </w14:solidFill>
          </w14:textFill>
        </w:rPr>
        <w:t>2y</w:t>
      </w:r>
      <w:r>
        <w:rPr>
          <w:rFonts w:ascii="Times New Roman" w:hAnsi="Times New Roman" w:eastAsia="宋体"/>
          <w:bCs/>
          <w:color w:val="000000" w:themeColor="text1"/>
          <w:spacing w:val="0"/>
          <w:sz w:val="24"/>
          <w:highlight w:val="none"/>
          <w14:textFill>
            <w14:solidFill>
              <w14:schemeClr w14:val="tx1"/>
            </w14:solidFill>
          </w14:textFill>
        </w:rPr>
        <w:t>、H</w:t>
      </w:r>
      <w:r>
        <w:rPr>
          <w:rFonts w:ascii="Times New Roman" w:hAnsi="Times New Roman" w:eastAsia="宋体"/>
          <w:bCs/>
          <w:color w:val="000000" w:themeColor="text1"/>
          <w:spacing w:val="0"/>
          <w:sz w:val="24"/>
          <w:highlight w:val="none"/>
          <w:vertAlign w:val="subscript"/>
          <w14:textFill>
            <w14:solidFill>
              <w14:schemeClr w14:val="tx1"/>
            </w14:solidFill>
          </w14:textFill>
        </w:rPr>
        <w:t>3y</w:t>
      </w:r>
      <w:r>
        <w:rPr>
          <w:rFonts w:ascii="Times New Roman" w:hAnsi="Times New Roman" w:eastAsia="宋体"/>
          <w:bCs/>
          <w:color w:val="000000" w:themeColor="text1"/>
          <w:spacing w:val="0"/>
          <w:sz w:val="24"/>
          <w:highlight w:val="none"/>
          <w14:textFill>
            <w14:solidFill>
              <w14:schemeClr w14:val="tx1"/>
            </w14:solidFill>
          </w14:textFill>
        </w:rPr>
        <w:t>为各相导线的场强的垂直分量；</w:t>
      </w:r>
    </w:p>
    <w:p w14:paraId="329A46A8">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H</w:t>
      </w:r>
      <w:r>
        <w:rPr>
          <w:rFonts w:ascii="Times New Roman" w:hAnsi="Times New Roman" w:eastAsia="宋体"/>
          <w:bCs/>
          <w:color w:val="000000" w:themeColor="text1"/>
          <w:spacing w:val="0"/>
          <w:sz w:val="24"/>
          <w:highlight w:val="none"/>
          <w:vertAlign w:val="subscript"/>
          <w14:textFill>
            <w14:solidFill>
              <w14:schemeClr w14:val="tx1"/>
            </w14:solidFill>
          </w14:textFill>
        </w:rPr>
        <w:t>x</w:t>
      </w:r>
      <w:r>
        <w:rPr>
          <w:rFonts w:ascii="Times New Roman" w:hAnsi="Times New Roman" w:eastAsia="宋体"/>
          <w:bCs/>
          <w:color w:val="000000" w:themeColor="text1"/>
          <w:spacing w:val="0"/>
          <w:sz w:val="24"/>
          <w:highlight w:val="none"/>
          <w14:textFill>
            <w14:solidFill>
              <w14:schemeClr w14:val="tx1"/>
            </w14:solidFill>
          </w14:textFill>
        </w:rPr>
        <w:t>、H</w:t>
      </w:r>
      <w:r>
        <w:rPr>
          <w:rFonts w:ascii="Times New Roman" w:hAnsi="Times New Roman" w:eastAsia="宋体"/>
          <w:bCs/>
          <w:color w:val="000000" w:themeColor="text1"/>
          <w:spacing w:val="0"/>
          <w:sz w:val="24"/>
          <w:highlight w:val="none"/>
          <w:vertAlign w:val="subscript"/>
          <w14:textFill>
            <w14:solidFill>
              <w14:schemeClr w14:val="tx1"/>
            </w14:solidFill>
          </w14:textFill>
        </w:rPr>
        <w:t>y</w:t>
      </w:r>
      <w:r>
        <w:rPr>
          <w:rFonts w:ascii="Times New Roman" w:hAnsi="Times New Roman" w:eastAsia="宋体"/>
          <w:bCs/>
          <w:color w:val="000000" w:themeColor="text1"/>
          <w:spacing w:val="0"/>
          <w:sz w:val="24"/>
          <w:highlight w:val="none"/>
          <w14:textFill>
            <w14:solidFill>
              <w14:schemeClr w14:val="tx1"/>
            </w14:solidFill>
          </w14:textFill>
        </w:rPr>
        <w:t>为计算点合成后水平分量和垂直分量（A/m）。</w:t>
      </w:r>
    </w:p>
    <w:p w14:paraId="63956B47">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为了与环境标准相对应，需要将磁场强度转换为磁感应强度（mT）（一般也简称磁场强度），转换公式的单位为亨利，换算为特斯拉用下公式：</w:t>
      </w:r>
    </w:p>
    <w:p w14:paraId="7641713C">
      <w:pPr>
        <w:spacing w:line="360" w:lineRule="auto"/>
        <w:jc w:val="center"/>
        <w:outlineLvl w:val="9"/>
        <w:rPr>
          <w:rFonts w:ascii="Times New Roman" w:hAnsi="Times New Roman" w:eastAsia="宋体"/>
          <w:bCs/>
          <w:i/>
          <w:color w:val="000000" w:themeColor="text1"/>
          <w:spacing w:val="0"/>
          <w:sz w:val="24"/>
          <w:highlight w:val="none"/>
          <w14:textFill>
            <w14:solidFill>
              <w14:schemeClr w14:val="tx1"/>
            </w14:solidFill>
          </w14:textFill>
        </w:rPr>
      </w:pPr>
      <w:r>
        <w:rPr>
          <w:rFonts w:ascii="Times New Roman" w:hAnsi="Times New Roman" w:eastAsia="宋体"/>
          <w:bCs/>
          <w:i/>
          <w:color w:val="000000" w:themeColor="text1"/>
          <w:spacing w:val="0"/>
          <w:sz w:val="24"/>
          <w:highlight w:val="none"/>
          <w14:textFill>
            <w14:solidFill>
              <w14:schemeClr w14:val="tx1"/>
            </w14:solidFill>
          </w14:textFill>
        </w:rPr>
        <w:t>B=μ</w:t>
      </w:r>
      <w:r>
        <w:rPr>
          <w:rFonts w:ascii="Times New Roman" w:hAnsi="Times New Roman" w:eastAsia="宋体"/>
          <w:bCs/>
          <w:i/>
          <w:color w:val="000000" w:themeColor="text1"/>
          <w:spacing w:val="0"/>
          <w:sz w:val="24"/>
          <w:highlight w:val="none"/>
          <w:vertAlign w:val="subscript"/>
          <w14:textFill>
            <w14:solidFill>
              <w14:schemeClr w14:val="tx1"/>
            </w14:solidFill>
          </w14:textFill>
        </w:rPr>
        <w:t>0</w:t>
      </w:r>
      <w:r>
        <w:rPr>
          <w:rFonts w:ascii="Times New Roman" w:hAnsi="Times New Roman" w:eastAsia="宋体"/>
          <w:bCs/>
          <w:i/>
          <w:color w:val="000000" w:themeColor="text1"/>
          <w:spacing w:val="0"/>
          <w:sz w:val="24"/>
          <w:highlight w:val="none"/>
          <w14:textFill>
            <w14:solidFill>
              <w14:schemeClr w14:val="tx1"/>
            </w14:solidFill>
          </w14:textFill>
        </w:rPr>
        <w:t>H</w:t>
      </w:r>
    </w:p>
    <w:p w14:paraId="47A200F5">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式中：B——磁感应强度（T）；</w:t>
      </w:r>
    </w:p>
    <w:p w14:paraId="2D0BA214">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H——磁场强度（H）；</w:t>
      </w:r>
    </w:p>
    <w:p w14:paraId="3255A266">
      <w:pPr>
        <w:spacing w:line="360" w:lineRule="auto"/>
        <w:ind w:firstLine="1200" w:firstLineChars="5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μ</w:t>
      </w:r>
      <w:r>
        <w:rPr>
          <w:rFonts w:ascii="Times New Roman" w:hAnsi="Times New Roman" w:eastAsia="宋体"/>
          <w:bCs/>
          <w:color w:val="000000" w:themeColor="text1"/>
          <w:spacing w:val="0"/>
          <w:sz w:val="24"/>
          <w:highlight w:val="none"/>
          <w:vertAlign w:val="subscript"/>
          <w14:textFill>
            <w14:solidFill>
              <w14:schemeClr w14:val="tx1"/>
            </w14:solidFill>
          </w14:textFill>
        </w:rPr>
        <w:t>0</w:t>
      </w:r>
      <w:r>
        <w:rPr>
          <w:rFonts w:ascii="Times New Roman" w:hAnsi="Times New Roman" w:eastAsia="宋体"/>
          <w:bCs/>
          <w:color w:val="000000" w:themeColor="text1"/>
          <w:spacing w:val="0"/>
          <w:sz w:val="24"/>
          <w:highlight w:val="none"/>
          <w14:textFill>
            <w14:solidFill>
              <w14:schemeClr w14:val="tx1"/>
            </w14:solidFill>
          </w14:textFill>
        </w:rPr>
        <w:t>——常数，真空中相对磁导率（μ</w:t>
      </w:r>
      <w:r>
        <w:rPr>
          <w:rFonts w:ascii="Times New Roman" w:hAnsi="Times New Roman" w:eastAsia="宋体"/>
          <w:bCs/>
          <w:color w:val="000000" w:themeColor="text1"/>
          <w:spacing w:val="0"/>
          <w:sz w:val="24"/>
          <w:highlight w:val="none"/>
          <w:vertAlign w:val="subscript"/>
          <w14:textFill>
            <w14:solidFill>
              <w14:schemeClr w14:val="tx1"/>
            </w14:solidFill>
          </w14:textFill>
        </w:rPr>
        <w:t>0</w:t>
      </w:r>
      <w:r>
        <w:rPr>
          <w:rFonts w:ascii="Times New Roman" w:hAnsi="Times New Roman" w:eastAsia="宋体"/>
          <w:bCs/>
          <w:color w:val="000000" w:themeColor="text1"/>
          <w:spacing w:val="0"/>
          <w:sz w:val="24"/>
          <w:highlight w:val="none"/>
          <w14:textFill>
            <w14:solidFill>
              <w14:schemeClr w14:val="tx1"/>
            </w14:solidFill>
          </w14:textFill>
        </w:rPr>
        <w:t>=4п×10</w:t>
      </w:r>
      <w:r>
        <w:rPr>
          <w:rFonts w:ascii="Times New Roman" w:hAnsi="Times New Roman" w:eastAsia="宋体"/>
          <w:bCs/>
          <w:color w:val="000000" w:themeColor="text1"/>
          <w:spacing w:val="0"/>
          <w:sz w:val="24"/>
          <w:highlight w:val="none"/>
          <w:vertAlign w:val="superscript"/>
          <w14:textFill>
            <w14:solidFill>
              <w14:schemeClr w14:val="tx1"/>
            </w14:solidFill>
          </w14:textFill>
        </w:rPr>
        <w:t>-7</w:t>
      </w:r>
      <w:r>
        <w:rPr>
          <w:rFonts w:ascii="Times New Roman" w:hAnsi="Times New Roman" w:eastAsia="宋体"/>
          <w:bCs/>
          <w:color w:val="000000" w:themeColor="text1"/>
          <w:spacing w:val="0"/>
          <w:sz w:val="24"/>
          <w:highlight w:val="none"/>
          <w14:textFill>
            <w14:solidFill>
              <w14:schemeClr w14:val="tx1"/>
            </w14:solidFill>
          </w14:textFill>
        </w:rPr>
        <w:t>H/m）。</w:t>
      </w:r>
    </w:p>
    <w:p w14:paraId="1A43E153">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（2）参数的选取</w:t>
      </w:r>
    </w:p>
    <w:p w14:paraId="3927DE75">
      <w:pPr>
        <w:spacing w:line="360" w:lineRule="auto"/>
        <w:ind w:firstLine="480" w:firstLineChars="200"/>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sz w:val="24"/>
          <w:highlight w:val="none"/>
          <w14:textFill>
            <w14:solidFill>
              <w14:schemeClr w14:val="tx1"/>
            </w14:solidFill>
          </w14:textFill>
        </w:rPr>
        <w:t>因输电线路运行产生的工频电场、工频磁场主要由导线型式、导线对地高度、相间距离和线路运行工况（电压、电流等）等因素决定。本次预测对本项目新建输电线路涉及的所有塔型进行预测，在导线对地高度相</w:t>
      </w:r>
      <w:r>
        <w:rPr>
          <w:rFonts w:ascii="Times New Roman" w:hAnsi="Times New Roman" w:eastAsia="宋体"/>
          <w:bCs/>
          <w:color w:val="000000" w:themeColor="text1"/>
          <w:spacing w:val="0"/>
          <w:sz w:val="24"/>
          <w:highlight w:val="none"/>
          <w14:textFill>
            <w14:solidFill>
              <w14:schemeClr w14:val="tx1"/>
            </w14:solidFill>
          </w14:textFill>
        </w:rPr>
        <w:t>同的情况下</w:t>
      </w:r>
      <w:r>
        <w:rPr>
          <w:rFonts w:hint="eastAsia" w:ascii="Times New Roman" w:hAnsi="Times New Roman" w:eastAsia="宋体"/>
          <w:bCs/>
          <w:color w:val="000000" w:themeColor="text1"/>
          <w:spacing w:val="0"/>
          <w:sz w:val="24"/>
          <w:highlight w:val="none"/>
          <w:lang w:eastAsia="zh-CN"/>
          <w14:textFill>
            <w14:solidFill>
              <w14:schemeClr w14:val="tx1"/>
            </w14:solidFill>
          </w14:textFill>
        </w:rPr>
        <w:t>，</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选择影响最大的杆塔进行预测。</w:t>
      </w:r>
      <w:r>
        <w:rPr>
          <w:rFonts w:ascii="Times New Roman" w:hAnsi="Times New Roman" w:eastAsia="宋体"/>
          <w:color w:val="000000" w:themeColor="text1"/>
          <w:spacing w:val="0"/>
          <w:sz w:val="24"/>
          <w:highlight w:val="none"/>
          <w:lang w:val="zh-CN"/>
          <w14:textFill>
            <w14:solidFill>
              <w14:schemeClr w14:val="tx1"/>
            </w14:solidFill>
          </w14:textFill>
        </w:rPr>
        <w:t>根据《110kV~750kV架空输电线路设计规范》（GB50545-2010）的要求，</w:t>
      </w:r>
      <w:r>
        <w:rPr>
          <w:rFonts w:hint="eastAsia" w:ascii="Times New Roman" w:hAnsi="Times New Roman" w:eastAsia="宋体"/>
          <w:color w:val="000000" w:themeColor="text1"/>
          <w:spacing w:val="0"/>
          <w:sz w:val="24"/>
          <w:highlight w:val="none"/>
          <w14:textFill>
            <w14:solidFill>
              <w14:schemeClr w14:val="tx1"/>
            </w14:solidFill>
          </w14:textFill>
        </w:rPr>
        <w:t>110</w:t>
      </w:r>
      <w:r>
        <w:rPr>
          <w:rFonts w:ascii="Times New Roman" w:hAnsi="Times New Roman" w:eastAsia="宋体"/>
          <w:color w:val="000000" w:themeColor="text1"/>
          <w:spacing w:val="0"/>
          <w:sz w:val="24"/>
          <w:highlight w:val="none"/>
          <w:lang w:val="zh-CN"/>
          <w14:textFill>
            <w14:solidFill>
              <w14:schemeClr w14:val="tx1"/>
            </w14:solidFill>
          </w14:textFill>
        </w:rPr>
        <w:t>kV架空线路经过非</w:t>
      </w:r>
      <w:r>
        <w:rPr>
          <w:rFonts w:ascii="Times New Roman" w:hAnsi="Times New Roman" w:eastAsia="宋体"/>
          <w:color w:val="000000" w:themeColor="text1"/>
          <w:spacing w:val="0"/>
          <w:sz w:val="24"/>
          <w:highlight w:val="none"/>
          <w14:textFill>
            <w14:solidFill>
              <w14:schemeClr w14:val="tx1"/>
            </w14:solidFill>
          </w14:textFill>
        </w:rPr>
        <w:t>居民区</w:t>
      </w:r>
      <w:r>
        <w:rPr>
          <w:rFonts w:ascii="Times New Roman" w:hAnsi="Times New Roman" w:eastAsia="宋体"/>
          <w:color w:val="000000" w:themeColor="text1"/>
          <w:spacing w:val="0"/>
          <w:sz w:val="24"/>
          <w:highlight w:val="none"/>
          <w:lang w:val="zh-CN"/>
          <w14:textFill>
            <w14:solidFill>
              <w14:schemeClr w14:val="tx1"/>
            </w14:solidFill>
          </w14:textFill>
        </w:rPr>
        <w:t>时</w:t>
      </w:r>
      <w:r>
        <w:rPr>
          <w:rFonts w:ascii="Times New Roman" w:hAnsi="Times New Roman" w:eastAsia="宋体"/>
          <w:color w:val="000000" w:themeColor="text1"/>
          <w:spacing w:val="0"/>
          <w:sz w:val="24"/>
          <w:highlight w:val="none"/>
          <w14:textFill>
            <w14:solidFill>
              <w14:schemeClr w14:val="tx1"/>
            </w14:solidFill>
          </w14:textFill>
        </w:rPr>
        <w:t>导线对地高度不得低于</w:t>
      </w:r>
      <w:r>
        <w:rPr>
          <w:rFonts w:ascii="Times New Roman" w:hAnsi="Times New Roman" w:eastAsia="宋体"/>
          <w:color w:val="000000" w:themeColor="text1"/>
          <w:spacing w:val="0"/>
          <w:sz w:val="24"/>
          <w:highlight w:val="none"/>
          <w:lang w:val="zh-CN"/>
          <w14:textFill>
            <w14:solidFill>
              <w14:schemeClr w14:val="tx1"/>
            </w14:solidFill>
          </w14:textFill>
        </w:rPr>
        <w:t>6.</w:t>
      </w:r>
      <w:r>
        <w:rPr>
          <w:rFonts w:hint="eastAsia" w:ascii="Times New Roman" w:hAnsi="Times New Roman" w:eastAsia="宋体"/>
          <w:color w:val="000000" w:themeColor="text1"/>
          <w:spacing w:val="0"/>
          <w:sz w:val="24"/>
          <w:highlight w:val="none"/>
          <w14:textFill>
            <w14:solidFill>
              <w14:schemeClr w14:val="tx1"/>
            </w14:solidFill>
          </w14:textFill>
        </w:rPr>
        <w:t>0</w:t>
      </w:r>
      <w:r>
        <w:rPr>
          <w:rFonts w:ascii="Times New Roman" w:hAnsi="Times New Roman" w:eastAsia="宋体"/>
          <w:color w:val="000000" w:themeColor="text1"/>
          <w:spacing w:val="0"/>
          <w:sz w:val="24"/>
          <w:highlight w:val="none"/>
          <w:lang w:val="zh-CN"/>
          <w14:textFill>
            <w14:solidFill>
              <w14:schemeClr w14:val="tx1"/>
            </w14:solidFill>
          </w14:textFill>
        </w:rPr>
        <w:t>m；</w:t>
      </w:r>
      <w:r>
        <w:rPr>
          <w:rFonts w:ascii="Times New Roman" w:hAnsi="Times New Roman" w:eastAsia="宋体"/>
          <w:color w:val="000000" w:themeColor="text1"/>
          <w:spacing w:val="0"/>
          <w:sz w:val="24"/>
          <w:highlight w:val="none"/>
          <w14:textFill>
            <w14:solidFill>
              <w14:schemeClr w14:val="tx1"/>
            </w14:solidFill>
          </w14:textFill>
        </w:rPr>
        <w:t>经过居民区时，导线对地高度不得低于</w:t>
      </w:r>
      <w:r>
        <w:rPr>
          <w:rFonts w:hint="eastAsia" w:ascii="Times New Roman" w:hAnsi="Times New Roman" w:eastAsia="宋体"/>
          <w:color w:val="000000" w:themeColor="text1"/>
          <w:spacing w:val="0"/>
          <w:sz w:val="24"/>
          <w:highlight w:val="none"/>
          <w14:textFill>
            <w14:solidFill>
              <w14:schemeClr w14:val="tx1"/>
            </w14:solidFill>
          </w14:textFill>
        </w:rPr>
        <w:t>7.0</w:t>
      </w:r>
      <w:r>
        <w:rPr>
          <w:rFonts w:ascii="Times New Roman" w:hAnsi="Times New Roman" w:eastAsia="宋体"/>
          <w:color w:val="000000" w:themeColor="text1"/>
          <w:spacing w:val="0"/>
          <w:sz w:val="24"/>
          <w:highlight w:val="none"/>
          <w:lang w:val="zh-CN"/>
          <w14:textFill>
            <w14:solidFill>
              <w14:schemeClr w14:val="tx1"/>
            </w14:solidFill>
          </w14:textFill>
        </w:rPr>
        <w:t>m</w:t>
      </w:r>
      <w:r>
        <w:rPr>
          <w:rFonts w:ascii="Times New Roman" w:hAnsi="Times New Roman" w:eastAsia="宋体"/>
          <w:color w:val="000000" w:themeColor="text1"/>
          <w:spacing w:val="0"/>
          <w:sz w:val="24"/>
          <w:highlight w:val="none"/>
          <w14:textFill>
            <w14:solidFill>
              <w14:schemeClr w14:val="tx1"/>
            </w14:solidFill>
          </w14:textFill>
        </w:rPr>
        <w:t>。且根据后续预测，本项目</w:t>
      </w:r>
      <w:r>
        <w:rPr>
          <w:rFonts w:hint="eastAsia" w:ascii="Times New Roman" w:hAnsi="Times New Roman" w:eastAsia="宋体"/>
          <w:color w:val="000000" w:themeColor="text1"/>
          <w:spacing w:val="0"/>
          <w:sz w:val="24"/>
          <w:highlight w:val="none"/>
          <w14:textFill>
            <w14:solidFill>
              <w14:schemeClr w14:val="tx1"/>
            </w14:solidFill>
          </w14:textFill>
        </w:rPr>
        <w:t>11</w:t>
      </w:r>
      <w:r>
        <w:rPr>
          <w:rFonts w:ascii="Times New Roman" w:hAnsi="Times New Roman" w:eastAsia="宋体"/>
          <w:color w:val="000000" w:themeColor="text1"/>
          <w:spacing w:val="0"/>
          <w:sz w:val="24"/>
          <w:highlight w:val="none"/>
          <w14:textFill>
            <w14:solidFill>
              <w14:schemeClr w14:val="tx1"/>
            </w14:solidFill>
          </w14:textFill>
        </w:rPr>
        <w:t>0千伏线路在经过环境敏感目标附近时，导线对地高度为</w:t>
      </w:r>
      <w:r>
        <w:rPr>
          <w:rFonts w:hint="eastAsia" w:ascii="Times New Roman" w:hAnsi="Times New Roman" w:eastAsia="宋体"/>
          <w:color w:val="000000" w:themeColor="text1"/>
          <w:spacing w:val="0"/>
          <w:sz w:val="24"/>
          <w:highlight w:val="none"/>
          <w14:textFill>
            <w14:solidFill>
              <w14:schemeClr w14:val="tx1"/>
            </w14:solidFill>
          </w14:textFill>
        </w:rPr>
        <w:t>7.0</w:t>
      </w:r>
      <w:r>
        <w:rPr>
          <w:rFonts w:ascii="Times New Roman" w:hAnsi="Times New Roman" w:eastAsia="宋体"/>
          <w:color w:val="000000" w:themeColor="text1"/>
          <w:spacing w:val="0"/>
          <w:sz w:val="24"/>
          <w:highlight w:val="none"/>
          <w14:textFill>
            <w14:solidFill>
              <w14:schemeClr w14:val="tx1"/>
            </w14:solidFill>
          </w14:textFill>
        </w:rPr>
        <w:t>m时，满足《电磁环境控制限值》（GB8702-2014）中规定的</w:t>
      </w:r>
      <w:r>
        <w:rPr>
          <w:rFonts w:ascii="Times New Roman" w:hAnsi="Times New Roman" w:eastAsia="宋体"/>
          <w:bCs/>
          <w:color w:val="000000" w:themeColor="text1"/>
          <w:spacing w:val="0"/>
          <w:sz w:val="24"/>
          <w:highlight w:val="none"/>
          <w14:textFill>
            <w14:solidFill>
              <w14:schemeClr w14:val="tx1"/>
            </w14:solidFill>
          </w14:textFill>
        </w:rPr>
        <w:t>工频电场强度</w:t>
      </w:r>
      <w:r>
        <w:rPr>
          <w:rFonts w:ascii="Times New Roman" w:hAnsi="Times New Roman" w:eastAsia="宋体"/>
          <w:color w:val="000000" w:themeColor="text1"/>
          <w:spacing w:val="0"/>
          <w:sz w:val="24"/>
          <w:highlight w:val="none"/>
          <w14:textFill>
            <w14:solidFill>
              <w14:schemeClr w14:val="tx1"/>
            </w14:solidFill>
          </w14:textFill>
        </w:rPr>
        <w:t>4000V/m的标准限值要求。因此，预测导线对地高度6.</w:t>
      </w:r>
      <w:r>
        <w:rPr>
          <w:rFonts w:hint="eastAsia" w:ascii="Times New Roman" w:hAnsi="Times New Roman" w:eastAsia="宋体"/>
          <w:color w:val="000000" w:themeColor="text1"/>
          <w:spacing w:val="0"/>
          <w:sz w:val="24"/>
          <w:highlight w:val="none"/>
          <w14:textFill>
            <w14:solidFill>
              <w14:schemeClr w14:val="tx1"/>
            </w14:solidFill>
          </w14:textFill>
        </w:rPr>
        <w:t>0</w:t>
      </w:r>
      <w:r>
        <w:rPr>
          <w:rFonts w:ascii="Times New Roman" w:hAnsi="Times New Roman" w:eastAsia="宋体"/>
          <w:color w:val="000000" w:themeColor="text1"/>
          <w:spacing w:val="0"/>
          <w:sz w:val="24"/>
          <w:highlight w:val="none"/>
          <w14:textFill>
            <w14:solidFill>
              <w14:schemeClr w14:val="tx1"/>
            </w14:solidFill>
          </w14:textFill>
        </w:rPr>
        <w:t>m、7.</w:t>
      </w:r>
      <w:r>
        <w:rPr>
          <w:rFonts w:hint="eastAsia" w:ascii="Times New Roman" w:hAnsi="Times New Roman" w:eastAsia="宋体"/>
          <w:color w:val="000000" w:themeColor="text1"/>
          <w:spacing w:val="0"/>
          <w:sz w:val="24"/>
          <w:highlight w:val="none"/>
          <w14:textFill>
            <w14:solidFill>
              <w14:schemeClr w14:val="tx1"/>
            </w14:solidFill>
          </w14:textFill>
        </w:rPr>
        <w:t>0</w:t>
      </w:r>
      <w:r>
        <w:rPr>
          <w:rFonts w:ascii="Times New Roman" w:hAnsi="Times New Roman" w:eastAsia="宋体"/>
          <w:color w:val="000000" w:themeColor="text1"/>
          <w:spacing w:val="0"/>
          <w:sz w:val="24"/>
          <w:highlight w:val="none"/>
          <w14:textFill>
            <w14:solidFill>
              <w14:schemeClr w14:val="tx1"/>
            </w14:solidFill>
          </w14:textFill>
        </w:rPr>
        <w:t>m计</w:t>
      </w:r>
      <w:r>
        <w:rPr>
          <w:rFonts w:ascii="Times New Roman" w:hAnsi="Times New Roman" w:eastAsia="宋体"/>
          <w:color w:val="000000" w:themeColor="text1"/>
          <w:spacing w:val="0"/>
          <w:sz w:val="24"/>
          <w:highlight w:val="none"/>
          <w:lang w:val="zh-CN"/>
          <w14:textFill>
            <w14:solidFill>
              <w14:schemeClr w14:val="tx1"/>
            </w14:solidFill>
          </w14:textFill>
        </w:rPr>
        <w:t>。</w:t>
      </w:r>
      <w:r>
        <w:rPr>
          <w:rFonts w:ascii="Times New Roman" w:hAnsi="Times New Roman" w:eastAsia="宋体"/>
          <w:color w:val="000000" w:themeColor="text1"/>
          <w:spacing w:val="0"/>
          <w:sz w:val="24"/>
          <w:highlight w:val="none"/>
          <w14:textFill>
            <w14:solidFill>
              <w14:schemeClr w14:val="tx1"/>
            </w14:solidFill>
          </w14:textFill>
        </w:rPr>
        <w:t>本项目架空线路电磁计算参数见专题表</w:t>
      </w:r>
      <w:r>
        <w:rPr>
          <w:rFonts w:hint="eastAsia"/>
          <w:color w:val="000000" w:themeColor="text1"/>
          <w:spacing w:val="0"/>
          <w:sz w:val="24"/>
          <w:highlight w:val="none"/>
          <w:lang w:val="en-US" w:eastAsia="zh-CN"/>
          <w14:textFill>
            <w14:solidFill>
              <w14:schemeClr w14:val="tx1"/>
            </w14:solidFill>
          </w14:textFill>
        </w:rPr>
        <w:t>10</w:t>
      </w:r>
      <w:r>
        <w:rPr>
          <w:rFonts w:ascii="Times New Roman" w:hAnsi="Times New Roman" w:eastAsia="宋体"/>
          <w:color w:val="000000" w:themeColor="text1"/>
          <w:spacing w:val="0"/>
          <w:sz w:val="24"/>
          <w:highlight w:val="none"/>
          <w14:textFill>
            <w14:solidFill>
              <w14:schemeClr w14:val="tx1"/>
            </w14:solidFill>
          </w14:textFill>
        </w:rPr>
        <w:t>。</w:t>
      </w:r>
    </w:p>
    <w:p w14:paraId="498DF5E9">
      <w:pPr>
        <w:spacing w:line="360" w:lineRule="auto"/>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专题表</w:t>
      </w:r>
      <w:r>
        <w:rPr>
          <w:rFonts w:hint="eastAsia"/>
          <w:b/>
          <w:bCs/>
          <w:color w:val="000000" w:themeColor="text1"/>
          <w:spacing w:val="0"/>
          <w:sz w:val="24"/>
          <w:highlight w:val="none"/>
          <w:lang w:val="en-US" w:eastAsia="zh-CN"/>
          <w14:textFill>
            <w14:solidFill>
              <w14:schemeClr w14:val="tx1"/>
            </w14:solidFill>
          </w14:textFill>
        </w:rPr>
        <w:t>10</w:t>
      </w:r>
      <w:r>
        <w:rPr>
          <w:rFonts w:ascii="Times New Roman" w:hAnsi="Times New Roman" w:eastAsia="宋体"/>
          <w:b/>
          <w:bCs/>
          <w:color w:val="000000" w:themeColor="text1"/>
          <w:spacing w:val="0"/>
          <w:sz w:val="24"/>
          <w:highlight w:val="none"/>
          <w14:textFill>
            <w14:solidFill>
              <w14:schemeClr w14:val="tx1"/>
            </w14:solidFill>
          </w14:textFill>
        </w:rPr>
        <w:t xml:space="preserve">  本项目架空线路电磁计算参数一览表</w:t>
      </w:r>
    </w:p>
    <w:tbl>
      <w:tblPr>
        <w:tblStyle w:val="27"/>
        <w:tblW w:w="89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3945"/>
        <w:gridCol w:w="3446"/>
      </w:tblGrid>
      <w:tr w14:paraId="2DD86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32B10613">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预测情景</w:t>
            </w:r>
          </w:p>
        </w:tc>
        <w:tc>
          <w:tcPr>
            <w:tcW w:w="3945" w:type="dxa"/>
            <w:tcBorders>
              <w:tl2br w:val="nil"/>
              <w:tr2bl w:val="nil"/>
            </w:tcBorders>
            <w:noWrap w:val="0"/>
            <w:vAlign w:val="center"/>
          </w:tcPr>
          <w:p w14:paraId="5E9A35FB">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双回路</w:t>
            </w:r>
            <w:r>
              <w:rPr>
                <w:rFonts w:hint="default" w:ascii="Times New Roman" w:hAnsi="Times New Roman" w:eastAsia="宋体" w:cs="Times New Roman"/>
                <w:color w:val="000000" w:themeColor="text1"/>
                <w:spacing w:val="0"/>
                <w:w w:val="100"/>
                <w:position w:val="0"/>
                <w:sz w:val="21"/>
                <w:szCs w:val="21"/>
                <w:highlight w:val="none"/>
                <w:lang w:val="en-US" w:eastAsia="zh-CN"/>
                <w14:textFill>
                  <w14:solidFill>
                    <w14:schemeClr w14:val="tx1"/>
                  </w14:solidFill>
                </w14:textFill>
              </w:rPr>
              <w:t>输电线路</w:t>
            </w:r>
          </w:p>
        </w:tc>
        <w:tc>
          <w:tcPr>
            <w:tcW w:w="3446" w:type="dxa"/>
            <w:tcBorders>
              <w:tl2br w:val="nil"/>
              <w:tr2bl w:val="nil"/>
            </w:tcBorders>
            <w:noWrap w:val="0"/>
            <w:vAlign w:val="center"/>
          </w:tcPr>
          <w:p w14:paraId="62AC5D67">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w w:val="100"/>
                <w:position w:val="0"/>
                <w:sz w:val="21"/>
                <w:szCs w:val="21"/>
                <w:highlight w:val="none"/>
                <w:vertAlign w:val="baseline"/>
                <w:lang w:val="en-US" w:eastAsia="zh-CN"/>
                <w14:textFill>
                  <w14:solidFill>
                    <w14:schemeClr w14:val="tx1"/>
                  </w14:solidFill>
                </w14:textFill>
              </w:rPr>
              <w:t>单回路输电线路</w:t>
            </w:r>
          </w:p>
        </w:tc>
      </w:tr>
      <w:tr w14:paraId="52E69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47C74EC5">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预测塔型</w:t>
            </w:r>
          </w:p>
        </w:tc>
        <w:tc>
          <w:tcPr>
            <w:tcW w:w="3945" w:type="dxa"/>
            <w:tcBorders>
              <w:tl2br w:val="nil"/>
              <w:tr2bl w:val="nil"/>
            </w:tcBorders>
            <w:noWrap w:val="0"/>
            <w:vAlign w:val="center"/>
          </w:tcPr>
          <w:p w14:paraId="4FCA85E8">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Cs/>
                <w:color w:val="000000" w:themeColor="text1"/>
                <w:spacing w:val="0"/>
                <w:szCs w:val="21"/>
                <w:highlight w:val="green"/>
                <w:lang w:val="en-US" w:eastAsia="zh-CN"/>
                <w14:textFill>
                  <w14:solidFill>
                    <w14:schemeClr w14:val="tx1"/>
                  </w14:solidFill>
                </w14:textFill>
              </w:rPr>
            </w:pPr>
            <w:r>
              <w:rPr>
                <w:rFonts w:hint="default" w:ascii="Times New Roman" w:hAnsi="Times New Roman" w:eastAsia="宋体" w:cs="Times New Roman"/>
                <w:bCs/>
                <w:color w:val="000000" w:themeColor="text1"/>
                <w:spacing w:val="0"/>
                <w:szCs w:val="21"/>
                <w:highlight w:val="none"/>
                <w14:textFill>
                  <w14:solidFill>
                    <w14:schemeClr w14:val="tx1"/>
                  </w14:solidFill>
                </w14:textFill>
              </w:rPr>
              <w:t>110-</w:t>
            </w:r>
            <w:r>
              <w:rPr>
                <w:rFonts w:hint="eastAsia" w:ascii="Times New Roman" w:hAnsi="Times New Roman" w:eastAsia="宋体" w:cs="Times New Roman"/>
                <w:bCs/>
                <w:color w:val="000000" w:themeColor="text1"/>
                <w:spacing w:val="0"/>
                <w:szCs w:val="21"/>
                <w:highlight w:val="none"/>
                <w:lang w:val="en-US" w:eastAsia="zh-CN"/>
                <w14:textFill>
                  <w14:solidFill>
                    <w14:schemeClr w14:val="tx1"/>
                  </w14:solidFill>
                </w14:textFill>
              </w:rPr>
              <w:t>D</w:t>
            </w:r>
            <w:r>
              <w:rPr>
                <w:rFonts w:hint="default" w:ascii="Times New Roman" w:hAnsi="Times New Roman" w:eastAsia="宋体" w:cs="Times New Roman"/>
                <w:bCs/>
                <w:color w:val="000000" w:themeColor="text1"/>
                <w:spacing w:val="0"/>
                <w:szCs w:val="21"/>
                <w:highlight w:val="none"/>
                <w14:textFill>
                  <w14:solidFill>
                    <w14:schemeClr w14:val="tx1"/>
                  </w14:solidFill>
                </w14:textFill>
              </w:rPr>
              <w:t>C22S-J</w:t>
            </w:r>
            <w:r>
              <w:rPr>
                <w:rFonts w:hint="eastAsia" w:ascii="Times New Roman" w:hAnsi="Times New Roman" w:eastAsia="宋体" w:cs="Times New Roman"/>
                <w:bCs/>
                <w:color w:val="000000" w:themeColor="text1"/>
                <w:spacing w:val="0"/>
                <w:szCs w:val="21"/>
                <w:highlight w:val="none"/>
                <w:lang w:val="en-US" w:eastAsia="zh-CN"/>
                <w14:textFill>
                  <w14:solidFill>
                    <w14:schemeClr w14:val="tx1"/>
                  </w14:solidFill>
                </w14:textFill>
              </w:rPr>
              <w:t>4型铁塔</w:t>
            </w:r>
          </w:p>
        </w:tc>
        <w:tc>
          <w:tcPr>
            <w:tcW w:w="3446" w:type="dxa"/>
            <w:tcBorders>
              <w:tl2br w:val="nil"/>
              <w:tr2bl w:val="nil"/>
            </w:tcBorders>
            <w:noWrap w:val="0"/>
            <w:vAlign w:val="center"/>
          </w:tcPr>
          <w:p w14:paraId="30F27E49">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kern w:val="2"/>
                <w:sz w:val="21"/>
                <w:szCs w:val="21"/>
                <w:highlight w:val="green"/>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Cs w:val="21"/>
                <w:highlight w:val="none"/>
                <w14:textFill>
                  <w14:solidFill>
                    <w14:schemeClr w14:val="tx1"/>
                  </w14:solidFill>
                </w14:textFill>
              </w:rPr>
              <w:t>110-DC22D-DJ型</w:t>
            </w:r>
            <w:r>
              <w:rPr>
                <w:rFonts w:hint="eastAsia" w:ascii="Times New Roman" w:hAnsi="Times New Roman" w:eastAsia="宋体" w:cs="Times New Roman"/>
                <w:color w:val="000000" w:themeColor="text1"/>
                <w:spacing w:val="0"/>
                <w:szCs w:val="21"/>
                <w:highlight w:val="none"/>
                <w:lang w:val="en-US" w:eastAsia="zh-CN"/>
                <w14:textFill>
                  <w14:solidFill>
                    <w14:schemeClr w14:val="tx1"/>
                  </w14:solidFill>
                </w14:textFill>
              </w:rPr>
              <w:t>铁塔</w:t>
            </w:r>
          </w:p>
        </w:tc>
      </w:tr>
      <w:tr w14:paraId="17CC3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33123E08">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导线型式</w:t>
            </w:r>
          </w:p>
        </w:tc>
        <w:tc>
          <w:tcPr>
            <w:tcW w:w="3945" w:type="dxa"/>
            <w:tcBorders>
              <w:tl2br w:val="nil"/>
              <w:tr2bl w:val="nil"/>
            </w:tcBorders>
            <w:noWrap w:val="0"/>
            <w:vAlign w:val="center"/>
          </w:tcPr>
          <w:p w14:paraId="3F745BB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bCs/>
                <w:color w:val="000000" w:themeColor="text1"/>
                <w:spacing w:val="0"/>
                <w:szCs w:val="21"/>
                <w:highlight w:val="none"/>
                <w:lang w:val="en-US" w:eastAsia="zh-CN"/>
                <w14:textFill>
                  <w14:solidFill>
                    <w14:schemeClr w14:val="tx1"/>
                  </w14:solidFill>
                </w14:textFill>
              </w:rPr>
              <w:t xml:space="preserve"> 1×JL3/G1A-300/25</w:t>
            </w:r>
          </w:p>
        </w:tc>
        <w:tc>
          <w:tcPr>
            <w:tcW w:w="3446" w:type="dxa"/>
            <w:tcBorders>
              <w:tl2br w:val="nil"/>
              <w:tr2bl w:val="nil"/>
            </w:tcBorders>
            <w:noWrap w:val="0"/>
            <w:vAlign w:val="center"/>
          </w:tcPr>
          <w:p w14:paraId="46E9C70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bCs/>
                <w:color w:val="000000" w:themeColor="text1"/>
                <w:spacing w:val="0"/>
                <w:szCs w:val="21"/>
                <w:highlight w:val="none"/>
                <w:lang w:val="en-US" w:eastAsia="zh-CN"/>
                <w14:textFill>
                  <w14:solidFill>
                    <w14:schemeClr w14:val="tx1"/>
                  </w14:solidFill>
                </w14:textFill>
              </w:rPr>
              <w:t xml:space="preserve"> 1×JL3/G1A-300/25</w:t>
            </w:r>
          </w:p>
        </w:tc>
      </w:tr>
      <w:tr w14:paraId="0B3E9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2F39E624">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导线排列方式</w:t>
            </w:r>
          </w:p>
        </w:tc>
        <w:tc>
          <w:tcPr>
            <w:tcW w:w="3945" w:type="dxa"/>
            <w:tcBorders>
              <w:tl2br w:val="nil"/>
              <w:tr2bl w:val="nil"/>
            </w:tcBorders>
            <w:noWrap w:val="0"/>
            <w:vAlign w:val="center"/>
          </w:tcPr>
          <w:p w14:paraId="2E8F5283">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垂直</w:t>
            </w:r>
          </w:p>
        </w:tc>
        <w:tc>
          <w:tcPr>
            <w:tcW w:w="3446" w:type="dxa"/>
            <w:tcBorders>
              <w:tl2br w:val="nil"/>
              <w:tr2bl w:val="nil"/>
            </w:tcBorders>
            <w:noWrap w:val="0"/>
            <w:vAlign w:val="center"/>
          </w:tcPr>
          <w:p w14:paraId="4CE3571D">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三角</w:t>
            </w:r>
          </w:p>
        </w:tc>
      </w:tr>
      <w:tr w14:paraId="0CDF2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7EE34B3A">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分裂型式</w:t>
            </w:r>
          </w:p>
        </w:tc>
        <w:tc>
          <w:tcPr>
            <w:tcW w:w="3945" w:type="dxa"/>
            <w:tcBorders>
              <w:tl2br w:val="nil"/>
              <w:tr2bl w:val="nil"/>
            </w:tcBorders>
            <w:noWrap w:val="0"/>
            <w:vAlign w:val="center"/>
          </w:tcPr>
          <w:p w14:paraId="13CC8EF1">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分裂</w:t>
            </w:r>
          </w:p>
        </w:tc>
        <w:tc>
          <w:tcPr>
            <w:tcW w:w="3446" w:type="dxa"/>
            <w:tcBorders>
              <w:tl2br w:val="nil"/>
              <w:tr2bl w:val="nil"/>
            </w:tcBorders>
            <w:noWrap w:val="0"/>
            <w:vAlign w:val="center"/>
          </w:tcPr>
          <w:p w14:paraId="6D53B017">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分裂</w:t>
            </w:r>
          </w:p>
        </w:tc>
      </w:tr>
      <w:tr w14:paraId="0BA97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1E0353AF">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导线外径</w:t>
            </w:r>
          </w:p>
        </w:tc>
        <w:tc>
          <w:tcPr>
            <w:tcW w:w="3945" w:type="dxa"/>
            <w:tcBorders>
              <w:tl2br w:val="nil"/>
              <w:tr2bl w:val="nil"/>
            </w:tcBorders>
            <w:noWrap w:val="0"/>
            <w:vAlign w:val="center"/>
          </w:tcPr>
          <w:p w14:paraId="677E119C">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highlight w:val="none"/>
                <w:lang w:val="en-US" w:eastAsia="zh-CN"/>
                <w14:textFill>
                  <w14:solidFill>
                    <w14:schemeClr w14:val="tx1"/>
                  </w14:solidFill>
                </w14:textFill>
              </w:rPr>
              <w:t>23.8</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mm</w:t>
            </w:r>
          </w:p>
        </w:tc>
        <w:tc>
          <w:tcPr>
            <w:tcW w:w="3446" w:type="dxa"/>
            <w:tcBorders>
              <w:tl2br w:val="nil"/>
              <w:tr2bl w:val="nil"/>
            </w:tcBorders>
            <w:noWrap w:val="0"/>
            <w:vAlign w:val="center"/>
          </w:tcPr>
          <w:p w14:paraId="46EA43A2">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Cs w:val="21"/>
                <w:highlight w:val="none"/>
                <w:lang w:val="en-US" w:eastAsia="zh-CN"/>
                <w14:textFill>
                  <w14:solidFill>
                    <w14:schemeClr w14:val="tx1"/>
                  </w14:solidFill>
                </w14:textFill>
              </w:rPr>
              <w:t>23.8</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mm</w:t>
            </w:r>
          </w:p>
        </w:tc>
      </w:tr>
      <w:tr w14:paraId="7B2CB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4C2F5151">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输送功率</w:t>
            </w:r>
          </w:p>
        </w:tc>
        <w:tc>
          <w:tcPr>
            <w:tcW w:w="3945" w:type="dxa"/>
            <w:tcBorders>
              <w:tl2br w:val="nil"/>
              <w:tr2bl w:val="nil"/>
            </w:tcBorders>
            <w:noWrap w:val="0"/>
            <w:vAlign w:val="center"/>
          </w:tcPr>
          <w:p w14:paraId="44A3B713">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114.31</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MW</w:t>
            </w:r>
          </w:p>
        </w:tc>
        <w:tc>
          <w:tcPr>
            <w:tcW w:w="3446" w:type="dxa"/>
            <w:tcBorders>
              <w:tl2br w:val="nil"/>
              <w:tr2bl w:val="nil"/>
            </w:tcBorders>
            <w:noWrap w:val="0"/>
            <w:vAlign w:val="center"/>
          </w:tcPr>
          <w:p w14:paraId="087E5AA9">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114.31</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MW</w:t>
            </w:r>
          </w:p>
        </w:tc>
      </w:tr>
      <w:tr w14:paraId="66138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6D23081E">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功率因数</w:t>
            </w:r>
          </w:p>
        </w:tc>
        <w:tc>
          <w:tcPr>
            <w:tcW w:w="3945" w:type="dxa"/>
            <w:tcBorders>
              <w:tl2br w:val="nil"/>
              <w:tr2bl w:val="nil"/>
            </w:tcBorders>
            <w:noWrap w:val="0"/>
            <w:vAlign w:val="center"/>
          </w:tcPr>
          <w:p w14:paraId="1582D806">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0.95</w:t>
            </w:r>
          </w:p>
        </w:tc>
        <w:tc>
          <w:tcPr>
            <w:tcW w:w="3446" w:type="dxa"/>
            <w:tcBorders>
              <w:tl2br w:val="nil"/>
              <w:tr2bl w:val="nil"/>
            </w:tcBorders>
            <w:noWrap w:val="0"/>
            <w:vAlign w:val="center"/>
          </w:tcPr>
          <w:p w14:paraId="35A38F29">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0.95</w:t>
            </w:r>
          </w:p>
        </w:tc>
      </w:tr>
      <w:tr w14:paraId="31447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543B292E">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预测电压</w:t>
            </w:r>
          </w:p>
        </w:tc>
        <w:tc>
          <w:tcPr>
            <w:tcW w:w="3945" w:type="dxa"/>
            <w:tcBorders>
              <w:tl2br w:val="nil"/>
              <w:tr2bl w:val="nil"/>
            </w:tcBorders>
            <w:noWrap w:val="0"/>
            <w:vAlign w:val="center"/>
          </w:tcPr>
          <w:p w14:paraId="4572FD38">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115.5</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kV</w:t>
            </w:r>
          </w:p>
        </w:tc>
        <w:tc>
          <w:tcPr>
            <w:tcW w:w="3446" w:type="dxa"/>
            <w:tcBorders>
              <w:tl2br w:val="nil"/>
              <w:tr2bl w:val="nil"/>
            </w:tcBorders>
            <w:noWrap w:val="0"/>
            <w:vAlign w:val="center"/>
          </w:tcPr>
          <w:p w14:paraId="33707723">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115.5</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kV</w:t>
            </w:r>
          </w:p>
        </w:tc>
      </w:tr>
      <w:tr w14:paraId="528FF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545D54C8">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相序排列</w:t>
            </w:r>
          </w:p>
        </w:tc>
        <w:tc>
          <w:tcPr>
            <w:tcW w:w="3945" w:type="dxa"/>
            <w:tcBorders>
              <w:tl2br w:val="nil"/>
              <w:tr2bl w:val="nil"/>
            </w:tcBorders>
            <w:noWrap w:val="0"/>
            <w:vAlign w:val="center"/>
          </w:tcPr>
          <w:p w14:paraId="76C07C1E">
            <w:pPr>
              <w:pStyle w:val="2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ABC</w:t>
            </w:r>
            <w:r>
              <w:rPr>
                <w:rFonts w:hint="eastAsia"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ABC</w:t>
            </w:r>
            <w:r>
              <w:rPr>
                <w:rFonts w:hint="eastAsia"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（最不利情况下）</w:t>
            </w:r>
          </w:p>
        </w:tc>
        <w:tc>
          <w:tcPr>
            <w:tcW w:w="3446" w:type="dxa"/>
            <w:tcBorders>
              <w:tl2br w:val="nil"/>
              <w:tr2bl w:val="nil"/>
            </w:tcBorders>
            <w:noWrap w:val="0"/>
            <w:vAlign w:val="center"/>
          </w:tcPr>
          <w:p w14:paraId="145E03C9">
            <w:pPr>
              <w:pStyle w:val="2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ABC</w:t>
            </w:r>
          </w:p>
        </w:tc>
      </w:tr>
      <w:tr w14:paraId="09B3A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0AFB33A9">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导线垂直间距</w:t>
            </w:r>
          </w:p>
        </w:tc>
        <w:tc>
          <w:tcPr>
            <w:tcW w:w="3945" w:type="dxa"/>
            <w:tcBorders>
              <w:tl2br w:val="nil"/>
              <w:tr2bl w:val="nil"/>
            </w:tcBorders>
            <w:noWrap w:val="0"/>
            <w:vAlign w:val="center"/>
          </w:tcPr>
          <w:p w14:paraId="26CAE0D4">
            <w:pPr>
              <w:pStyle w:val="25"/>
              <w:keepNext w:val="0"/>
              <w:keepLines w:val="0"/>
              <w:pageBreakBefore w:val="0"/>
              <w:widowControl w:val="0"/>
              <w:kinsoku/>
              <w:wordWrap/>
              <w:overflowPunct/>
              <w:topLinePunct w:val="0"/>
              <w:autoSpaceDE/>
              <w:autoSpaceDN/>
              <w:bidi w:val="0"/>
              <w:adjustRightInd/>
              <w:snapToGrid/>
              <w:spacing w:after="0" w:line="240" w:lineRule="auto"/>
              <w:ind w:right="113" w:rightChars="0" w:firstLine="0" w:firstLine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上/中/下：</w:t>
            </w:r>
            <w:r>
              <w:rPr>
                <w:rFonts w:hint="eastAsia"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4.0m/4.6m</w:t>
            </w: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41</w:t>
            </w: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m</w:t>
            </w:r>
          </w:p>
        </w:tc>
        <w:tc>
          <w:tcPr>
            <w:tcW w:w="3446" w:type="dxa"/>
            <w:tcBorders>
              <w:tl2br w:val="nil"/>
              <w:tr2bl w:val="nil"/>
            </w:tcBorders>
            <w:noWrap w:val="0"/>
            <w:vAlign w:val="center"/>
          </w:tcPr>
          <w:p w14:paraId="174D549A">
            <w:pPr>
              <w:pStyle w:val="2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bCs w:val="0"/>
                <w:color w:val="000000" w:themeColor="text1"/>
                <w:spacing w:val="0"/>
                <w:kern w:val="0"/>
                <w:sz w:val="21"/>
                <w:szCs w:val="21"/>
                <w:highlight w:val="none"/>
                <w:lang w:val="en-US" w:eastAsia="zh-CN" w:bidi="ar"/>
                <w14:textFill>
                  <w14:solidFill>
                    <w14:schemeClr w14:val="tx1"/>
                  </w14:solidFill>
                </w14:textFill>
              </w:rPr>
              <w:t>/</w:t>
            </w:r>
          </w:p>
        </w:tc>
      </w:tr>
      <w:tr w14:paraId="03F67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5521B429">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导线水平间距</w:t>
            </w:r>
          </w:p>
        </w:tc>
        <w:tc>
          <w:tcPr>
            <w:tcW w:w="3945" w:type="dxa"/>
            <w:tcBorders>
              <w:tl2br w:val="nil"/>
              <w:tr2bl w:val="nil"/>
            </w:tcBorders>
            <w:noWrap w:val="0"/>
            <w:vAlign w:val="center"/>
          </w:tcPr>
          <w:p w14:paraId="4787F3D4">
            <w:pPr>
              <w:pStyle w:val="2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上/中/下：</w:t>
            </w:r>
            <w:r>
              <w:rPr>
                <w:rFonts w:hint="eastAsia"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8.6</w:t>
            </w: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m/</w:t>
            </w:r>
            <w:r>
              <w:rPr>
                <w:rFonts w:hint="eastAsia"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10.1</w:t>
            </w: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m/</w:t>
            </w:r>
            <w:r>
              <w:rPr>
                <w:rFonts w:hint="eastAsia"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9.1</w:t>
            </w: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m</w:t>
            </w:r>
          </w:p>
        </w:tc>
        <w:tc>
          <w:tcPr>
            <w:tcW w:w="3446" w:type="dxa"/>
            <w:tcBorders>
              <w:tl2br w:val="nil"/>
              <w:tr2bl w:val="nil"/>
            </w:tcBorders>
            <w:noWrap w:val="0"/>
            <w:vAlign w:val="center"/>
          </w:tcPr>
          <w:p w14:paraId="07A2E07A">
            <w:pPr>
              <w:pStyle w:val="2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9.2m</w:t>
            </w:r>
          </w:p>
        </w:tc>
      </w:tr>
      <w:tr w14:paraId="3245D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1893312F">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预测</w:t>
            </w:r>
            <w:r>
              <w:rPr>
                <w:rFonts w:hint="eastAsia"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导线对地高度</w:t>
            </w:r>
          </w:p>
        </w:tc>
        <w:tc>
          <w:tcPr>
            <w:tcW w:w="3945" w:type="dxa"/>
            <w:tcBorders>
              <w:tl2br w:val="nil"/>
              <w:tr2bl w:val="nil"/>
            </w:tcBorders>
            <w:noWrap w:val="0"/>
            <w:vAlign w:val="center"/>
          </w:tcPr>
          <w:p w14:paraId="16A10D0F">
            <w:pPr>
              <w:pStyle w:val="25"/>
              <w:keepNext w:val="0"/>
              <w:keepLines w:val="0"/>
              <w:pageBreakBefore w:val="0"/>
              <w:widowControl w:val="0"/>
              <w:tabs>
                <w:tab w:val="center" w:pos="3129"/>
                <w:tab w:val="right" w:pos="6139"/>
              </w:tabs>
              <w:kinsoku/>
              <w:wordWrap/>
              <w:overflowPunct/>
              <w:topLinePunct w:val="0"/>
              <w:autoSpaceDE/>
              <w:autoSpaceDN/>
              <w:bidi w:val="0"/>
              <w:adjustRightInd/>
              <w:snapToGrid/>
              <w:spacing w:after="0" w:line="240" w:lineRule="auto"/>
              <w:ind w:firstLine="0" w:firstLineChars="0"/>
              <w:jc w:val="center"/>
              <w:textAlignment w:val="auto"/>
              <w:outlineLvl w:val="9"/>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m</w:t>
            </w:r>
          </w:p>
        </w:tc>
        <w:tc>
          <w:tcPr>
            <w:tcW w:w="3446" w:type="dxa"/>
            <w:tcBorders>
              <w:tl2br w:val="nil"/>
              <w:tr2bl w:val="nil"/>
            </w:tcBorders>
            <w:noWrap w:val="0"/>
            <w:vAlign w:val="center"/>
          </w:tcPr>
          <w:p w14:paraId="7CA5E510">
            <w:pPr>
              <w:pStyle w:val="25"/>
              <w:keepNext w:val="0"/>
              <w:keepLines w:val="0"/>
              <w:pageBreakBefore w:val="0"/>
              <w:widowControl w:val="0"/>
              <w:tabs>
                <w:tab w:val="center" w:pos="3129"/>
                <w:tab w:val="right" w:pos="6139"/>
              </w:tabs>
              <w:kinsoku/>
              <w:wordWrap/>
              <w:overflowPunct/>
              <w:topLinePunct w:val="0"/>
              <w:autoSpaceDE/>
              <w:autoSpaceDN/>
              <w:bidi w:val="0"/>
              <w:adjustRightInd/>
              <w:snapToGrid/>
              <w:spacing w:after="0" w:line="240" w:lineRule="auto"/>
              <w:ind w:firstLine="0" w:firstLineChars="0"/>
              <w:jc w:val="center"/>
              <w:textAlignment w:val="auto"/>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m</w:t>
            </w:r>
          </w:p>
        </w:tc>
      </w:tr>
      <w:tr w14:paraId="3413B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38631A33">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计算点距地高</w:t>
            </w:r>
          </w:p>
        </w:tc>
        <w:tc>
          <w:tcPr>
            <w:tcW w:w="3945" w:type="dxa"/>
            <w:tcBorders>
              <w:tl2br w:val="nil"/>
              <w:tr2bl w:val="nil"/>
            </w:tcBorders>
            <w:noWrap w:val="0"/>
            <w:vAlign w:val="center"/>
          </w:tcPr>
          <w:p w14:paraId="3DE09C27">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1.5m</w:t>
            </w:r>
          </w:p>
        </w:tc>
        <w:tc>
          <w:tcPr>
            <w:tcW w:w="3446" w:type="dxa"/>
            <w:tcBorders>
              <w:tl2br w:val="nil"/>
              <w:tr2bl w:val="nil"/>
            </w:tcBorders>
            <w:noWrap w:val="0"/>
            <w:vAlign w:val="center"/>
          </w:tcPr>
          <w:p w14:paraId="4828E1C7">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1.5m</w:t>
            </w:r>
          </w:p>
        </w:tc>
      </w:tr>
      <w:tr w14:paraId="01891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74EFE6AF">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计算距离</w:t>
            </w:r>
          </w:p>
        </w:tc>
        <w:tc>
          <w:tcPr>
            <w:tcW w:w="3945" w:type="dxa"/>
            <w:tcBorders>
              <w:tl2br w:val="nil"/>
              <w:tr2bl w:val="nil"/>
            </w:tcBorders>
            <w:noWrap w:val="0"/>
            <w:vAlign w:val="center"/>
          </w:tcPr>
          <w:p w14:paraId="31D14FD2">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-50m~50m</w:t>
            </w:r>
          </w:p>
        </w:tc>
        <w:tc>
          <w:tcPr>
            <w:tcW w:w="3446" w:type="dxa"/>
            <w:tcBorders>
              <w:tl2br w:val="nil"/>
              <w:tr2bl w:val="nil"/>
            </w:tcBorders>
            <w:noWrap w:val="0"/>
            <w:vAlign w:val="center"/>
          </w:tcPr>
          <w:p w14:paraId="687238C3">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-50m~50m</w:t>
            </w:r>
          </w:p>
        </w:tc>
      </w:tr>
      <w:tr w14:paraId="51973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dxa"/>
            <w:tcBorders>
              <w:tl2br w:val="nil"/>
              <w:tr2bl w:val="nil"/>
            </w:tcBorders>
            <w:noWrap w:val="0"/>
            <w:vAlign w:val="center"/>
          </w:tcPr>
          <w:p w14:paraId="41C572A3">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t>预测塔型</w:t>
            </w:r>
          </w:p>
        </w:tc>
        <w:tc>
          <w:tcPr>
            <w:tcW w:w="3945" w:type="dxa"/>
            <w:tcBorders>
              <w:tl2br w:val="nil"/>
              <w:tr2bl w:val="nil"/>
            </w:tcBorders>
            <w:noWrap w:val="0"/>
            <w:vAlign w:val="center"/>
          </w:tcPr>
          <w:p w14:paraId="02F21740">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sz w:val="21"/>
                <w:szCs w:val="21"/>
                <w:highlight w:val="none"/>
                <w:vertAlign w:val="baseline"/>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3446" w:type="dxa"/>
            <w:tcBorders>
              <w:tl2br w:val="nil"/>
              <w:tr2bl w:val="nil"/>
            </w:tcBorders>
            <w:noWrap w:val="0"/>
            <w:vAlign w:val="center"/>
          </w:tcPr>
          <w:p w14:paraId="708C9598">
            <w:pPr>
              <w:pStyle w:val="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r>
    </w:tbl>
    <w:p w14:paraId="18E92C9D">
      <w:pPr>
        <w:spacing w:line="360" w:lineRule="auto"/>
        <w:ind w:firstLine="480" w:firstLineChars="200"/>
        <w:outlineLvl w:val="9"/>
        <w:rPr>
          <w:rFonts w:ascii="Times New Roman" w:hAnsi="Times New Roman" w:eastAsia="宋体"/>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（3）</w:t>
      </w:r>
      <w:r>
        <w:rPr>
          <w:rFonts w:ascii="Times New Roman" w:hAnsi="Times New Roman" w:eastAsia="宋体"/>
          <w:color w:val="000000" w:themeColor="text1"/>
          <w:spacing w:val="0"/>
          <w:sz w:val="24"/>
          <w:highlight w:val="none"/>
          <w14:textFill>
            <w14:solidFill>
              <w14:schemeClr w14:val="tx1"/>
            </w14:solidFill>
          </w14:textFill>
        </w:rPr>
        <w:t>预测结果及分析</w:t>
      </w:r>
    </w:p>
    <w:p w14:paraId="446134F0">
      <w:pPr>
        <w:spacing w:line="360" w:lineRule="auto"/>
        <w:ind w:firstLine="482"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
          <w:color w:val="000000" w:themeColor="text1"/>
          <w:spacing w:val="0"/>
          <w:sz w:val="24"/>
          <w:highlight w:val="none"/>
          <w14:textFill>
            <w14:solidFill>
              <w14:schemeClr w14:val="tx1"/>
            </w14:solidFill>
          </w14:textFill>
        </w:rPr>
        <w:t>1）双回路架空线路</w:t>
      </w:r>
    </w:p>
    <w:p w14:paraId="6038B3FA">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110千伏双回路架空线路架设时，导线对地高度</w:t>
      </w:r>
      <w:r>
        <w:rPr>
          <w:rFonts w:hint="eastAsia"/>
          <w:bCs/>
          <w:color w:val="000000" w:themeColor="text1"/>
          <w:spacing w:val="0"/>
          <w:sz w:val="24"/>
          <w:highlight w:val="none"/>
          <w:lang w:val="en-US" w:eastAsia="zh-CN"/>
          <w14:textFill>
            <w14:solidFill>
              <w14:schemeClr w14:val="tx1"/>
            </w14:solidFill>
          </w14:textFill>
        </w:rPr>
        <w:t>10</w:t>
      </w:r>
      <w:r>
        <w:rPr>
          <w:rFonts w:hint="eastAsia" w:ascii="Times New Roman" w:hAnsi="Times New Roman" w:eastAsia="宋体"/>
          <w:bCs/>
          <w:color w:val="000000" w:themeColor="text1"/>
          <w:spacing w:val="0"/>
          <w:sz w:val="24"/>
          <w:highlight w:val="none"/>
          <w14:textFill>
            <w14:solidFill>
              <w14:schemeClr w14:val="tx1"/>
            </w14:solidFill>
          </w14:textFill>
        </w:rPr>
        <w:t>m</w:t>
      </w:r>
      <w:r>
        <w:rPr>
          <w:rFonts w:ascii="Times New Roman" w:hAnsi="Times New Roman" w:eastAsia="宋体"/>
          <w:bCs/>
          <w:color w:val="000000" w:themeColor="text1"/>
          <w:spacing w:val="0"/>
          <w:sz w:val="24"/>
          <w:highlight w:val="none"/>
          <w14:textFill>
            <w14:solidFill>
              <w14:schemeClr w14:val="tx1"/>
            </w14:solidFill>
          </w14:textFill>
        </w:rPr>
        <w:t>时产生的工频电场、工频磁场预测计算结果</w:t>
      </w:r>
      <w:r>
        <w:rPr>
          <w:rFonts w:hint="eastAsia" w:ascii="Times New Roman" w:hAnsi="Times New Roman" w:eastAsia="宋体"/>
          <w:bCs/>
          <w:color w:val="000000" w:themeColor="text1"/>
          <w:spacing w:val="0"/>
          <w:sz w:val="24"/>
          <w:highlight w:val="none"/>
          <w14:textFill>
            <w14:solidFill>
              <w14:schemeClr w14:val="tx1"/>
            </w14:solidFill>
          </w14:textFill>
        </w:rPr>
        <w:t>如下：</w:t>
      </w:r>
    </w:p>
    <w:p w14:paraId="7A5D6106">
      <w:pPr>
        <w:spacing w:line="360" w:lineRule="auto"/>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专题表</w:t>
      </w:r>
      <w:r>
        <w:rPr>
          <w:rFonts w:hint="eastAsia" w:ascii="Times New Roman" w:hAnsi="Times New Roman" w:eastAsia="宋体"/>
          <w:b/>
          <w:bCs/>
          <w:color w:val="000000" w:themeColor="text1"/>
          <w:spacing w:val="0"/>
          <w:sz w:val="24"/>
          <w:highlight w:val="none"/>
          <w14:textFill>
            <w14:solidFill>
              <w14:schemeClr w14:val="tx1"/>
            </w14:solidFill>
          </w14:textFill>
        </w:rPr>
        <w:t>1</w:t>
      </w:r>
      <w:r>
        <w:rPr>
          <w:rFonts w:hint="eastAsia"/>
          <w:b/>
          <w:bCs/>
          <w:color w:val="000000" w:themeColor="text1"/>
          <w:spacing w:val="0"/>
          <w:sz w:val="24"/>
          <w:highlight w:val="none"/>
          <w:lang w:val="en-US" w:eastAsia="zh-CN"/>
          <w14:textFill>
            <w14:solidFill>
              <w14:schemeClr w14:val="tx1"/>
            </w14:solidFill>
          </w14:textFill>
        </w:rPr>
        <w:t>1</w:t>
      </w:r>
      <w:r>
        <w:rPr>
          <w:rFonts w:ascii="Times New Roman" w:hAnsi="Times New Roman" w:eastAsia="宋体"/>
          <w:b/>
          <w:bCs/>
          <w:color w:val="000000" w:themeColor="text1"/>
          <w:spacing w:val="0"/>
          <w:sz w:val="24"/>
          <w:highlight w:val="none"/>
          <w14:textFill>
            <w14:solidFill>
              <w14:schemeClr w14:val="tx1"/>
            </w14:solidFill>
          </w14:textFill>
        </w:rPr>
        <w:t xml:space="preserve">  本项目双回路架空线路产生的工频电场、工频磁场预测值</w:t>
      </w:r>
    </w:p>
    <w:tbl>
      <w:tblPr>
        <w:tblStyle w:val="26"/>
        <w:tblW w:w="81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83"/>
        <w:gridCol w:w="3136"/>
        <w:gridCol w:w="2920"/>
      </w:tblGrid>
      <w:tr w14:paraId="61405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9" w:hRule="atLeast"/>
          <w:tblHeader/>
          <w:jc w:val="center"/>
        </w:trPr>
        <w:tc>
          <w:tcPr>
            <w:tcW w:w="2083" w:type="dxa"/>
            <w:vMerge w:val="restart"/>
            <w:vAlign w:val="center"/>
          </w:tcPr>
          <w:p w14:paraId="6B600FE6">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距线路走廊中心线距离(m)</w:t>
            </w:r>
          </w:p>
        </w:tc>
        <w:tc>
          <w:tcPr>
            <w:tcW w:w="6056" w:type="dxa"/>
            <w:gridSpan w:val="2"/>
            <w:vAlign w:val="center"/>
          </w:tcPr>
          <w:p w14:paraId="5F4ED9F9">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导线对地高度</w:t>
            </w:r>
            <w:r>
              <w:rPr>
                <w:rFonts w:hint="eastAsia"/>
                <w:color w:val="000000" w:themeColor="text1"/>
                <w:spacing w:val="0"/>
                <w:highlight w:val="none"/>
                <w:lang w:val="en-US" w:eastAsia="zh-CN"/>
                <w14:textFill>
                  <w14:solidFill>
                    <w14:schemeClr w14:val="tx1"/>
                  </w14:solidFill>
                </w14:textFill>
              </w:rPr>
              <w:t>10</w:t>
            </w:r>
            <w:r>
              <w:rPr>
                <w:rFonts w:ascii="Times New Roman" w:hAnsi="Times New Roman" w:eastAsia="宋体"/>
                <w:color w:val="000000" w:themeColor="text1"/>
                <w:spacing w:val="0"/>
                <w:highlight w:val="none"/>
                <w14:textFill>
                  <w14:solidFill>
                    <w14:schemeClr w14:val="tx1"/>
                  </w14:solidFill>
                </w14:textFill>
              </w:rPr>
              <w:t>m</w:t>
            </w:r>
          </w:p>
        </w:tc>
      </w:tr>
      <w:tr w14:paraId="215DD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9" w:hRule="atLeast"/>
          <w:tblHeader/>
          <w:jc w:val="center"/>
        </w:trPr>
        <w:tc>
          <w:tcPr>
            <w:tcW w:w="2083" w:type="dxa"/>
            <w:vMerge w:val="continue"/>
            <w:vAlign w:val="center"/>
          </w:tcPr>
          <w:p w14:paraId="7B859E02">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3136" w:type="dxa"/>
            <w:vAlign w:val="center"/>
          </w:tcPr>
          <w:p w14:paraId="500BA25E">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工频电场强度(kV/m)</w:t>
            </w:r>
          </w:p>
        </w:tc>
        <w:tc>
          <w:tcPr>
            <w:tcW w:w="2920" w:type="dxa"/>
            <w:vAlign w:val="center"/>
          </w:tcPr>
          <w:p w14:paraId="6960E2DD">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工频磁感应强度(μT)</w:t>
            </w:r>
          </w:p>
        </w:tc>
      </w:tr>
      <w:tr w14:paraId="0A41C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8554FC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-50</w:t>
            </w:r>
          </w:p>
        </w:tc>
        <w:tc>
          <w:tcPr>
            <w:tcW w:w="3136" w:type="dxa"/>
            <w:shd w:val="clear" w:color="auto" w:fill="auto"/>
            <w:vAlign w:val="center"/>
          </w:tcPr>
          <w:p w14:paraId="6BE1852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0.040</w:t>
            </w:r>
          </w:p>
        </w:tc>
        <w:tc>
          <w:tcPr>
            <w:tcW w:w="2920" w:type="dxa"/>
            <w:shd w:val="clear" w:color="auto" w:fill="auto"/>
            <w:vAlign w:val="center"/>
          </w:tcPr>
          <w:p w14:paraId="45BE853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0.733</w:t>
            </w:r>
          </w:p>
        </w:tc>
      </w:tr>
      <w:tr w14:paraId="6CDC1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82D08D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-49</w:t>
            </w:r>
          </w:p>
        </w:tc>
        <w:tc>
          <w:tcPr>
            <w:tcW w:w="3136" w:type="dxa"/>
            <w:shd w:val="clear" w:color="auto" w:fill="auto"/>
            <w:vAlign w:val="center"/>
          </w:tcPr>
          <w:p w14:paraId="12B9489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0.041</w:t>
            </w:r>
          </w:p>
        </w:tc>
        <w:tc>
          <w:tcPr>
            <w:tcW w:w="2920" w:type="dxa"/>
            <w:shd w:val="clear" w:color="auto" w:fill="auto"/>
            <w:vAlign w:val="center"/>
          </w:tcPr>
          <w:p w14:paraId="6923C2C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0.762</w:t>
            </w:r>
          </w:p>
        </w:tc>
      </w:tr>
      <w:tr w14:paraId="4E0D9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2137DC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-48</w:t>
            </w:r>
          </w:p>
        </w:tc>
        <w:tc>
          <w:tcPr>
            <w:tcW w:w="3136" w:type="dxa"/>
            <w:shd w:val="clear" w:color="auto" w:fill="auto"/>
            <w:vAlign w:val="center"/>
          </w:tcPr>
          <w:p w14:paraId="50CE330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0.042</w:t>
            </w:r>
          </w:p>
        </w:tc>
        <w:tc>
          <w:tcPr>
            <w:tcW w:w="2920" w:type="dxa"/>
            <w:shd w:val="clear" w:color="auto" w:fill="auto"/>
            <w:vAlign w:val="center"/>
          </w:tcPr>
          <w:p w14:paraId="11899D8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0.793</w:t>
            </w:r>
          </w:p>
        </w:tc>
      </w:tr>
      <w:tr w14:paraId="4CF9B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A2ED07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-47</w:t>
            </w:r>
          </w:p>
        </w:tc>
        <w:tc>
          <w:tcPr>
            <w:tcW w:w="3136" w:type="dxa"/>
            <w:shd w:val="clear" w:color="auto" w:fill="auto"/>
            <w:vAlign w:val="center"/>
          </w:tcPr>
          <w:p w14:paraId="710005F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0.043</w:t>
            </w:r>
          </w:p>
        </w:tc>
        <w:tc>
          <w:tcPr>
            <w:tcW w:w="2920" w:type="dxa"/>
            <w:shd w:val="clear" w:color="auto" w:fill="auto"/>
            <w:vAlign w:val="center"/>
          </w:tcPr>
          <w:p w14:paraId="28F209D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0.825</w:t>
            </w:r>
          </w:p>
        </w:tc>
      </w:tr>
      <w:tr w14:paraId="4FAFE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2AD9189">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-46</w:t>
            </w:r>
          </w:p>
        </w:tc>
        <w:tc>
          <w:tcPr>
            <w:tcW w:w="3136" w:type="dxa"/>
            <w:shd w:val="clear" w:color="auto" w:fill="auto"/>
            <w:vAlign w:val="center"/>
          </w:tcPr>
          <w:p w14:paraId="77B4F59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0.044</w:t>
            </w:r>
          </w:p>
        </w:tc>
        <w:tc>
          <w:tcPr>
            <w:tcW w:w="2920" w:type="dxa"/>
            <w:shd w:val="clear" w:color="auto" w:fill="auto"/>
            <w:vAlign w:val="center"/>
          </w:tcPr>
          <w:p w14:paraId="743E338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0.859</w:t>
            </w:r>
          </w:p>
        </w:tc>
      </w:tr>
      <w:tr w14:paraId="297BA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9982A9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-45</w:t>
            </w:r>
          </w:p>
        </w:tc>
        <w:tc>
          <w:tcPr>
            <w:tcW w:w="3136" w:type="dxa"/>
            <w:shd w:val="clear" w:color="auto" w:fill="auto"/>
            <w:vAlign w:val="center"/>
          </w:tcPr>
          <w:p w14:paraId="4DA5D21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0.045</w:t>
            </w:r>
          </w:p>
        </w:tc>
        <w:tc>
          <w:tcPr>
            <w:tcW w:w="2920" w:type="dxa"/>
            <w:shd w:val="clear" w:color="auto" w:fill="auto"/>
            <w:vAlign w:val="center"/>
          </w:tcPr>
          <w:p w14:paraId="6D79BF4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0.896</w:t>
            </w:r>
          </w:p>
        </w:tc>
      </w:tr>
      <w:tr w14:paraId="63062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822C56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-44</w:t>
            </w:r>
          </w:p>
        </w:tc>
        <w:tc>
          <w:tcPr>
            <w:tcW w:w="3136" w:type="dxa"/>
            <w:shd w:val="clear" w:color="auto" w:fill="auto"/>
            <w:vAlign w:val="center"/>
          </w:tcPr>
          <w:p w14:paraId="38FAFC5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0.046</w:t>
            </w:r>
          </w:p>
        </w:tc>
        <w:tc>
          <w:tcPr>
            <w:tcW w:w="2920" w:type="dxa"/>
            <w:shd w:val="clear" w:color="auto" w:fill="auto"/>
            <w:vAlign w:val="center"/>
          </w:tcPr>
          <w:p w14:paraId="0FAEA6B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0.935</w:t>
            </w:r>
          </w:p>
        </w:tc>
      </w:tr>
      <w:tr w14:paraId="0482B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E775B3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-43</w:t>
            </w:r>
          </w:p>
        </w:tc>
        <w:tc>
          <w:tcPr>
            <w:tcW w:w="3136" w:type="dxa"/>
            <w:shd w:val="clear" w:color="auto" w:fill="auto"/>
            <w:vAlign w:val="center"/>
          </w:tcPr>
          <w:p w14:paraId="43F3AF3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0.047</w:t>
            </w:r>
          </w:p>
        </w:tc>
        <w:tc>
          <w:tcPr>
            <w:tcW w:w="2920" w:type="dxa"/>
            <w:shd w:val="clear" w:color="auto" w:fill="auto"/>
            <w:vAlign w:val="center"/>
          </w:tcPr>
          <w:p w14:paraId="7694ACA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0.976</w:t>
            </w:r>
          </w:p>
        </w:tc>
      </w:tr>
      <w:tr w14:paraId="1EEF7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4E6724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-42</w:t>
            </w:r>
          </w:p>
        </w:tc>
        <w:tc>
          <w:tcPr>
            <w:tcW w:w="3136" w:type="dxa"/>
            <w:shd w:val="clear" w:color="auto" w:fill="auto"/>
            <w:vAlign w:val="center"/>
          </w:tcPr>
          <w:p w14:paraId="37BB6F2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0.048</w:t>
            </w:r>
          </w:p>
        </w:tc>
        <w:tc>
          <w:tcPr>
            <w:tcW w:w="2920" w:type="dxa"/>
            <w:shd w:val="clear" w:color="auto" w:fill="auto"/>
            <w:vAlign w:val="center"/>
          </w:tcPr>
          <w:p w14:paraId="2CA4F99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1.020</w:t>
            </w:r>
          </w:p>
        </w:tc>
      </w:tr>
      <w:tr w14:paraId="7A330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43A27B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-41</w:t>
            </w:r>
          </w:p>
        </w:tc>
        <w:tc>
          <w:tcPr>
            <w:tcW w:w="3136" w:type="dxa"/>
            <w:shd w:val="clear" w:color="auto" w:fill="auto"/>
            <w:vAlign w:val="center"/>
          </w:tcPr>
          <w:p w14:paraId="26131E7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0.049</w:t>
            </w:r>
          </w:p>
        </w:tc>
        <w:tc>
          <w:tcPr>
            <w:tcW w:w="2920" w:type="dxa"/>
            <w:shd w:val="clear" w:color="auto" w:fill="auto"/>
            <w:vAlign w:val="center"/>
          </w:tcPr>
          <w:p w14:paraId="46851D9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1.067</w:t>
            </w:r>
          </w:p>
        </w:tc>
      </w:tr>
      <w:tr w14:paraId="3AD36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28BF29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-40</w:t>
            </w:r>
          </w:p>
        </w:tc>
        <w:tc>
          <w:tcPr>
            <w:tcW w:w="3136" w:type="dxa"/>
            <w:shd w:val="clear" w:color="auto" w:fill="auto"/>
            <w:vAlign w:val="center"/>
          </w:tcPr>
          <w:p w14:paraId="1DE5D3A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0.050</w:t>
            </w:r>
          </w:p>
        </w:tc>
        <w:tc>
          <w:tcPr>
            <w:tcW w:w="2920" w:type="dxa"/>
            <w:shd w:val="clear" w:color="auto" w:fill="auto"/>
            <w:vAlign w:val="center"/>
          </w:tcPr>
          <w:p w14:paraId="14F4CCB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1.117</w:t>
            </w:r>
          </w:p>
        </w:tc>
      </w:tr>
      <w:tr w14:paraId="65167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B3BEAE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-39</w:t>
            </w:r>
          </w:p>
        </w:tc>
        <w:tc>
          <w:tcPr>
            <w:tcW w:w="3136" w:type="dxa"/>
            <w:shd w:val="clear" w:color="auto" w:fill="auto"/>
            <w:vAlign w:val="center"/>
          </w:tcPr>
          <w:p w14:paraId="24B0529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0.051</w:t>
            </w:r>
          </w:p>
        </w:tc>
        <w:tc>
          <w:tcPr>
            <w:tcW w:w="2920" w:type="dxa"/>
            <w:shd w:val="clear" w:color="auto" w:fill="auto"/>
            <w:vAlign w:val="center"/>
          </w:tcPr>
          <w:p w14:paraId="1B5DA2E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1.170</w:t>
            </w:r>
          </w:p>
        </w:tc>
      </w:tr>
      <w:tr w14:paraId="0F011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924409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-38</w:t>
            </w:r>
          </w:p>
        </w:tc>
        <w:tc>
          <w:tcPr>
            <w:tcW w:w="3136" w:type="dxa"/>
            <w:shd w:val="clear" w:color="auto" w:fill="auto"/>
            <w:vAlign w:val="center"/>
          </w:tcPr>
          <w:p w14:paraId="6ECE9EF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0.052</w:t>
            </w:r>
          </w:p>
        </w:tc>
        <w:tc>
          <w:tcPr>
            <w:tcW w:w="2920" w:type="dxa"/>
            <w:shd w:val="clear" w:color="auto" w:fill="auto"/>
            <w:vAlign w:val="center"/>
          </w:tcPr>
          <w:p w14:paraId="07B5803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1.227</w:t>
            </w:r>
          </w:p>
        </w:tc>
      </w:tr>
      <w:tr w14:paraId="42847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708D07D">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-37</w:t>
            </w:r>
          </w:p>
        </w:tc>
        <w:tc>
          <w:tcPr>
            <w:tcW w:w="3136" w:type="dxa"/>
            <w:shd w:val="clear" w:color="auto" w:fill="auto"/>
            <w:vAlign w:val="center"/>
          </w:tcPr>
          <w:p w14:paraId="68330A5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0.052</w:t>
            </w:r>
          </w:p>
        </w:tc>
        <w:tc>
          <w:tcPr>
            <w:tcW w:w="2920" w:type="dxa"/>
            <w:shd w:val="clear" w:color="auto" w:fill="auto"/>
            <w:vAlign w:val="center"/>
          </w:tcPr>
          <w:p w14:paraId="0920E85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1.289</w:t>
            </w:r>
          </w:p>
        </w:tc>
      </w:tr>
      <w:tr w14:paraId="11902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E289DD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-36</w:t>
            </w:r>
          </w:p>
        </w:tc>
        <w:tc>
          <w:tcPr>
            <w:tcW w:w="3136" w:type="dxa"/>
            <w:shd w:val="clear" w:color="auto" w:fill="auto"/>
            <w:vAlign w:val="center"/>
          </w:tcPr>
          <w:p w14:paraId="273C340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0.053</w:t>
            </w:r>
          </w:p>
        </w:tc>
        <w:tc>
          <w:tcPr>
            <w:tcW w:w="2920" w:type="dxa"/>
            <w:shd w:val="clear" w:color="auto" w:fill="auto"/>
            <w:vAlign w:val="center"/>
          </w:tcPr>
          <w:p w14:paraId="4BA57C6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1.355</w:t>
            </w:r>
          </w:p>
        </w:tc>
      </w:tr>
      <w:tr w14:paraId="13772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159DB7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-35</w:t>
            </w:r>
          </w:p>
        </w:tc>
        <w:tc>
          <w:tcPr>
            <w:tcW w:w="3136" w:type="dxa"/>
            <w:shd w:val="clear" w:color="auto" w:fill="auto"/>
            <w:vAlign w:val="center"/>
          </w:tcPr>
          <w:p w14:paraId="4F44436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0.053</w:t>
            </w:r>
          </w:p>
        </w:tc>
        <w:tc>
          <w:tcPr>
            <w:tcW w:w="2920" w:type="dxa"/>
            <w:shd w:val="clear" w:color="auto" w:fill="auto"/>
            <w:vAlign w:val="center"/>
          </w:tcPr>
          <w:p w14:paraId="08DBDAC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1.426</w:t>
            </w:r>
          </w:p>
        </w:tc>
      </w:tr>
      <w:tr w14:paraId="17CB9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C1A497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-34</w:t>
            </w:r>
          </w:p>
        </w:tc>
        <w:tc>
          <w:tcPr>
            <w:tcW w:w="3136" w:type="dxa"/>
            <w:shd w:val="clear" w:color="auto" w:fill="auto"/>
            <w:vAlign w:val="center"/>
          </w:tcPr>
          <w:p w14:paraId="77825D3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0.053</w:t>
            </w:r>
          </w:p>
        </w:tc>
        <w:tc>
          <w:tcPr>
            <w:tcW w:w="2920" w:type="dxa"/>
            <w:shd w:val="clear" w:color="auto" w:fill="auto"/>
            <w:vAlign w:val="center"/>
          </w:tcPr>
          <w:p w14:paraId="5F3FA74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1.502</w:t>
            </w:r>
          </w:p>
        </w:tc>
      </w:tr>
      <w:tr w14:paraId="67145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8B2E8A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-33</w:t>
            </w:r>
          </w:p>
        </w:tc>
        <w:tc>
          <w:tcPr>
            <w:tcW w:w="3136" w:type="dxa"/>
            <w:shd w:val="clear" w:color="auto" w:fill="auto"/>
            <w:vAlign w:val="center"/>
          </w:tcPr>
          <w:p w14:paraId="0295827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0.053</w:t>
            </w:r>
          </w:p>
        </w:tc>
        <w:tc>
          <w:tcPr>
            <w:tcW w:w="2920" w:type="dxa"/>
            <w:shd w:val="clear" w:color="auto" w:fill="auto"/>
            <w:vAlign w:val="center"/>
          </w:tcPr>
          <w:p w14:paraId="3CBA5FC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1.584</w:t>
            </w:r>
          </w:p>
        </w:tc>
      </w:tr>
      <w:tr w14:paraId="09E7E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35E94D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-32</w:t>
            </w:r>
          </w:p>
        </w:tc>
        <w:tc>
          <w:tcPr>
            <w:tcW w:w="3136" w:type="dxa"/>
            <w:shd w:val="clear" w:color="auto" w:fill="auto"/>
            <w:vAlign w:val="center"/>
          </w:tcPr>
          <w:p w14:paraId="2E80545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0.053</w:t>
            </w:r>
          </w:p>
        </w:tc>
        <w:tc>
          <w:tcPr>
            <w:tcW w:w="2920" w:type="dxa"/>
            <w:shd w:val="clear" w:color="auto" w:fill="auto"/>
            <w:vAlign w:val="center"/>
          </w:tcPr>
          <w:p w14:paraId="0C2F965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1.673</w:t>
            </w:r>
          </w:p>
        </w:tc>
      </w:tr>
      <w:tr w14:paraId="57404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12B99E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-31</w:t>
            </w:r>
          </w:p>
        </w:tc>
        <w:tc>
          <w:tcPr>
            <w:tcW w:w="3136" w:type="dxa"/>
            <w:shd w:val="clear" w:color="auto" w:fill="auto"/>
            <w:vAlign w:val="center"/>
          </w:tcPr>
          <w:p w14:paraId="20BC01A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0.052</w:t>
            </w:r>
          </w:p>
        </w:tc>
        <w:tc>
          <w:tcPr>
            <w:tcW w:w="2920" w:type="dxa"/>
            <w:shd w:val="clear" w:color="auto" w:fill="auto"/>
            <w:vAlign w:val="center"/>
          </w:tcPr>
          <w:p w14:paraId="6798D34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1.770</w:t>
            </w:r>
          </w:p>
        </w:tc>
      </w:tr>
      <w:tr w14:paraId="61613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78F8E7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-30</w:t>
            </w:r>
          </w:p>
        </w:tc>
        <w:tc>
          <w:tcPr>
            <w:tcW w:w="3136" w:type="dxa"/>
            <w:shd w:val="clear" w:color="auto" w:fill="auto"/>
            <w:vAlign w:val="center"/>
          </w:tcPr>
          <w:p w14:paraId="3958D05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0.051</w:t>
            </w:r>
          </w:p>
        </w:tc>
        <w:tc>
          <w:tcPr>
            <w:tcW w:w="2920" w:type="dxa"/>
            <w:shd w:val="clear" w:color="auto" w:fill="auto"/>
            <w:vAlign w:val="center"/>
          </w:tcPr>
          <w:p w14:paraId="1F3D1EB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1.874</w:t>
            </w:r>
          </w:p>
        </w:tc>
      </w:tr>
      <w:tr w14:paraId="498DD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99AEE6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-29</w:t>
            </w:r>
          </w:p>
        </w:tc>
        <w:tc>
          <w:tcPr>
            <w:tcW w:w="3136" w:type="dxa"/>
            <w:shd w:val="clear" w:color="auto" w:fill="auto"/>
            <w:vAlign w:val="center"/>
          </w:tcPr>
          <w:p w14:paraId="77B9F65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0.049</w:t>
            </w:r>
          </w:p>
        </w:tc>
        <w:tc>
          <w:tcPr>
            <w:tcW w:w="2920" w:type="dxa"/>
            <w:shd w:val="clear" w:color="auto" w:fill="auto"/>
            <w:vAlign w:val="center"/>
          </w:tcPr>
          <w:p w14:paraId="342CFFB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1.986</w:t>
            </w:r>
          </w:p>
        </w:tc>
      </w:tr>
      <w:tr w14:paraId="0BAAC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1DB410D">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-28</w:t>
            </w:r>
          </w:p>
        </w:tc>
        <w:tc>
          <w:tcPr>
            <w:tcW w:w="3136" w:type="dxa"/>
            <w:shd w:val="clear" w:color="auto" w:fill="auto"/>
            <w:vAlign w:val="center"/>
          </w:tcPr>
          <w:p w14:paraId="335B85B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0.046</w:t>
            </w:r>
          </w:p>
        </w:tc>
        <w:tc>
          <w:tcPr>
            <w:tcW w:w="2920" w:type="dxa"/>
            <w:shd w:val="clear" w:color="auto" w:fill="auto"/>
            <w:vAlign w:val="center"/>
          </w:tcPr>
          <w:p w14:paraId="59265A5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2.109</w:t>
            </w:r>
          </w:p>
        </w:tc>
      </w:tr>
      <w:tr w14:paraId="63400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094B42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-27</w:t>
            </w:r>
          </w:p>
        </w:tc>
        <w:tc>
          <w:tcPr>
            <w:tcW w:w="3136" w:type="dxa"/>
            <w:shd w:val="clear" w:color="auto" w:fill="auto"/>
            <w:vAlign w:val="center"/>
          </w:tcPr>
          <w:p w14:paraId="53CF916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0.043</w:t>
            </w:r>
          </w:p>
        </w:tc>
        <w:tc>
          <w:tcPr>
            <w:tcW w:w="2920" w:type="dxa"/>
            <w:shd w:val="clear" w:color="auto" w:fill="auto"/>
            <w:vAlign w:val="center"/>
          </w:tcPr>
          <w:p w14:paraId="5D09414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2.242</w:t>
            </w:r>
          </w:p>
        </w:tc>
      </w:tr>
      <w:tr w14:paraId="6EB77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97B348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-26</w:t>
            </w:r>
          </w:p>
        </w:tc>
        <w:tc>
          <w:tcPr>
            <w:tcW w:w="3136" w:type="dxa"/>
            <w:shd w:val="clear" w:color="auto" w:fill="auto"/>
            <w:vAlign w:val="center"/>
          </w:tcPr>
          <w:p w14:paraId="769B1CE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0.040</w:t>
            </w:r>
          </w:p>
        </w:tc>
        <w:tc>
          <w:tcPr>
            <w:tcW w:w="2920" w:type="dxa"/>
            <w:shd w:val="clear" w:color="auto" w:fill="auto"/>
            <w:vAlign w:val="center"/>
          </w:tcPr>
          <w:p w14:paraId="37B1699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2.387</w:t>
            </w:r>
          </w:p>
        </w:tc>
      </w:tr>
      <w:tr w14:paraId="30790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0A65C6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-25</w:t>
            </w:r>
          </w:p>
        </w:tc>
        <w:tc>
          <w:tcPr>
            <w:tcW w:w="3136" w:type="dxa"/>
            <w:shd w:val="clear" w:color="auto" w:fill="auto"/>
            <w:vAlign w:val="center"/>
          </w:tcPr>
          <w:p w14:paraId="5934D7F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0.036</w:t>
            </w:r>
          </w:p>
        </w:tc>
        <w:tc>
          <w:tcPr>
            <w:tcW w:w="2920" w:type="dxa"/>
            <w:shd w:val="clear" w:color="auto" w:fill="auto"/>
            <w:vAlign w:val="center"/>
          </w:tcPr>
          <w:p w14:paraId="5B4E80D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2.546</w:t>
            </w:r>
          </w:p>
        </w:tc>
      </w:tr>
      <w:tr w14:paraId="3FB98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E19482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-24</w:t>
            </w:r>
          </w:p>
        </w:tc>
        <w:tc>
          <w:tcPr>
            <w:tcW w:w="3136" w:type="dxa"/>
            <w:shd w:val="clear" w:color="auto" w:fill="auto"/>
            <w:vAlign w:val="center"/>
          </w:tcPr>
          <w:p w14:paraId="1AF292D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0.034</w:t>
            </w:r>
          </w:p>
        </w:tc>
        <w:tc>
          <w:tcPr>
            <w:tcW w:w="2920" w:type="dxa"/>
            <w:shd w:val="clear" w:color="auto" w:fill="auto"/>
            <w:vAlign w:val="center"/>
          </w:tcPr>
          <w:p w14:paraId="66F8B15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2.718</w:t>
            </w:r>
          </w:p>
        </w:tc>
      </w:tr>
      <w:tr w14:paraId="19DD1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C31E2E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-23</w:t>
            </w:r>
          </w:p>
        </w:tc>
        <w:tc>
          <w:tcPr>
            <w:tcW w:w="3136" w:type="dxa"/>
            <w:shd w:val="clear" w:color="auto" w:fill="auto"/>
            <w:vAlign w:val="center"/>
          </w:tcPr>
          <w:p w14:paraId="30DB196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0.036</w:t>
            </w:r>
          </w:p>
        </w:tc>
        <w:tc>
          <w:tcPr>
            <w:tcW w:w="2920" w:type="dxa"/>
            <w:shd w:val="clear" w:color="auto" w:fill="auto"/>
            <w:vAlign w:val="center"/>
          </w:tcPr>
          <w:p w14:paraId="6069671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2.907</w:t>
            </w:r>
          </w:p>
        </w:tc>
      </w:tr>
      <w:tr w14:paraId="40E26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1A06A4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-22</w:t>
            </w:r>
          </w:p>
        </w:tc>
        <w:tc>
          <w:tcPr>
            <w:tcW w:w="3136" w:type="dxa"/>
            <w:shd w:val="clear" w:color="auto" w:fill="auto"/>
            <w:vAlign w:val="center"/>
          </w:tcPr>
          <w:p w14:paraId="12197BC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0.043</w:t>
            </w:r>
          </w:p>
        </w:tc>
        <w:tc>
          <w:tcPr>
            <w:tcW w:w="2920" w:type="dxa"/>
            <w:shd w:val="clear" w:color="auto" w:fill="auto"/>
            <w:vAlign w:val="center"/>
          </w:tcPr>
          <w:p w14:paraId="76AD9F2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3.113</w:t>
            </w:r>
          </w:p>
        </w:tc>
      </w:tr>
      <w:tr w14:paraId="52446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881E46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-21</w:t>
            </w:r>
          </w:p>
        </w:tc>
        <w:tc>
          <w:tcPr>
            <w:tcW w:w="3136" w:type="dxa"/>
            <w:shd w:val="clear" w:color="auto" w:fill="auto"/>
            <w:vAlign w:val="center"/>
          </w:tcPr>
          <w:p w14:paraId="3A24495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0.057</w:t>
            </w:r>
          </w:p>
        </w:tc>
        <w:tc>
          <w:tcPr>
            <w:tcW w:w="2920" w:type="dxa"/>
            <w:shd w:val="clear" w:color="auto" w:fill="auto"/>
            <w:vAlign w:val="center"/>
          </w:tcPr>
          <w:p w14:paraId="1D1D729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3.338</w:t>
            </w:r>
          </w:p>
        </w:tc>
      </w:tr>
      <w:tr w14:paraId="5CBFA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605302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-20</w:t>
            </w:r>
          </w:p>
        </w:tc>
        <w:tc>
          <w:tcPr>
            <w:tcW w:w="3136" w:type="dxa"/>
            <w:shd w:val="clear" w:color="auto" w:fill="auto"/>
            <w:vAlign w:val="center"/>
          </w:tcPr>
          <w:p w14:paraId="3015BE6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0.077</w:t>
            </w:r>
          </w:p>
        </w:tc>
        <w:tc>
          <w:tcPr>
            <w:tcW w:w="2920" w:type="dxa"/>
            <w:shd w:val="clear" w:color="auto" w:fill="auto"/>
            <w:vAlign w:val="center"/>
          </w:tcPr>
          <w:p w14:paraId="4D358A7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3.584</w:t>
            </w:r>
          </w:p>
        </w:tc>
      </w:tr>
      <w:tr w14:paraId="5760B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EED5A99">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-19</w:t>
            </w:r>
          </w:p>
        </w:tc>
        <w:tc>
          <w:tcPr>
            <w:tcW w:w="3136" w:type="dxa"/>
            <w:shd w:val="clear" w:color="auto" w:fill="auto"/>
            <w:vAlign w:val="center"/>
          </w:tcPr>
          <w:p w14:paraId="32B97CC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0.105</w:t>
            </w:r>
          </w:p>
        </w:tc>
        <w:tc>
          <w:tcPr>
            <w:tcW w:w="2920" w:type="dxa"/>
            <w:shd w:val="clear" w:color="auto" w:fill="auto"/>
            <w:vAlign w:val="center"/>
          </w:tcPr>
          <w:p w14:paraId="10F5501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3.853</w:t>
            </w:r>
          </w:p>
        </w:tc>
      </w:tr>
      <w:tr w14:paraId="691E4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59E70C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-18</w:t>
            </w:r>
          </w:p>
        </w:tc>
        <w:tc>
          <w:tcPr>
            <w:tcW w:w="3136" w:type="dxa"/>
            <w:shd w:val="clear" w:color="auto" w:fill="auto"/>
            <w:vAlign w:val="center"/>
          </w:tcPr>
          <w:p w14:paraId="1A596AB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0.139</w:t>
            </w:r>
          </w:p>
        </w:tc>
        <w:tc>
          <w:tcPr>
            <w:tcW w:w="2920" w:type="dxa"/>
            <w:shd w:val="clear" w:color="auto" w:fill="auto"/>
            <w:vAlign w:val="center"/>
          </w:tcPr>
          <w:p w14:paraId="7360DCC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4.146</w:t>
            </w:r>
          </w:p>
        </w:tc>
      </w:tr>
      <w:tr w14:paraId="5C0B2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8C02F3D">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-17</w:t>
            </w:r>
          </w:p>
        </w:tc>
        <w:tc>
          <w:tcPr>
            <w:tcW w:w="3136" w:type="dxa"/>
            <w:shd w:val="clear" w:color="auto" w:fill="auto"/>
            <w:vAlign w:val="center"/>
          </w:tcPr>
          <w:p w14:paraId="0FE105B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0.182</w:t>
            </w:r>
          </w:p>
        </w:tc>
        <w:tc>
          <w:tcPr>
            <w:tcW w:w="2920" w:type="dxa"/>
            <w:shd w:val="clear" w:color="auto" w:fill="auto"/>
            <w:vAlign w:val="center"/>
          </w:tcPr>
          <w:p w14:paraId="46A3F23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4.465</w:t>
            </w:r>
          </w:p>
        </w:tc>
      </w:tr>
      <w:tr w14:paraId="7BCCC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2E33B2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-16</w:t>
            </w:r>
          </w:p>
        </w:tc>
        <w:tc>
          <w:tcPr>
            <w:tcW w:w="3136" w:type="dxa"/>
            <w:shd w:val="clear" w:color="auto" w:fill="auto"/>
            <w:vAlign w:val="center"/>
          </w:tcPr>
          <w:p w14:paraId="526059E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0.234</w:t>
            </w:r>
          </w:p>
        </w:tc>
        <w:tc>
          <w:tcPr>
            <w:tcW w:w="2920" w:type="dxa"/>
            <w:shd w:val="clear" w:color="auto" w:fill="auto"/>
            <w:vAlign w:val="center"/>
          </w:tcPr>
          <w:p w14:paraId="5566930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4.811</w:t>
            </w:r>
          </w:p>
        </w:tc>
      </w:tr>
      <w:tr w14:paraId="7C438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984917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-15</w:t>
            </w:r>
          </w:p>
        </w:tc>
        <w:tc>
          <w:tcPr>
            <w:tcW w:w="3136" w:type="dxa"/>
            <w:shd w:val="clear" w:color="auto" w:fill="auto"/>
            <w:vAlign w:val="center"/>
          </w:tcPr>
          <w:p w14:paraId="6DCC871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0.297</w:t>
            </w:r>
          </w:p>
        </w:tc>
        <w:tc>
          <w:tcPr>
            <w:tcW w:w="2920" w:type="dxa"/>
            <w:shd w:val="clear" w:color="auto" w:fill="auto"/>
            <w:vAlign w:val="center"/>
          </w:tcPr>
          <w:p w14:paraId="5A689FD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5.183</w:t>
            </w:r>
          </w:p>
        </w:tc>
      </w:tr>
      <w:tr w14:paraId="3828D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4FDCD3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-14</w:t>
            </w:r>
          </w:p>
        </w:tc>
        <w:tc>
          <w:tcPr>
            <w:tcW w:w="3136" w:type="dxa"/>
            <w:shd w:val="clear" w:color="auto" w:fill="auto"/>
            <w:vAlign w:val="center"/>
          </w:tcPr>
          <w:p w14:paraId="57B6694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0.372</w:t>
            </w:r>
          </w:p>
        </w:tc>
        <w:tc>
          <w:tcPr>
            <w:tcW w:w="2920" w:type="dxa"/>
            <w:shd w:val="clear" w:color="auto" w:fill="auto"/>
            <w:vAlign w:val="center"/>
          </w:tcPr>
          <w:p w14:paraId="0BF0DE4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5.580</w:t>
            </w:r>
          </w:p>
        </w:tc>
      </w:tr>
      <w:tr w14:paraId="62C47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18C40D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-13</w:t>
            </w:r>
          </w:p>
        </w:tc>
        <w:tc>
          <w:tcPr>
            <w:tcW w:w="3136" w:type="dxa"/>
            <w:shd w:val="clear" w:color="auto" w:fill="auto"/>
            <w:vAlign w:val="center"/>
          </w:tcPr>
          <w:p w14:paraId="4C9F7B3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0.460</w:t>
            </w:r>
          </w:p>
        </w:tc>
        <w:tc>
          <w:tcPr>
            <w:tcW w:w="2920" w:type="dxa"/>
            <w:shd w:val="clear" w:color="auto" w:fill="auto"/>
            <w:vAlign w:val="center"/>
          </w:tcPr>
          <w:p w14:paraId="1D46353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5.998</w:t>
            </w:r>
          </w:p>
        </w:tc>
      </w:tr>
      <w:tr w14:paraId="41034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598803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-12</w:t>
            </w:r>
          </w:p>
        </w:tc>
        <w:tc>
          <w:tcPr>
            <w:tcW w:w="3136" w:type="dxa"/>
            <w:shd w:val="clear" w:color="auto" w:fill="auto"/>
            <w:vAlign w:val="center"/>
          </w:tcPr>
          <w:p w14:paraId="667A6E3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0.561</w:t>
            </w:r>
          </w:p>
        </w:tc>
        <w:tc>
          <w:tcPr>
            <w:tcW w:w="2920" w:type="dxa"/>
            <w:shd w:val="clear" w:color="auto" w:fill="auto"/>
            <w:vAlign w:val="center"/>
          </w:tcPr>
          <w:p w14:paraId="01E2A6A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6.431</w:t>
            </w:r>
          </w:p>
        </w:tc>
      </w:tr>
      <w:tr w14:paraId="55671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4D0FA3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-11</w:t>
            </w:r>
          </w:p>
        </w:tc>
        <w:tc>
          <w:tcPr>
            <w:tcW w:w="3136" w:type="dxa"/>
            <w:shd w:val="clear" w:color="auto" w:fill="auto"/>
            <w:vAlign w:val="center"/>
          </w:tcPr>
          <w:p w14:paraId="501B7C9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0.674</w:t>
            </w:r>
          </w:p>
        </w:tc>
        <w:tc>
          <w:tcPr>
            <w:tcW w:w="2920" w:type="dxa"/>
            <w:shd w:val="clear" w:color="auto" w:fill="auto"/>
            <w:vAlign w:val="center"/>
          </w:tcPr>
          <w:p w14:paraId="4986EB8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6.868</w:t>
            </w:r>
          </w:p>
        </w:tc>
      </w:tr>
      <w:tr w14:paraId="331FF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F3C96E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-10</w:t>
            </w:r>
          </w:p>
        </w:tc>
        <w:tc>
          <w:tcPr>
            <w:tcW w:w="3136" w:type="dxa"/>
            <w:shd w:val="clear" w:color="auto" w:fill="auto"/>
            <w:vAlign w:val="center"/>
          </w:tcPr>
          <w:p w14:paraId="0275FC6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0.798</w:t>
            </w:r>
          </w:p>
        </w:tc>
        <w:tc>
          <w:tcPr>
            <w:tcW w:w="2920" w:type="dxa"/>
            <w:shd w:val="clear" w:color="auto" w:fill="auto"/>
            <w:vAlign w:val="center"/>
          </w:tcPr>
          <w:p w14:paraId="0361B9A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7.294</w:t>
            </w:r>
          </w:p>
        </w:tc>
      </w:tr>
      <w:tr w14:paraId="30E52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D1B4F8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-9</w:t>
            </w:r>
          </w:p>
        </w:tc>
        <w:tc>
          <w:tcPr>
            <w:tcW w:w="3136" w:type="dxa"/>
            <w:shd w:val="clear" w:color="auto" w:fill="auto"/>
            <w:vAlign w:val="center"/>
          </w:tcPr>
          <w:p w14:paraId="4BC6B27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0.928</w:t>
            </w:r>
          </w:p>
        </w:tc>
        <w:tc>
          <w:tcPr>
            <w:tcW w:w="2920" w:type="dxa"/>
            <w:shd w:val="clear" w:color="auto" w:fill="auto"/>
            <w:vAlign w:val="center"/>
          </w:tcPr>
          <w:p w14:paraId="20B8DFD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7.686</w:t>
            </w:r>
          </w:p>
        </w:tc>
      </w:tr>
      <w:tr w14:paraId="30A9E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12DF13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-8</w:t>
            </w:r>
          </w:p>
        </w:tc>
        <w:tc>
          <w:tcPr>
            <w:tcW w:w="3136" w:type="dxa"/>
            <w:shd w:val="clear" w:color="auto" w:fill="auto"/>
            <w:vAlign w:val="center"/>
          </w:tcPr>
          <w:p w14:paraId="3A8C2DF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1.058</w:t>
            </w:r>
          </w:p>
        </w:tc>
        <w:tc>
          <w:tcPr>
            <w:tcW w:w="2920" w:type="dxa"/>
            <w:shd w:val="clear" w:color="auto" w:fill="auto"/>
            <w:vAlign w:val="center"/>
          </w:tcPr>
          <w:p w14:paraId="2ECB314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8.022</w:t>
            </w:r>
          </w:p>
        </w:tc>
      </w:tr>
      <w:tr w14:paraId="40556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16C0A3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-7</w:t>
            </w:r>
          </w:p>
        </w:tc>
        <w:tc>
          <w:tcPr>
            <w:tcW w:w="3136" w:type="dxa"/>
            <w:shd w:val="clear" w:color="auto" w:fill="auto"/>
            <w:vAlign w:val="center"/>
          </w:tcPr>
          <w:p w14:paraId="28D05B6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1.180</w:t>
            </w:r>
          </w:p>
        </w:tc>
        <w:tc>
          <w:tcPr>
            <w:tcW w:w="2920" w:type="dxa"/>
            <w:shd w:val="clear" w:color="auto" w:fill="auto"/>
            <w:vAlign w:val="center"/>
          </w:tcPr>
          <w:p w14:paraId="5C4FA1E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8.276</w:t>
            </w:r>
          </w:p>
        </w:tc>
      </w:tr>
      <w:tr w14:paraId="0639A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7DE327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-6</w:t>
            </w:r>
          </w:p>
        </w:tc>
        <w:tc>
          <w:tcPr>
            <w:tcW w:w="3136" w:type="dxa"/>
            <w:shd w:val="clear" w:color="auto" w:fill="auto"/>
            <w:vAlign w:val="center"/>
          </w:tcPr>
          <w:p w14:paraId="1242364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1.286</w:t>
            </w:r>
          </w:p>
        </w:tc>
        <w:tc>
          <w:tcPr>
            <w:tcW w:w="2920" w:type="dxa"/>
            <w:shd w:val="clear" w:color="auto" w:fill="auto"/>
            <w:vAlign w:val="center"/>
          </w:tcPr>
          <w:p w14:paraId="1128123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8.429</w:t>
            </w:r>
          </w:p>
        </w:tc>
      </w:tr>
      <w:tr w14:paraId="4FEFE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CDE36F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-5</w:t>
            </w:r>
          </w:p>
        </w:tc>
        <w:tc>
          <w:tcPr>
            <w:tcW w:w="3136" w:type="dxa"/>
            <w:shd w:val="clear" w:color="auto" w:fill="auto"/>
            <w:vAlign w:val="center"/>
          </w:tcPr>
          <w:p w14:paraId="23EFCB5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1.368</w:t>
            </w:r>
          </w:p>
        </w:tc>
        <w:tc>
          <w:tcPr>
            <w:tcW w:w="2920" w:type="dxa"/>
            <w:shd w:val="clear" w:color="auto" w:fill="auto"/>
            <w:vAlign w:val="center"/>
          </w:tcPr>
          <w:p w14:paraId="4159B7F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8.476</w:t>
            </w:r>
          </w:p>
        </w:tc>
      </w:tr>
      <w:tr w14:paraId="3D75D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178EA8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w:t>
            </w:r>
          </w:p>
        </w:tc>
        <w:tc>
          <w:tcPr>
            <w:tcW w:w="3136" w:type="dxa"/>
            <w:shd w:val="clear" w:color="auto" w:fill="auto"/>
            <w:vAlign w:val="center"/>
          </w:tcPr>
          <w:p w14:paraId="56CA1E0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1.426</w:t>
            </w:r>
          </w:p>
        </w:tc>
        <w:tc>
          <w:tcPr>
            <w:tcW w:w="2920" w:type="dxa"/>
            <w:shd w:val="clear" w:color="auto" w:fill="auto"/>
            <w:vAlign w:val="center"/>
          </w:tcPr>
          <w:p w14:paraId="22EDC17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8.431</w:t>
            </w:r>
          </w:p>
        </w:tc>
      </w:tr>
      <w:tr w14:paraId="7BA52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CCFF05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w:t>
            </w:r>
          </w:p>
        </w:tc>
        <w:tc>
          <w:tcPr>
            <w:tcW w:w="3136" w:type="dxa"/>
            <w:shd w:val="clear" w:color="auto" w:fill="auto"/>
            <w:vAlign w:val="center"/>
          </w:tcPr>
          <w:p w14:paraId="004432F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1.461</w:t>
            </w:r>
          </w:p>
        </w:tc>
        <w:tc>
          <w:tcPr>
            <w:tcW w:w="2920" w:type="dxa"/>
            <w:shd w:val="clear" w:color="auto" w:fill="auto"/>
            <w:vAlign w:val="center"/>
          </w:tcPr>
          <w:p w14:paraId="5364F7A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8.328</w:t>
            </w:r>
          </w:p>
        </w:tc>
      </w:tr>
      <w:tr w14:paraId="6A886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921202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w:t>
            </w:r>
          </w:p>
        </w:tc>
        <w:tc>
          <w:tcPr>
            <w:tcW w:w="3136" w:type="dxa"/>
            <w:shd w:val="clear" w:color="auto" w:fill="auto"/>
            <w:vAlign w:val="center"/>
          </w:tcPr>
          <w:p w14:paraId="56DBB66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1.478</w:t>
            </w:r>
          </w:p>
        </w:tc>
        <w:tc>
          <w:tcPr>
            <w:tcW w:w="2920" w:type="dxa"/>
            <w:shd w:val="clear" w:color="auto" w:fill="auto"/>
            <w:vAlign w:val="center"/>
          </w:tcPr>
          <w:p w14:paraId="45F1BB1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8.215</w:t>
            </w:r>
          </w:p>
        </w:tc>
      </w:tr>
      <w:tr w14:paraId="7B65B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D428F7D">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w:t>
            </w:r>
          </w:p>
        </w:tc>
        <w:tc>
          <w:tcPr>
            <w:tcW w:w="3136" w:type="dxa"/>
            <w:shd w:val="clear" w:color="auto" w:fill="auto"/>
            <w:vAlign w:val="center"/>
          </w:tcPr>
          <w:p w14:paraId="4D87796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1.484</w:t>
            </w:r>
          </w:p>
        </w:tc>
        <w:tc>
          <w:tcPr>
            <w:tcW w:w="2920" w:type="dxa"/>
            <w:shd w:val="clear" w:color="auto" w:fill="auto"/>
            <w:vAlign w:val="center"/>
          </w:tcPr>
          <w:p w14:paraId="6149AA8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8.138</w:t>
            </w:r>
          </w:p>
        </w:tc>
      </w:tr>
      <w:tr w14:paraId="72DF3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84C58D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0</w:t>
            </w:r>
          </w:p>
        </w:tc>
        <w:tc>
          <w:tcPr>
            <w:tcW w:w="3136" w:type="dxa"/>
            <w:shd w:val="clear" w:color="auto" w:fill="auto"/>
            <w:vAlign w:val="center"/>
          </w:tcPr>
          <w:p w14:paraId="73F997D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1.485</w:t>
            </w:r>
          </w:p>
        </w:tc>
        <w:tc>
          <w:tcPr>
            <w:tcW w:w="2920" w:type="dxa"/>
            <w:shd w:val="clear" w:color="auto" w:fill="auto"/>
            <w:vAlign w:val="center"/>
          </w:tcPr>
          <w:p w14:paraId="4943A5A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8.126</w:t>
            </w:r>
          </w:p>
        </w:tc>
      </w:tr>
      <w:tr w14:paraId="2F605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746E2D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w:t>
            </w:r>
          </w:p>
        </w:tc>
        <w:tc>
          <w:tcPr>
            <w:tcW w:w="3136" w:type="dxa"/>
            <w:shd w:val="clear" w:color="auto" w:fill="auto"/>
            <w:vAlign w:val="center"/>
          </w:tcPr>
          <w:p w14:paraId="7579456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1.480</w:t>
            </w:r>
          </w:p>
        </w:tc>
        <w:tc>
          <w:tcPr>
            <w:tcW w:w="2920" w:type="dxa"/>
            <w:shd w:val="clear" w:color="auto" w:fill="auto"/>
            <w:vAlign w:val="center"/>
          </w:tcPr>
          <w:p w14:paraId="486908B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8.186</w:t>
            </w:r>
          </w:p>
        </w:tc>
      </w:tr>
      <w:tr w14:paraId="5B790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D096B4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w:t>
            </w:r>
          </w:p>
        </w:tc>
        <w:tc>
          <w:tcPr>
            <w:tcW w:w="3136" w:type="dxa"/>
            <w:shd w:val="clear" w:color="auto" w:fill="auto"/>
            <w:vAlign w:val="center"/>
          </w:tcPr>
          <w:p w14:paraId="0D667DD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1.467</w:t>
            </w:r>
          </w:p>
        </w:tc>
        <w:tc>
          <w:tcPr>
            <w:tcW w:w="2920" w:type="dxa"/>
            <w:shd w:val="clear" w:color="auto" w:fill="auto"/>
            <w:vAlign w:val="center"/>
          </w:tcPr>
          <w:p w14:paraId="2FF5A16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8.293</w:t>
            </w:r>
          </w:p>
        </w:tc>
      </w:tr>
      <w:tr w14:paraId="1C7EC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E0CD05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w:t>
            </w:r>
          </w:p>
        </w:tc>
        <w:tc>
          <w:tcPr>
            <w:tcW w:w="3136" w:type="dxa"/>
            <w:shd w:val="clear" w:color="auto" w:fill="auto"/>
            <w:vAlign w:val="center"/>
          </w:tcPr>
          <w:p w14:paraId="5CA0DD2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1.438</w:t>
            </w:r>
          </w:p>
        </w:tc>
        <w:tc>
          <w:tcPr>
            <w:tcW w:w="2920" w:type="dxa"/>
            <w:shd w:val="clear" w:color="auto" w:fill="auto"/>
            <w:vAlign w:val="center"/>
          </w:tcPr>
          <w:p w14:paraId="2250718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8.404</w:t>
            </w:r>
          </w:p>
        </w:tc>
      </w:tr>
      <w:tr w14:paraId="4B67A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7C75E3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w:t>
            </w:r>
          </w:p>
        </w:tc>
        <w:tc>
          <w:tcPr>
            <w:tcW w:w="3136" w:type="dxa"/>
            <w:shd w:val="clear" w:color="auto" w:fill="auto"/>
            <w:vAlign w:val="center"/>
          </w:tcPr>
          <w:p w14:paraId="4676B0D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1.387</w:t>
            </w:r>
          </w:p>
        </w:tc>
        <w:tc>
          <w:tcPr>
            <w:tcW w:w="2920" w:type="dxa"/>
            <w:shd w:val="clear" w:color="auto" w:fill="auto"/>
            <w:vAlign w:val="center"/>
          </w:tcPr>
          <w:p w14:paraId="526ACC7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8.471</w:t>
            </w:r>
          </w:p>
        </w:tc>
      </w:tr>
      <w:tr w14:paraId="5F63A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22095C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5</w:t>
            </w:r>
          </w:p>
        </w:tc>
        <w:tc>
          <w:tcPr>
            <w:tcW w:w="3136" w:type="dxa"/>
            <w:shd w:val="clear" w:color="auto" w:fill="auto"/>
            <w:vAlign w:val="center"/>
          </w:tcPr>
          <w:p w14:paraId="171FDED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1.312</w:t>
            </w:r>
          </w:p>
        </w:tc>
        <w:tc>
          <w:tcPr>
            <w:tcW w:w="2920" w:type="dxa"/>
            <w:shd w:val="clear" w:color="auto" w:fill="auto"/>
            <w:vAlign w:val="center"/>
          </w:tcPr>
          <w:p w14:paraId="3CB4EA9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8.455</w:t>
            </w:r>
          </w:p>
        </w:tc>
      </w:tr>
      <w:tr w14:paraId="7D283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DD98EB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6</w:t>
            </w:r>
          </w:p>
        </w:tc>
        <w:tc>
          <w:tcPr>
            <w:tcW w:w="3136" w:type="dxa"/>
            <w:shd w:val="clear" w:color="auto" w:fill="auto"/>
            <w:vAlign w:val="center"/>
          </w:tcPr>
          <w:p w14:paraId="6E44A4C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1.212</w:t>
            </w:r>
          </w:p>
        </w:tc>
        <w:tc>
          <w:tcPr>
            <w:tcW w:w="2920" w:type="dxa"/>
            <w:shd w:val="clear" w:color="auto" w:fill="auto"/>
            <w:vAlign w:val="center"/>
          </w:tcPr>
          <w:p w14:paraId="5A73074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8.336</w:t>
            </w:r>
          </w:p>
        </w:tc>
      </w:tr>
      <w:tr w14:paraId="6D412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9F0CB7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7</w:t>
            </w:r>
          </w:p>
        </w:tc>
        <w:tc>
          <w:tcPr>
            <w:tcW w:w="3136" w:type="dxa"/>
            <w:shd w:val="clear" w:color="auto" w:fill="auto"/>
            <w:vAlign w:val="center"/>
          </w:tcPr>
          <w:p w14:paraId="75B9D15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1.094</w:t>
            </w:r>
          </w:p>
        </w:tc>
        <w:tc>
          <w:tcPr>
            <w:tcW w:w="2920" w:type="dxa"/>
            <w:shd w:val="clear" w:color="auto" w:fill="auto"/>
            <w:vAlign w:val="center"/>
          </w:tcPr>
          <w:p w14:paraId="74A008C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8.112</w:t>
            </w:r>
          </w:p>
        </w:tc>
      </w:tr>
      <w:tr w14:paraId="71A73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7395DB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8</w:t>
            </w:r>
          </w:p>
        </w:tc>
        <w:tc>
          <w:tcPr>
            <w:tcW w:w="3136" w:type="dxa"/>
            <w:shd w:val="clear" w:color="auto" w:fill="auto"/>
            <w:vAlign w:val="center"/>
          </w:tcPr>
          <w:p w14:paraId="6ECC23E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0.965</w:t>
            </w:r>
          </w:p>
        </w:tc>
        <w:tc>
          <w:tcPr>
            <w:tcW w:w="2920" w:type="dxa"/>
            <w:shd w:val="clear" w:color="auto" w:fill="auto"/>
            <w:vAlign w:val="center"/>
          </w:tcPr>
          <w:p w14:paraId="2889E4E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7.800</w:t>
            </w:r>
          </w:p>
        </w:tc>
      </w:tr>
      <w:tr w14:paraId="543D6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703577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9</w:t>
            </w:r>
          </w:p>
        </w:tc>
        <w:tc>
          <w:tcPr>
            <w:tcW w:w="3136" w:type="dxa"/>
            <w:shd w:val="clear" w:color="auto" w:fill="auto"/>
            <w:vAlign w:val="center"/>
          </w:tcPr>
          <w:p w14:paraId="163EDC6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0.834</w:t>
            </w:r>
          </w:p>
        </w:tc>
        <w:tc>
          <w:tcPr>
            <w:tcW w:w="2920" w:type="dxa"/>
            <w:shd w:val="clear" w:color="auto" w:fill="auto"/>
            <w:vAlign w:val="center"/>
          </w:tcPr>
          <w:p w14:paraId="0499238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7.423</w:t>
            </w:r>
          </w:p>
        </w:tc>
      </w:tr>
      <w:tr w14:paraId="0D94F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1C637A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10</w:t>
            </w:r>
          </w:p>
        </w:tc>
        <w:tc>
          <w:tcPr>
            <w:tcW w:w="3136" w:type="dxa"/>
            <w:shd w:val="clear" w:color="auto" w:fill="auto"/>
            <w:vAlign w:val="center"/>
          </w:tcPr>
          <w:p w14:paraId="3C517A2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0.708</w:t>
            </w:r>
          </w:p>
        </w:tc>
        <w:tc>
          <w:tcPr>
            <w:tcW w:w="2920" w:type="dxa"/>
            <w:shd w:val="clear" w:color="auto" w:fill="auto"/>
            <w:vAlign w:val="center"/>
          </w:tcPr>
          <w:p w14:paraId="1CC8E3E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7.006</w:t>
            </w:r>
          </w:p>
        </w:tc>
      </w:tr>
      <w:tr w14:paraId="27361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7CE24E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11</w:t>
            </w:r>
          </w:p>
        </w:tc>
        <w:tc>
          <w:tcPr>
            <w:tcW w:w="3136" w:type="dxa"/>
            <w:shd w:val="clear" w:color="auto" w:fill="auto"/>
            <w:vAlign w:val="center"/>
          </w:tcPr>
          <w:p w14:paraId="2A6A0F4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0.591</w:t>
            </w:r>
          </w:p>
        </w:tc>
        <w:tc>
          <w:tcPr>
            <w:tcW w:w="2920" w:type="dxa"/>
            <w:shd w:val="clear" w:color="auto" w:fill="auto"/>
            <w:vAlign w:val="center"/>
          </w:tcPr>
          <w:p w14:paraId="41D9D9F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6.571</w:t>
            </w:r>
          </w:p>
        </w:tc>
      </w:tr>
      <w:tr w14:paraId="244DA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0FDB40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12</w:t>
            </w:r>
          </w:p>
        </w:tc>
        <w:tc>
          <w:tcPr>
            <w:tcW w:w="3136" w:type="dxa"/>
            <w:shd w:val="clear" w:color="auto" w:fill="auto"/>
            <w:vAlign w:val="center"/>
          </w:tcPr>
          <w:p w14:paraId="7FEF8DA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0.486</w:t>
            </w:r>
          </w:p>
        </w:tc>
        <w:tc>
          <w:tcPr>
            <w:tcW w:w="2920" w:type="dxa"/>
            <w:shd w:val="clear" w:color="auto" w:fill="auto"/>
            <w:vAlign w:val="center"/>
          </w:tcPr>
          <w:p w14:paraId="2419890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6.136</w:t>
            </w:r>
          </w:p>
        </w:tc>
      </w:tr>
      <w:tr w14:paraId="6FF69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31CD79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13</w:t>
            </w:r>
          </w:p>
        </w:tc>
        <w:tc>
          <w:tcPr>
            <w:tcW w:w="3136" w:type="dxa"/>
            <w:shd w:val="clear" w:color="auto" w:fill="auto"/>
            <w:vAlign w:val="center"/>
          </w:tcPr>
          <w:p w14:paraId="1488486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0.394</w:t>
            </w:r>
          </w:p>
        </w:tc>
        <w:tc>
          <w:tcPr>
            <w:tcW w:w="2920" w:type="dxa"/>
            <w:shd w:val="clear" w:color="auto" w:fill="auto"/>
            <w:vAlign w:val="center"/>
          </w:tcPr>
          <w:p w14:paraId="4B4E4AE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5.712</w:t>
            </w:r>
          </w:p>
        </w:tc>
      </w:tr>
      <w:tr w14:paraId="5708B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28196A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14</w:t>
            </w:r>
          </w:p>
        </w:tc>
        <w:tc>
          <w:tcPr>
            <w:tcW w:w="3136" w:type="dxa"/>
            <w:shd w:val="clear" w:color="auto" w:fill="auto"/>
            <w:vAlign w:val="center"/>
          </w:tcPr>
          <w:p w14:paraId="207D771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0.315</w:t>
            </w:r>
          </w:p>
        </w:tc>
        <w:tc>
          <w:tcPr>
            <w:tcW w:w="2920" w:type="dxa"/>
            <w:shd w:val="clear" w:color="auto" w:fill="auto"/>
            <w:vAlign w:val="center"/>
          </w:tcPr>
          <w:p w14:paraId="084E487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5.308</w:t>
            </w:r>
          </w:p>
        </w:tc>
      </w:tr>
      <w:tr w14:paraId="75C15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435A4A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15</w:t>
            </w:r>
          </w:p>
        </w:tc>
        <w:tc>
          <w:tcPr>
            <w:tcW w:w="3136" w:type="dxa"/>
            <w:shd w:val="clear" w:color="auto" w:fill="auto"/>
            <w:vAlign w:val="center"/>
          </w:tcPr>
          <w:p w14:paraId="18FB159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0.249</w:t>
            </w:r>
          </w:p>
        </w:tc>
        <w:tc>
          <w:tcPr>
            <w:tcW w:w="2920" w:type="dxa"/>
            <w:shd w:val="clear" w:color="auto" w:fill="auto"/>
            <w:vAlign w:val="center"/>
          </w:tcPr>
          <w:p w14:paraId="73789AD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4.928</w:t>
            </w:r>
          </w:p>
        </w:tc>
      </w:tr>
      <w:tr w14:paraId="7FC81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6447BF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16</w:t>
            </w:r>
          </w:p>
        </w:tc>
        <w:tc>
          <w:tcPr>
            <w:tcW w:w="3136" w:type="dxa"/>
            <w:shd w:val="clear" w:color="auto" w:fill="auto"/>
            <w:vAlign w:val="center"/>
          </w:tcPr>
          <w:p w14:paraId="5C548F4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0.194</w:t>
            </w:r>
          </w:p>
        </w:tc>
        <w:tc>
          <w:tcPr>
            <w:tcW w:w="2920" w:type="dxa"/>
            <w:shd w:val="clear" w:color="auto" w:fill="auto"/>
            <w:vAlign w:val="center"/>
          </w:tcPr>
          <w:p w14:paraId="33090A0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4.574</w:t>
            </w:r>
          </w:p>
        </w:tc>
      </w:tr>
      <w:tr w14:paraId="61E9B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A7AB8CD">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17</w:t>
            </w:r>
          </w:p>
        </w:tc>
        <w:tc>
          <w:tcPr>
            <w:tcW w:w="3136" w:type="dxa"/>
            <w:shd w:val="clear" w:color="auto" w:fill="auto"/>
            <w:vAlign w:val="center"/>
          </w:tcPr>
          <w:p w14:paraId="1110683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0.148</w:t>
            </w:r>
          </w:p>
        </w:tc>
        <w:tc>
          <w:tcPr>
            <w:tcW w:w="2920" w:type="dxa"/>
            <w:shd w:val="clear" w:color="auto" w:fill="auto"/>
            <w:vAlign w:val="center"/>
          </w:tcPr>
          <w:p w14:paraId="3D7AD45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4.247</w:t>
            </w:r>
          </w:p>
        </w:tc>
      </w:tr>
      <w:tr w14:paraId="6A0D5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ED1CFB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18</w:t>
            </w:r>
          </w:p>
        </w:tc>
        <w:tc>
          <w:tcPr>
            <w:tcW w:w="3136" w:type="dxa"/>
            <w:shd w:val="clear" w:color="auto" w:fill="auto"/>
            <w:vAlign w:val="center"/>
          </w:tcPr>
          <w:p w14:paraId="32197CB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0.111</w:t>
            </w:r>
          </w:p>
        </w:tc>
        <w:tc>
          <w:tcPr>
            <w:tcW w:w="2920" w:type="dxa"/>
            <w:shd w:val="clear" w:color="auto" w:fill="auto"/>
            <w:vAlign w:val="center"/>
          </w:tcPr>
          <w:p w14:paraId="16D3246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3.946</w:t>
            </w:r>
          </w:p>
        </w:tc>
      </w:tr>
      <w:tr w14:paraId="0032D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E1F784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19</w:t>
            </w:r>
          </w:p>
        </w:tc>
        <w:tc>
          <w:tcPr>
            <w:tcW w:w="3136" w:type="dxa"/>
            <w:shd w:val="clear" w:color="auto" w:fill="auto"/>
            <w:vAlign w:val="center"/>
          </w:tcPr>
          <w:p w14:paraId="3857389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0.082</w:t>
            </w:r>
          </w:p>
        </w:tc>
        <w:tc>
          <w:tcPr>
            <w:tcW w:w="2920" w:type="dxa"/>
            <w:shd w:val="clear" w:color="auto" w:fill="auto"/>
            <w:vAlign w:val="center"/>
          </w:tcPr>
          <w:p w14:paraId="0522635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3.669</w:t>
            </w:r>
          </w:p>
        </w:tc>
      </w:tr>
      <w:tr w14:paraId="65BE2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A25C9B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20</w:t>
            </w:r>
          </w:p>
        </w:tc>
        <w:tc>
          <w:tcPr>
            <w:tcW w:w="3136" w:type="dxa"/>
            <w:shd w:val="clear" w:color="auto" w:fill="auto"/>
            <w:vAlign w:val="center"/>
          </w:tcPr>
          <w:p w14:paraId="56B75CD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0.059</w:t>
            </w:r>
          </w:p>
        </w:tc>
        <w:tc>
          <w:tcPr>
            <w:tcW w:w="2920" w:type="dxa"/>
            <w:shd w:val="clear" w:color="auto" w:fill="auto"/>
            <w:vAlign w:val="center"/>
          </w:tcPr>
          <w:p w14:paraId="5370E47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3.416</w:t>
            </w:r>
          </w:p>
        </w:tc>
      </w:tr>
      <w:tr w14:paraId="31D2B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A2D8B9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21</w:t>
            </w:r>
          </w:p>
        </w:tc>
        <w:tc>
          <w:tcPr>
            <w:tcW w:w="3136" w:type="dxa"/>
            <w:shd w:val="clear" w:color="auto" w:fill="auto"/>
            <w:vAlign w:val="center"/>
          </w:tcPr>
          <w:p w14:paraId="505005A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0.044</w:t>
            </w:r>
          </w:p>
        </w:tc>
        <w:tc>
          <w:tcPr>
            <w:tcW w:w="2920" w:type="dxa"/>
            <w:shd w:val="clear" w:color="auto" w:fill="auto"/>
            <w:vAlign w:val="center"/>
          </w:tcPr>
          <w:p w14:paraId="28F5B88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3.184</w:t>
            </w:r>
          </w:p>
        </w:tc>
      </w:tr>
      <w:tr w14:paraId="6CA75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BA77C6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22</w:t>
            </w:r>
          </w:p>
        </w:tc>
        <w:tc>
          <w:tcPr>
            <w:tcW w:w="3136" w:type="dxa"/>
            <w:shd w:val="clear" w:color="auto" w:fill="auto"/>
            <w:vAlign w:val="center"/>
          </w:tcPr>
          <w:p w14:paraId="635BBD7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0.035</w:t>
            </w:r>
          </w:p>
        </w:tc>
        <w:tc>
          <w:tcPr>
            <w:tcW w:w="2920" w:type="dxa"/>
            <w:shd w:val="clear" w:color="auto" w:fill="auto"/>
            <w:vAlign w:val="center"/>
          </w:tcPr>
          <w:p w14:paraId="517FDCB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2.972</w:t>
            </w:r>
          </w:p>
        </w:tc>
      </w:tr>
      <w:tr w14:paraId="7DBE2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AA2B20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23</w:t>
            </w:r>
          </w:p>
        </w:tc>
        <w:tc>
          <w:tcPr>
            <w:tcW w:w="3136" w:type="dxa"/>
            <w:shd w:val="clear" w:color="auto" w:fill="auto"/>
            <w:vAlign w:val="center"/>
          </w:tcPr>
          <w:p w14:paraId="7E9485B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0.033</w:t>
            </w:r>
          </w:p>
        </w:tc>
        <w:tc>
          <w:tcPr>
            <w:tcW w:w="2920" w:type="dxa"/>
            <w:shd w:val="clear" w:color="auto" w:fill="auto"/>
            <w:vAlign w:val="center"/>
          </w:tcPr>
          <w:p w14:paraId="22DBA3A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2.778</w:t>
            </w:r>
          </w:p>
        </w:tc>
      </w:tr>
      <w:tr w14:paraId="14C52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2D07B0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24</w:t>
            </w:r>
          </w:p>
        </w:tc>
        <w:tc>
          <w:tcPr>
            <w:tcW w:w="3136" w:type="dxa"/>
            <w:shd w:val="clear" w:color="auto" w:fill="auto"/>
            <w:vAlign w:val="center"/>
          </w:tcPr>
          <w:p w14:paraId="130C2BE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0.035</w:t>
            </w:r>
          </w:p>
        </w:tc>
        <w:tc>
          <w:tcPr>
            <w:tcW w:w="2920" w:type="dxa"/>
            <w:shd w:val="clear" w:color="auto" w:fill="auto"/>
            <w:vAlign w:val="center"/>
          </w:tcPr>
          <w:p w14:paraId="54FC585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2.601</w:t>
            </w:r>
          </w:p>
        </w:tc>
      </w:tr>
      <w:tr w14:paraId="76DB6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A694A9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25</w:t>
            </w:r>
          </w:p>
        </w:tc>
        <w:tc>
          <w:tcPr>
            <w:tcW w:w="3136" w:type="dxa"/>
            <w:shd w:val="clear" w:color="auto" w:fill="auto"/>
            <w:vAlign w:val="center"/>
          </w:tcPr>
          <w:p w14:paraId="645F158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0.039</w:t>
            </w:r>
          </w:p>
        </w:tc>
        <w:tc>
          <w:tcPr>
            <w:tcW w:w="2920" w:type="dxa"/>
            <w:shd w:val="clear" w:color="auto" w:fill="auto"/>
            <w:vAlign w:val="center"/>
          </w:tcPr>
          <w:p w14:paraId="2EC9253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2.438</w:t>
            </w:r>
          </w:p>
        </w:tc>
      </w:tr>
      <w:tr w14:paraId="5F4C2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93CF46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26</w:t>
            </w:r>
          </w:p>
        </w:tc>
        <w:tc>
          <w:tcPr>
            <w:tcW w:w="3136" w:type="dxa"/>
            <w:shd w:val="clear" w:color="auto" w:fill="auto"/>
            <w:vAlign w:val="center"/>
          </w:tcPr>
          <w:p w14:paraId="127976D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0.043</w:t>
            </w:r>
          </w:p>
        </w:tc>
        <w:tc>
          <w:tcPr>
            <w:tcW w:w="2920" w:type="dxa"/>
            <w:shd w:val="clear" w:color="auto" w:fill="auto"/>
            <w:vAlign w:val="center"/>
          </w:tcPr>
          <w:p w14:paraId="58D0613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2.289</w:t>
            </w:r>
          </w:p>
        </w:tc>
      </w:tr>
      <w:tr w14:paraId="334AD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7CFEB69">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27</w:t>
            </w:r>
          </w:p>
        </w:tc>
        <w:tc>
          <w:tcPr>
            <w:tcW w:w="3136" w:type="dxa"/>
            <w:shd w:val="clear" w:color="auto" w:fill="auto"/>
            <w:vAlign w:val="center"/>
          </w:tcPr>
          <w:p w14:paraId="4E86CF2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0.046</w:t>
            </w:r>
          </w:p>
        </w:tc>
        <w:tc>
          <w:tcPr>
            <w:tcW w:w="2920" w:type="dxa"/>
            <w:shd w:val="clear" w:color="auto" w:fill="auto"/>
            <w:vAlign w:val="center"/>
          </w:tcPr>
          <w:p w14:paraId="24C59A8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2.152</w:t>
            </w:r>
          </w:p>
        </w:tc>
      </w:tr>
      <w:tr w14:paraId="71DE6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9C3D68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28</w:t>
            </w:r>
          </w:p>
        </w:tc>
        <w:tc>
          <w:tcPr>
            <w:tcW w:w="3136" w:type="dxa"/>
            <w:shd w:val="clear" w:color="auto" w:fill="auto"/>
            <w:vAlign w:val="center"/>
          </w:tcPr>
          <w:p w14:paraId="490AA6D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0.049</w:t>
            </w:r>
          </w:p>
        </w:tc>
        <w:tc>
          <w:tcPr>
            <w:tcW w:w="2920" w:type="dxa"/>
            <w:shd w:val="clear" w:color="auto" w:fill="auto"/>
            <w:vAlign w:val="center"/>
          </w:tcPr>
          <w:p w14:paraId="38AFEBE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2.026</w:t>
            </w:r>
          </w:p>
        </w:tc>
      </w:tr>
      <w:tr w14:paraId="2568C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BFF868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29</w:t>
            </w:r>
          </w:p>
        </w:tc>
        <w:tc>
          <w:tcPr>
            <w:tcW w:w="3136" w:type="dxa"/>
            <w:shd w:val="clear" w:color="auto" w:fill="auto"/>
            <w:vAlign w:val="center"/>
          </w:tcPr>
          <w:p w14:paraId="14D9B55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0.051</w:t>
            </w:r>
          </w:p>
        </w:tc>
        <w:tc>
          <w:tcPr>
            <w:tcW w:w="2920" w:type="dxa"/>
            <w:shd w:val="clear" w:color="auto" w:fill="auto"/>
            <w:vAlign w:val="center"/>
          </w:tcPr>
          <w:p w14:paraId="7F0F075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1.910</w:t>
            </w:r>
          </w:p>
        </w:tc>
      </w:tr>
      <w:tr w14:paraId="713F0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098A09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30</w:t>
            </w:r>
          </w:p>
        </w:tc>
        <w:tc>
          <w:tcPr>
            <w:tcW w:w="3136" w:type="dxa"/>
            <w:shd w:val="clear" w:color="auto" w:fill="auto"/>
            <w:vAlign w:val="center"/>
          </w:tcPr>
          <w:p w14:paraId="3A54D13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0.053</w:t>
            </w:r>
          </w:p>
        </w:tc>
        <w:tc>
          <w:tcPr>
            <w:tcW w:w="2920" w:type="dxa"/>
            <w:shd w:val="clear" w:color="auto" w:fill="auto"/>
            <w:vAlign w:val="center"/>
          </w:tcPr>
          <w:p w14:paraId="62EAEC1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1.803</w:t>
            </w:r>
          </w:p>
        </w:tc>
      </w:tr>
      <w:tr w14:paraId="67908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90E1C6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31</w:t>
            </w:r>
          </w:p>
        </w:tc>
        <w:tc>
          <w:tcPr>
            <w:tcW w:w="3136" w:type="dxa"/>
            <w:shd w:val="clear" w:color="auto" w:fill="auto"/>
            <w:vAlign w:val="center"/>
          </w:tcPr>
          <w:p w14:paraId="4D63645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0.054</w:t>
            </w:r>
          </w:p>
        </w:tc>
        <w:tc>
          <w:tcPr>
            <w:tcW w:w="2920" w:type="dxa"/>
            <w:shd w:val="clear" w:color="auto" w:fill="auto"/>
            <w:vAlign w:val="center"/>
          </w:tcPr>
          <w:p w14:paraId="790E4DA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1.705</w:t>
            </w:r>
          </w:p>
        </w:tc>
      </w:tr>
      <w:tr w14:paraId="5DE47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DC78BB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32</w:t>
            </w:r>
          </w:p>
        </w:tc>
        <w:tc>
          <w:tcPr>
            <w:tcW w:w="3136" w:type="dxa"/>
            <w:shd w:val="clear" w:color="auto" w:fill="auto"/>
            <w:vAlign w:val="center"/>
          </w:tcPr>
          <w:p w14:paraId="5B48B95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0.054</w:t>
            </w:r>
          </w:p>
        </w:tc>
        <w:tc>
          <w:tcPr>
            <w:tcW w:w="2920" w:type="dxa"/>
            <w:shd w:val="clear" w:color="auto" w:fill="auto"/>
            <w:vAlign w:val="center"/>
          </w:tcPr>
          <w:p w14:paraId="0FFBE74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1.613</w:t>
            </w:r>
          </w:p>
        </w:tc>
      </w:tr>
      <w:tr w14:paraId="70577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07B143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33</w:t>
            </w:r>
          </w:p>
        </w:tc>
        <w:tc>
          <w:tcPr>
            <w:tcW w:w="3136" w:type="dxa"/>
            <w:shd w:val="clear" w:color="auto" w:fill="auto"/>
            <w:vAlign w:val="center"/>
          </w:tcPr>
          <w:p w14:paraId="2CC2A45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0.054</w:t>
            </w:r>
          </w:p>
        </w:tc>
        <w:tc>
          <w:tcPr>
            <w:tcW w:w="2920" w:type="dxa"/>
            <w:shd w:val="clear" w:color="auto" w:fill="auto"/>
            <w:vAlign w:val="center"/>
          </w:tcPr>
          <w:p w14:paraId="4226B5A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1.529</w:t>
            </w:r>
          </w:p>
        </w:tc>
      </w:tr>
      <w:tr w14:paraId="5006A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61C208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34</w:t>
            </w:r>
          </w:p>
        </w:tc>
        <w:tc>
          <w:tcPr>
            <w:tcW w:w="3136" w:type="dxa"/>
            <w:shd w:val="clear" w:color="auto" w:fill="auto"/>
            <w:vAlign w:val="center"/>
          </w:tcPr>
          <w:p w14:paraId="6019659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0.054</w:t>
            </w:r>
          </w:p>
        </w:tc>
        <w:tc>
          <w:tcPr>
            <w:tcW w:w="2920" w:type="dxa"/>
            <w:shd w:val="clear" w:color="auto" w:fill="auto"/>
            <w:vAlign w:val="center"/>
          </w:tcPr>
          <w:p w14:paraId="495A22D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1.451</w:t>
            </w:r>
          </w:p>
        </w:tc>
      </w:tr>
      <w:tr w14:paraId="419DD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2A99A79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35</w:t>
            </w:r>
          </w:p>
        </w:tc>
        <w:tc>
          <w:tcPr>
            <w:tcW w:w="3136" w:type="dxa"/>
            <w:shd w:val="clear" w:color="auto" w:fill="auto"/>
            <w:vAlign w:val="center"/>
          </w:tcPr>
          <w:p w14:paraId="63C03E8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0.054</w:t>
            </w:r>
          </w:p>
        </w:tc>
        <w:tc>
          <w:tcPr>
            <w:tcW w:w="2920" w:type="dxa"/>
            <w:shd w:val="clear" w:color="auto" w:fill="auto"/>
            <w:vAlign w:val="center"/>
          </w:tcPr>
          <w:p w14:paraId="612B8A9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1.378</w:t>
            </w:r>
          </w:p>
        </w:tc>
      </w:tr>
      <w:tr w14:paraId="4244D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F28202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36</w:t>
            </w:r>
          </w:p>
        </w:tc>
        <w:tc>
          <w:tcPr>
            <w:tcW w:w="3136" w:type="dxa"/>
            <w:shd w:val="clear" w:color="auto" w:fill="auto"/>
            <w:vAlign w:val="center"/>
          </w:tcPr>
          <w:p w14:paraId="2165998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0.053</w:t>
            </w:r>
          </w:p>
        </w:tc>
        <w:tc>
          <w:tcPr>
            <w:tcW w:w="2920" w:type="dxa"/>
            <w:shd w:val="clear" w:color="auto" w:fill="auto"/>
            <w:vAlign w:val="center"/>
          </w:tcPr>
          <w:p w14:paraId="51BFE6C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1.310</w:t>
            </w:r>
          </w:p>
        </w:tc>
      </w:tr>
      <w:tr w14:paraId="4ED0D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6533E53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37</w:t>
            </w:r>
          </w:p>
        </w:tc>
        <w:tc>
          <w:tcPr>
            <w:tcW w:w="3136" w:type="dxa"/>
            <w:shd w:val="clear" w:color="auto" w:fill="auto"/>
            <w:vAlign w:val="center"/>
          </w:tcPr>
          <w:p w14:paraId="12ECAE2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0.053</w:t>
            </w:r>
          </w:p>
        </w:tc>
        <w:tc>
          <w:tcPr>
            <w:tcW w:w="2920" w:type="dxa"/>
            <w:shd w:val="clear" w:color="auto" w:fill="auto"/>
            <w:vAlign w:val="center"/>
          </w:tcPr>
          <w:p w14:paraId="1CE27CE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1.247</w:t>
            </w:r>
          </w:p>
        </w:tc>
      </w:tr>
      <w:tr w14:paraId="28CAC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3CC3288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38</w:t>
            </w:r>
          </w:p>
        </w:tc>
        <w:tc>
          <w:tcPr>
            <w:tcW w:w="3136" w:type="dxa"/>
            <w:shd w:val="clear" w:color="auto" w:fill="auto"/>
            <w:vAlign w:val="center"/>
          </w:tcPr>
          <w:p w14:paraId="25F685F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0.052</w:t>
            </w:r>
          </w:p>
        </w:tc>
        <w:tc>
          <w:tcPr>
            <w:tcW w:w="2920" w:type="dxa"/>
            <w:shd w:val="clear" w:color="auto" w:fill="auto"/>
            <w:vAlign w:val="center"/>
          </w:tcPr>
          <w:p w14:paraId="7D7DC35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1.189</w:t>
            </w:r>
          </w:p>
        </w:tc>
      </w:tr>
      <w:tr w14:paraId="29938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5879AC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39</w:t>
            </w:r>
          </w:p>
        </w:tc>
        <w:tc>
          <w:tcPr>
            <w:tcW w:w="3136" w:type="dxa"/>
            <w:shd w:val="clear" w:color="auto" w:fill="auto"/>
            <w:vAlign w:val="center"/>
          </w:tcPr>
          <w:p w14:paraId="3E489B4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0.051</w:t>
            </w:r>
          </w:p>
        </w:tc>
        <w:tc>
          <w:tcPr>
            <w:tcW w:w="2920" w:type="dxa"/>
            <w:shd w:val="clear" w:color="auto" w:fill="auto"/>
            <w:vAlign w:val="center"/>
          </w:tcPr>
          <w:p w14:paraId="0278EED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1.134</w:t>
            </w:r>
          </w:p>
        </w:tc>
      </w:tr>
      <w:tr w14:paraId="3EB04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C11D11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40</w:t>
            </w:r>
          </w:p>
        </w:tc>
        <w:tc>
          <w:tcPr>
            <w:tcW w:w="3136" w:type="dxa"/>
            <w:shd w:val="clear" w:color="auto" w:fill="auto"/>
            <w:vAlign w:val="center"/>
          </w:tcPr>
          <w:p w14:paraId="728FA03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0.050</w:t>
            </w:r>
          </w:p>
        </w:tc>
        <w:tc>
          <w:tcPr>
            <w:tcW w:w="2920" w:type="dxa"/>
            <w:shd w:val="clear" w:color="auto" w:fill="auto"/>
            <w:vAlign w:val="center"/>
          </w:tcPr>
          <w:p w14:paraId="0B02730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1.083</w:t>
            </w:r>
          </w:p>
        </w:tc>
      </w:tr>
      <w:tr w14:paraId="25870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C7E4CD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41</w:t>
            </w:r>
          </w:p>
        </w:tc>
        <w:tc>
          <w:tcPr>
            <w:tcW w:w="3136" w:type="dxa"/>
            <w:shd w:val="clear" w:color="auto" w:fill="auto"/>
            <w:vAlign w:val="center"/>
          </w:tcPr>
          <w:p w14:paraId="645729E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0.049</w:t>
            </w:r>
          </w:p>
        </w:tc>
        <w:tc>
          <w:tcPr>
            <w:tcW w:w="2920" w:type="dxa"/>
            <w:shd w:val="clear" w:color="auto" w:fill="auto"/>
            <w:vAlign w:val="center"/>
          </w:tcPr>
          <w:p w14:paraId="7EEE58A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1.035</w:t>
            </w:r>
          </w:p>
        </w:tc>
      </w:tr>
      <w:tr w14:paraId="21CE1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8CF673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42</w:t>
            </w:r>
          </w:p>
        </w:tc>
        <w:tc>
          <w:tcPr>
            <w:tcW w:w="3136" w:type="dxa"/>
            <w:shd w:val="clear" w:color="auto" w:fill="auto"/>
            <w:vAlign w:val="center"/>
          </w:tcPr>
          <w:p w14:paraId="57B6748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0.048</w:t>
            </w:r>
          </w:p>
        </w:tc>
        <w:tc>
          <w:tcPr>
            <w:tcW w:w="2920" w:type="dxa"/>
            <w:shd w:val="clear" w:color="auto" w:fill="auto"/>
            <w:vAlign w:val="center"/>
          </w:tcPr>
          <w:p w14:paraId="0DA2367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0.990</w:t>
            </w:r>
          </w:p>
        </w:tc>
      </w:tr>
      <w:tr w14:paraId="73293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A3595E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43</w:t>
            </w:r>
          </w:p>
        </w:tc>
        <w:tc>
          <w:tcPr>
            <w:tcW w:w="3136" w:type="dxa"/>
            <w:shd w:val="clear" w:color="auto" w:fill="auto"/>
            <w:vAlign w:val="center"/>
          </w:tcPr>
          <w:p w14:paraId="74C401A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0.047</w:t>
            </w:r>
          </w:p>
        </w:tc>
        <w:tc>
          <w:tcPr>
            <w:tcW w:w="2920" w:type="dxa"/>
            <w:shd w:val="clear" w:color="auto" w:fill="auto"/>
            <w:vAlign w:val="center"/>
          </w:tcPr>
          <w:p w14:paraId="1E7F412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0.948</w:t>
            </w:r>
          </w:p>
        </w:tc>
      </w:tr>
      <w:tr w14:paraId="43FA5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1040B14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44</w:t>
            </w:r>
          </w:p>
        </w:tc>
        <w:tc>
          <w:tcPr>
            <w:tcW w:w="3136" w:type="dxa"/>
            <w:shd w:val="clear" w:color="auto" w:fill="auto"/>
            <w:vAlign w:val="center"/>
          </w:tcPr>
          <w:p w14:paraId="1CDCF8D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0.046</w:t>
            </w:r>
          </w:p>
        </w:tc>
        <w:tc>
          <w:tcPr>
            <w:tcW w:w="2920" w:type="dxa"/>
            <w:shd w:val="clear" w:color="auto" w:fill="auto"/>
            <w:vAlign w:val="center"/>
          </w:tcPr>
          <w:p w14:paraId="6442E4A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0.909</w:t>
            </w:r>
          </w:p>
        </w:tc>
      </w:tr>
      <w:tr w14:paraId="1AD1F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751FBAF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45</w:t>
            </w:r>
          </w:p>
        </w:tc>
        <w:tc>
          <w:tcPr>
            <w:tcW w:w="3136" w:type="dxa"/>
            <w:shd w:val="clear" w:color="auto" w:fill="auto"/>
            <w:vAlign w:val="center"/>
          </w:tcPr>
          <w:p w14:paraId="5D53C19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0.045</w:t>
            </w:r>
          </w:p>
        </w:tc>
        <w:tc>
          <w:tcPr>
            <w:tcW w:w="2920" w:type="dxa"/>
            <w:shd w:val="clear" w:color="auto" w:fill="auto"/>
            <w:vAlign w:val="center"/>
          </w:tcPr>
          <w:p w14:paraId="7136721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0.871</w:t>
            </w:r>
          </w:p>
        </w:tc>
      </w:tr>
      <w:tr w14:paraId="0BC7A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4C871F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46</w:t>
            </w:r>
          </w:p>
        </w:tc>
        <w:tc>
          <w:tcPr>
            <w:tcW w:w="3136" w:type="dxa"/>
            <w:shd w:val="clear" w:color="auto" w:fill="auto"/>
            <w:vAlign w:val="center"/>
          </w:tcPr>
          <w:p w14:paraId="18C7A98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0.044</w:t>
            </w:r>
          </w:p>
        </w:tc>
        <w:tc>
          <w:tcPr>
            <w:tcW w:w="2920" w:type="dxa"/>
            <w:shd w:val="clear" w:color="auto" w:fill="auto"/>
            <w:vAlign w:val="center"/>
          </w:tcPr>
          <w:p w14:paraId="3EBE7ED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0.836</w:t>
            </w:r>
          </w:p>
        </w:tc>
      </w:tr>
      <w:tr w14:paraId="3BEB4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052E701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47</w:t>
            </w:r>
          </w:p>
        </w:tc>
        <w:tc>
          <w:tcPr>
            <w:tcW w:w="3136" w:type="dxa"/>
            <w:shd w:val="clear" w:color="auto" w:fill="auto"/>
            <w:vAlign w:val="center"/>
          </w:tcPr>
          <w:p w14:paraId="618E3AA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0.043</w:t>
            </w:r>
          </w:p>
        </w:tc>
        <w:tc>
          <w:tcPr>
            <w:tcW w:w="2920" w:type="dxa"/>
            <w:shd w:val="clear" w:color="auto" w:fill="auto"/>
            <w:vAlign w:val="center"/>
          </w:tcPr>
          <w:p w14:paraId="286D09E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0.803</w:t>
            </w:r>
          </w:p>
        </w:tc>
      </w:tr>
      <w:tr w14:paraId="0959E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4C21F3D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48</w:t>
            </w:r>
          </w:p>
        </w:tc>
        <w:tc>
          <w:tcPr>
            <w:tcW w:w="3136" w:type="dxa"/>
            <w:shd w:val="clear" w:color="auto" w:fill="auto"/>
            <w:vAlign w:val="center"/>
          </w:tcPr>
          <w:p w14:paraId="4D93E40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0.041</w:t>
            </w:r>
          </w:p>
        </w:tc>
        <w:tc>
          <w:tcPr>
            <w:tcW w:w="2920" w:type="dxa"/>
            <w:shd w:val="clear" w:color="auto" w:fill="auto"/>
            <w:vAlign w:val="center"/>
          </w:tcPr>
          <w:p w14:paraId="3DA0D75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0.772</w:t>
            </w:r>
          </w:p>
        </w:tc>
      </w:tr>
      <w:tr w14:paraId="6BB31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8584EF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49</w:t>
            </w:r>
          </w:p>
        </w:tc>
        <w:tc>
          <w:tcPr>
            <w:tcW w:w="3136" w:type="dxa"/>
            <w:shd w:val="clear" w:color="auto" w:fill="auto"/>
            <w:vAlign w:val="center"/>
          </w:tcPr>
          <w:p w14:paraId="4EDB66ED">
            <w:pPr>
              <w:pStyle w:val="48"/>
              <w:rPr>
                <w:rFonts w:hint="default" w:ascii="Times New Roman" w:hAnsi="Times New Roman" w:eastAsia="宋体" w:cs="Times New Roman"/>
                <w:b w:val="0"/>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val="en-US" w:eastAsia="zh-CN"/>
                <w14:textFill>
                  <w14:solidFill>
                    <w14:schemeClr w14:val="tx1"/>
                  </w14:solidFill>
                </w14:textFill>
              </w:rPr>
              <w:t>0.040</w:t>
            </w:r>
          </w:p>
        </w:tc>
        <w:tc>
          <w:tcPr>
            <w:tcW w:w="2920" w:type="dxa"/>
            <w:shd w:val="clear" w:color="auto" w:fill="auto"/>
            <w:vAlign w:val="center"/>
          </w:tcPr>
          <w:p w14:paraId="52086737">
            <w:pPr>
              <w:pStyle w:val="48"/>
              <w:rPr>
                <w:rFonts w:hint="default" w:ascii="Times New Roman" w:hAnsi="Times New Roman" w:eastAsia="宋体" w:cs="Times New Roman"/>
                <w:b w:val="0"/>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val="en-US" w:eastAsia="zh-CN"/>
                <w14:textFill>
                  <w14:solidFill>
                    <w14:schemeClr w14:val="tx1"/>
                  </w14:solidFill>
                </w14:textFill>
              </w:rPr>
              <w:t>0.743</w:t>
            </w:r>
          </w:p>
        </w:tc>
      </w:tr>
      <w:tr w14:paraId="4D170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2083" w:type="dxa"/>
            <w:vAlign w:val="center"/>
          </w:tcPr>
          <w:p w14:paraId="510CFD6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50</w:t>
            </w:r>
          </w:p>
        </w:tc>
        <w:tc>
          <w:tcPr>
            <w:tcW w:w="3136" w:type="dxa"/>
            <w:shd w:val="clear" w:color="auto" w:fill="auto"/>
            <w:vAlign w:val="center"/>
          </w:tcPr>
          <w:p w14:paraId="7A61AB1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0.039</w:t>
            </w:r>
          </w:p>
        </w:tc>
        <w:tc>
          <w:tcPr>
            <w:tcW w:w="2920" w:type="dxa"/>
            <w:shd w:val="clear" w:color="auto" w:fill="auto"/>
            <w:vAlign w:val="center"/>
          </w:tcPr>
          <w:p w14:paraId="0FED48F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0.715</w:t>
            </w:r>
          </w:p>
        </w:tc>
      </w:tr>
      <w:tr w14:paraId="3CB13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2083" w:type="dxa"/>
            <w:vAlign w:val="center"/>
          </w:tcPr>
          <w:p w14:paraId="0802194C">
            <w:pPr>
              <w:pStyle w:val="7"/>
              <w:adjustRightInd w:val="0"/>
              <w:snapToGrid w:val="0"/>
              <w:spacing w:after="0"/>
              <w:ind w:left="0" w:leftChars="0" w:firstLine="0"/>
              <w:jc w:val="center"/>
              <w:outlineLvl w:val="9"/>
              <w:rPr>
                <w:rFonts w:ascii="Times New Roman" w:hAnsi="Times New Roman" w:eastAsia="宋体"/>
                <w:b/>
                <w:color w:val="000000" w:themeColor="text1"/>
                <w:spacing w:val="0"/>
                <w:highlight w:val="none"/>
                <w14:textFill>
                  <w14:solidFill>
                    <w14:schemeClr w14:val="tx1"/>
                  </w14:solidFill>
                </w14:textFill>
              </w:rPr>
            </w:pPr>
            <w:r>
              <w:rPr>
                <w:rFonts w:ascii="Times New Roman" w:hAnsi="Times New Roman" w:eastAsia="宋体"/>
                <w:b/>
                <w:bCs/>
                <w:color w:val="000000" w:themeColor="text1"/>
                <w:spacing w:val="0"/>
                <w:highlight w:val="none"/>
                <w14:textFill>
                  <w14:solidFill>
                    <w14:schemeClr w14:val="tx1"/>
                  </w14:solidFill>
                </w14:textFill>
              </w:rPr>
              <w:t>最大值</w:t>
            </w:r>
          </w:p>
        </w:tc>
        <w:tc>
          <w:tcPr>
            <w:tcW w:w="3136" w:type="dxa"/>
            <w:vAlign w:val="center"/>
          </w:tcPr>
          <w:p w14:paraId="539128CA">
            <w:pPr>
              <w:widowControl/>
              <w:jc w:val="center"/>
              <w:textAlignment w:val="center"/>
              <w:outlineLvl w:val="9"/>
              <w:rPr>
                <w:rFonts w:hint="default"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1.485</w:t>
            </w:r>
          </w:p>
        </w:tc>
        <w:tc>
          <w:tcPr>
            <w:tcW w:w="2920" w:type="dxa"/>
            <w:vAlign w:val="center"/>
          </w:tcPr>
          <w:p w14:paraId="02D69F5C">
            <w:pPr>
              <w:widowControl/>
              <w:jc w:val="center"/>
              <w:textAlignment w:val="center"/>
              <w:outlineLvl w:val="9"/>
              <w:rPr>
                <w:rFonts w:hint="default"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8.476</w:t>
            </w:r>
          </w:p>
        </w:tc>
      </w:tr>
    </w:tbl>
    <w:p w14:paraId="0509BBD3">
      <w:pPr>
        <w:pStyle w:val="25"/>
        <w:snapToGrid w:val="0"/>
        <w:ind w:firstLine="0" w:firstLineChars="0"/>
        <w:jc w:val="both"/>
        <w:rPr>
          <w:rFonts w:ascii="Times New Roman" w:hAnsi="Times New Roman" w:eastAsia="宋体"/>
          <w:color w:val="000000" w:themeColor="text1"/>
          <w:spacing w:val="0"/>
          <w:highlight w:val="none"/>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2552700" cy="1755140"/>
            <wp:effectExtent l="0" t="0" r="0" b="16510"/>
            <wp:docPr id="68" name="图片 68" descr="7132c9b9-1978-421b-888c-8e562eebe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132c9b9-1978-421b-888c-8e562eebe0fb"/>
                    <pic:cNvPicPr>
                      <a:picLocks noChangeAspect="1"/>
                    </pic:cNvPicPr>
                  </pic:nvPicPr>
                  <pic:blipFill>
                    <a:blip r:embed="rId24"/>
                    <a:stretch>
                      <a:fillRect/>
                    </a:stretch>
                  </pic:blipFill>
                  <pic:spPr>
                    <a:xfrm>
                      <a:off x="0" y="0"/>
                      <a:ext cx="2552700" cy="1755140"/>
                    </a:xfrm>
                    <a:prstGeom prst="rect">
                      <a:avLst/>
                    </a:prstGeom>
                  </pic:spPr>
                </pic:pic>
              </a:graphicData>
            </a:graphic>
          </wp:inline>
        </w:drawing>
      </w:r>
      <w:r>
        <w:rPr>
          <w:rFonts w:ascii="Times New Roman" w:hAnsi="Times New Roman" w:eastAsia="宋体"/>
          <w:color w:val="000000" w:themeColor="text1"/>
          <w:spacing w:val="0"/>
          <w:highlight w:val="none"/>
          <w14:textFill>
            <w14:solidFill>
              <w14:schemeClr w14:val="tx1"/>
            </w14:solidFill>
          </w14:textFill>
        </w:rPr>
        <w:drawing>
          <wp:inline distT="0" distB="0" distL="114300" distR="114300">
            <wp:extent cx="2618105" cy="1813560"/>
            <wp:effectExtent l="0" t="0" r="10795" b="15240"/>
            <wp:docPr id="70" name="图片 70" descr="9a9f2435-c8af-42c4-826f-71ee9138f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9a9f2435-c8af-42c4-826f-71ee9138f185"/>
                    <pic:cNvPicPr>
                      <a:picLocks noChangeAspect="1"/>
                    </pic:cNvPicPr>
                  </pic:nvPicPr>
                  <pic:blipFill>
                    <a:blip r:embed="rId25"/>
                    <a:stretch>
                      <a:fillRect/>
                    </a:stretch>
                  </pic:blipFill>
                  <pic:spPr>
                    <a:xfrm>
                      <a:off x="0" y="0"/>
                      <a:ext cx="2618105" cy="1813560"/>
                    </a:xfrm>
                    <a:prstGeom prst="rect">
                      <a:avLst/>
                    </a:prstGeom>
                  </pic:spPr>
                </pic:pic>
              </a:graphicData>
            </a:graphic>
          </wp:inline>
        </w:drawing>
      </w:r>
    </w:p>
    <w:p w14:paraId="67C65DEE">
      <w:pPr>
        <w:spacing w:line="360" w:lineRule="auto"/>
        <w:jc w:val="center"/>
        <w:rPr>
          <w:rFonts w:hint="default" w:ascii="Times New Roman" w:hAnsi="Times New Roman" w:eastAsia="宋体"/>
          <w:b/>
          <w:bCs/>
          <w:color w:val="000000" w:themeColor="text1"/>
          <w:spacing w:val="0"/>
          <w:sz w:val="24"/>
          <w:highlight w:val="none"/>
          <w:lang w:val="en-US" w:eastAsia="zh-CN"/>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专题图</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6</w:t>
      </w:r>
      <w:r>
        <w:rPr>
          <w:rFonts w:hint="eastAsia" w:ascii="Times New Roman" w:hAnsi="Times New Roman" w:eastAsia="宋体"/>
          <w:b/>
          <w:bCs/>
          <w:color w:val="000000" w:themeColor="text1"/>
          <w:spacing w:val="0"/>
          <w:sz w:val="24"/>
          <w:highlight w:val="none"/>
          <w14:textFill>
            <w14:solidFill>
              <w14:schemeClr w14:val="tx1"/>
            </w14:solidFill>
          </w14:textFill>
        </w:rPr>
        <w:t xml:space="preserve"> </w:t>
      </w:r>
      <w:r>
        <w:rPr>
          <w:rFonts w:ascii="Times New Roman" w:hAnsi="Times New Roman" w:eastAsia="宋体"/>
          <w:b/>
          <w:bCs/>
          <w:color w:val="000000" w:themeColor="text1"/>
          <w:spacing w:val="0"/>
          <w:sz w:val="24"/>
          <w:highlight w:val="none"/>
          <w14:textFill>
            <w14:solidFill>
              <w14:schemeClr w14:val="tx1"/>
            </w14:solidFill>
          </w14:textFill>
        </w:rPr>
        <w:t xml:space="preserve"> 110千伏双回路架空线路产生的工频电场强度分布曲线图</w:t>
      </w:r>
    </w:p>
    <w:p w14:paraId="3287755E">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由专题表</w:t>
      </w:r>
      <w:r>
        <w:rPr>
          <w:rFonts w:hint="eastAsia" w:ascii="Times New Roman" w:hAnsi="Times New Roman" w:eastAsia="宋体"/>
          <w:bCs/>
          <w:color w:val="000000" w:themeColor="text1"/>
          <w:spacing w:val="0"/>
          <w:sz w:val="24"/>
          <w:highlight w:val="none"/>
          <w14:textFill>
            <w14:solidFill>
              <w14:schemeClr w14:val="tx1"/>
            </w14:solidFill>
          </w14:textFill>
        </w:rPr>
        <w:t>1</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3</w:t>
      </w:r>
      <w:r>
        <w:rPr>
          <w:rFonts w:ascii="Times New Roman" w:hAnsi="Times New Roman" w:eastAsia="宋体"/>
          <w:bCs/>
          <w:color w:val="000000" w:themeColor="text1"/>
          <w:spacing w:val="0"/>
          <w:sz w:val="24"/>
          <w:highlight w:val="none"/>
          <w14:textFill>
            <w14:solidFill>
              <w14:schemeClr w14:val="tx1"/>
            </w14:solidFill>
          </w14:textFill>
        </w:rPr>
        <w:t>和专题图</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6</w:t>
      </w:r>
      <w:r>
        <w:rPr>
          <w:rFonts w:ascii="Times New Roman" w:hAnsi="Times New Roman" w:eastAsia="宋体"/>
          <w:bCs/>
          <w:color w:val="000000" w:themeColor="text1"/>
          <w:spacing w:val="0"/>
          <w:sz w:val="24"/>
          <w:highlight w:val="none"/>
          <w14:textFill>
            <w14:solidFill>
              <w14:schemeClr w14:val="tx1"/>
            </w14:solidFill>
          </w14:textFill>
        </w:rPr>
        <w:t>可以看出：</w:t>
      </w:r>
    </w:p>
    <w:p w14:paraId="11AE5E42">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110千伏双回路架空线路在导线最低允许高度</w:t>
      </w:r>
      <w:r>
        <w:rPr>
          <w:rFonts w:hint="eastAsia"/>
          <w:bCs/>
          <w:color w:val="000000" w:themeColor="text1"/>
          <w:spacing w:val="0"/>
          <w:sz w:val="24"/>
          <w:highlight w:val="none"/>
          <w:lang w:val="en-US" w:eastAsia="zh-CN"/>
          <w14:textFill>
            <w14:solidFill>
              <w14:schemeClr w14:val="tx1"/>
            </w14:solidFill>
          </w14:textFill>
        </w:rPr>
        <w:t>1</w:t>
      </w:r>
      <w:r>
        <w:rPr>
          <w:rFonts w:ascii="Times New Roman" w:hAnsi="Times New Roman" w:eastAsia="宋体"/>
          <w:bCs/>
          <w:color w:val="000000" w:themeColor="text1"/>
          <w:spacing w:val="0"/>
          <w:sz w:val="24"/>
          <w:highlight w:val="none"/>
          <w14:textFill>
            <w14:solidFill>
              <w14:schemeClr w14:val="tx1"/>
            </w14:solidFill>
          </w14:textFill>
        </w:rPr>
        <w:t>0m，地面高度1.5m高度，其工频电场强度最大值为</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1.485</w:t>
      </w:r>
      <w:r>
        <w:rPr>
          <w:rFonts w:ascii="Times New Roman" w:hAnsi="Times New Roman" w:eastAsia="宋体"/>
          <w:bCs/>
          <w:color w:val="000000" w:themeColor="text1"/>
          <w:spacing w:val="0"/>
          <w:sz w:val="24"/>
          <w:highlight w:val="none"/>
          <w14:textFill>
            <w14:solidFill>
              <w14:schemeClr w14:val="tx1"/>
            </w14:solidFill>
          </w14:textFill>
        </w:rPr>
        <w:t>kV/m，出现在距离线路走廊中心地面投影</w:t>
      </w:r>
      <w:r>
        <w:rPr>
          <w:rFonts w:hint="eastAsia"/>
          <w:bCs/>
          <w:color w:val="000000" w:themeColor="text1"/>
          <w:spacing w:val="0"/>
          <w:sz w:val="24"/>
          <w:highlight w:val="none"/>
          <w:lang w:val="en-US" w:eastAsia="zh-CN"/>
          <w14:textFill>
            <w14:solidFill>
              <w14:schemeClr w14:val="tx1"/>
            </w14:solidFill>
          </w14:textFill>
        </w:rPr>
        <w:t>0</w:t>
      </w:r>
      <w:r>
        <w:rPr>
          <w:rFonts w:ascii="Times New Roman" w:hAnsi="Times New Roman" w:eastAsia="宋体"/>
          <w:bCs/>
          <w:color w:val="000000" w:themeColor="text1"/>
          <w:spacing w:val="0"/>
          <w:sz w:val="24"/>
          <w:highlight w:val="none"/>
          <w14:textFill>
            <w14:solidFill>
              <w14:schemeClr w14:val="tx1"/>
            </w14:solidFill>
          </w14:textFill>
        </w:rPr>
        <w:t>m处</w:t>
      </w:r>
      <w:r>
        <w:rPr>
          <w:rFonts w:hint="eastAsia" w:ascii="Times New Roman" w:hAnsi="Times New Roman" w:eastAsia="宋体"/>
          <w:bCs/>
          <w:color w:val="000000" w:themeColor="text1"/>
          <w:spacing w:val="0"/>
          <w:sz w:val="24"/>
          <w:highlight w:val="none"/>
          <w:lang w:eastAsia="zh-CN"/>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工频磁感应强度最大值为</w:t>
      </w:r>
      <w:r>
        <w:rPr>
          <w:rFonts w:hint="eastAsia"/>
          <w:bCs/>
          <w:color w:val="000000" w:themeColor="text1"/>
          <w:spacing w:val="0"/>
          <w:sz w:val="24"/>
          <w:highlight w:val="none"/>
          <w:lang w:val="en-US" w:eastAsia="zh-CN"/>
          <w14:textFill>
            <w14:solidFill>
              <w14:schemeClr w14:val="tx1"/>
            </w14:solidFill>
          </w14:textFill>
        </w:rPr>
        <w:t>8.476</w:t>
      </w:r>
      <w:r>
        <w:rPr>
          <w:rFonts w:ascii="Times New Roman" w:hAnsi="Times New Roman" w:eastAsia="宋体"/>
          <w:bCs/>
          <w:color w:val="000000" w:themeColor="text1"/>
          <w:spacing w:val="0"/>
          <w:sz w:val="24"/>
          <w:highlight w:val="none"/>
          <w14:textFill>
            <w14:solidFill>
              <w14:schemeClr w14:val="tx1"/>
            </w14:solidFill>
          </w14:textFill>
        </w:rPr>
        <w:t>μT，出现在距离线路走廊中心地面投影</w:t>
      </w:r>
      <w:r>
        <w:rPr>
          <w:rFonts w:hint="eastAsia"/>
          <w:bCs/>
          <w:color w:val="000000" w:themeColor="text1"/>
          <w:spacing w:val="0"/>
          <w:sz w:val="24"/>
          <w:highlight w:val="none"/>
          <w:lang w:val="en-US" w:eastAsia="zh-CN"/>
          <w14:textFill>
            <w14:solidFill>
              <w14:schemeClr w14:val="tx1"/>
            </w14:solidFill>
          </w14:textFill>
        </w:rPr>
        <w:t>5</w:t>
      </w:r>
      <w:r>
        <w:rPr>
          <w:rFonts w:ascii="Times New Roman" w:hAnsi="Times New Roman" w:eastAsia="宋体"/>
          <w:bCs/>
          <w:color w:val="000000" w:themeColor="text1"/>
          <w:spacing w:val="0"/>
          <w:sz w:val="24"/>
          <w:highlight w:val="none"/>
          <w14:textFill>
            <w14:solidFill>
              <w14:schemeClr w14:val="tx1"/>
            </w14:solidFill>
          </w14:textFill>
        </w:rPr>
        <w:t>m处。</w:t>
      </w:r>
    </w:p>
    <w:p w14:paraId="0E35A3DB">
      <w:pPr>
        <w:pStyle w:val="7"/>
        <w:spacing w:after="0" w:line="360" w:lineRule="auto"/>
        <w:ind w:left="0" w:leftChars="0" w:firstLine="0" w:firstLineChars="0"/>
        <w:outlineLvl w:val="9"/>
        <w:rPr>
          <w:rFonts w:ascii="Times New Roman" w:hAnsi="Times New Roman" w:eastAsia="宋体"/>
          <w:bCs/>
          <w:color w:val="000000" w:themeColor="text1"/>
          <w:spacing w:val="0"/>
          <w:sz w:val="24"/>
          <w:highlight w:val="none"/>
          <w14:textFill>
            <w14:solidFill>
              <w14:schemeClr w14:val="tx1"/>
            </w14:solidFill>
          </w14:textFill>
        </w:rPr>
      </w:pPr>
      <w:r>
        <w:rPr>
          <w:rFonts w:hint="eastAsia"/>
          <w:bCs/>
          <w:color w:val="000000" w:themeColor="text1"/>
          <w:spacing w:val="0"/>
          <w:sz w:val="24"/>
          <w:highlight w:val="none"/>
          <w:lang w:val="en-US" w:eastAsia="zh-CN"/>
          <w14:textFill>
            <w14:solidFill>
              <w14:schemeClr w14:val="tx1"/>
            </w14:solidFill>
          </w14:textFill>
        </w:rPr>
        <w:t>即</w:t>
      </w:r>
      <w:r>
        <w:rPr>
          <w:rFonts w:ascii="Times New Roman" w:hAnsi="Times New Roman" w:eastAsia="宋体"/>
          <w:bCs/>
          <w:color w:val="000000" w:themeColor="text1"/>
          <w:spacing w:val="0"/>
          <w:sz w:val="24"/>
          <w:highlight w:val="none"/>
          <w14:textFill>
            <w14:solidFill>
              <w14:schemeClr w14:val="tx1"/>
            </w14:solidFill>
          </w14:textFill>
        </w:rPr>
        <w:t>110千伏双回路架空线路</w:t>
      </w:r>
      <w:r>
        <w:rPr>
          <w:rFonts w:ascii="Times New Roman" w:hAnsi="Times New Roman" w:eastAsia="宋体"/>
          <w:color w:val="000000" w:themeColor="text1"/>
          <w:spacing w:val="0"/>
          <w:sz w:val="24"/>
          <w:highlight w:val="none"/>
          <w14:textFill>
            <w14:solidFill>
              <w14:schemeClr w14:val="tx1"/>
            </w14:solidFill>
          </w14:textFill>
        </w:rPr>
        <w:t>产生的</w:t>
      </w:r>
      <w:r>
        <w:rPr>
          <w:rFonts w:ascii="Times New Roman" w:hAnsi="Times New Roman" w:eastAsia="宋体"/>
          <w:bCs/>
          <w:color w:val="000000" w:themeColor="text1"/>
          <w:spacing w:val="0"/>
          <w:sz w:val="24"/>
          <w:highlight w:val="none"/>
          <w14:textFill>
            <w14:solidFill>
              <w14:schemeClr w14:val="tx1"/>
            </w14:solidFill>
          </w14:textFill>
        </w:rPr>
        <w:t>工频电场强度、工频磁感应强度均</w:t>
      </w:r>
      <w:r>
        <w:rPr>
          <w:rFonts w:ascii="Times New Roman" w:hAnsi="Times New Roman" w:eastAsia="宋体"/>
          <w:color w:val="000000" w:themeColor="text1"/>
          <w:spacing w:val="0"/>
          <w:sz w:val="24"/>
          <w:highlight w:val="none"/>
          <w14:textFill>
            <w14:solidFill>
              <w14:schemeClr w14:val="tx1"/>
            </w14:solidFill>
          </w14:textFill>
        </w:rPr>
        <w:t>小于《电磁环境控制限值》（GB8702-2014）规定的公众曝露控制限值工频电场强度10kV/m（线路经过道路等场所）</w:t>
      </w:r>
      <w:r>
        <w:rPr>
          <w:rFonts w:ascii="Times New Roman" w:hAnsi="Times New Roman" w:eastAsia="宋体"/>
          <w:bCs/>
          <w:color w:val="000000" w:themeColor="text1"/>
          <w:spacing w:val="0"/>
          <w:sz w:val="24"/>
          <w:highlight w:val="none"/>
          <w14:textFill>
            <w14:solidFill>
              <w14:schemeClr w14:val="tx1"/>
            </w14:solidFill>
          </w14:textFill>
        </w:rPr>
        <w:t>公众曝露控制限值工频磁感应强度100μT的标准限值。</w:t>
      </w:r>
    </w:p>
    <w:p w14:paraId="3ADBC5DA">
      <w:pPr>
        <w:spacing w:line="360" w:lineRule="auto"/>
        <w:ind w:firstLine="482" w:firstLineChars="200"/>
        <w:outlineLvl w:val="9"/>
        <w:rPr>
          <w:rFonts w:ascii="Times New Roman" w:hAnsi="Times New Roman" w:eastAsia="宋体"/>
          <w:bCs/>
          <w:color w:val="000000" w:themeColor="text1"/>
          <w:spacing w:val="0"/>
          <w:sz w:val="24"/>
          <w:highlight w:val="green"/>
          <w14:textFill>
            <w14:solidFill>
              <w14:schemeClr w14:val="tx1"/>
            </w14:solidFill>
          </w14:textFill>
        </w:rPr>
      </w:pPr>
      <w:r>
        <w:rPr>
          <w:rFonts w:hint="eastAsia" w:ascii="Times New Roman" w:hAnsi="Times New Roman" w:eastAsia="宋体"/>
          <w:b/>
          <w:color w:val="000000" w:themeColor="text1"/>
          <w:spacing w:val="0"/>
          <w:sz w:val="24"/>
          <w:highlight w:val="none"/>
          <w14:textFill>
            <w14:solidFill>
              <w14:schemeClr w14:val="tx1"/>
            </w14:solidFill>
          </w14:textFill>
        </w:rPr>
        <w:t>2</w:t>
      </w:r>
      <w:r>
        <w:rPr>
          <w:rFonts w:ascii="Times New Roman" w:hAnsi="Times New Roman" w:eastAsia="宋体"/>
          <w:b/>
          <w:color w:val="000000" w:themeColor="text1"/>
          <w:spacing w:val="0"/>
          <w:sz w:val="24"/>
          <w:highlight w:val="none"/>
          <w14:textFill>
            <w14:solidFill>
              <w14:schemeClr w14:val="tx1"/>
            </w14:solidFill>
          </w14:textFill>
        </w:rPr>
        <w:t>）</w:t>
      </w:r>
      <w:r>
        <w:rPr>
          <w:rFonts w:hint="eastAsia" w:ascii="Times New Roman" w:hAnsi="Times New Roman" w:eastAsia="宋体"/>
          <w:b/>
          <w:color w:val="000000" w:themeColor="text1"/>
          <w:spacing w:val="0"/>
          <w:sz w:val="24"/>
          <w:highlight w:val="none"/>
          <w14:textFill>
            <w14:solidFill>
              <w14:schemeClr w14:val="tx1"/>
            </w14:solidFill>
          </w14:textFill>
        </w:rPr>
        <w:t>单</w:t>
      </w:r>
      <w:r>
        <w:rPr>
          <w:rFonts w:ascii="Times New Roman" w:hAnsi="Times New Roman" w:eastAsia="宋体"/>
          <w:b/>
          <w:color w:val="000000" w:themeColor="text1"/>
          <w:spacing w:val="0"/>
          <w:sz w:val="24"/>
          <w:highlight w:val="none"/>
          <w14:textFill>
            <w14:solidFill>
              <w14:schemeClr w14:val="tx1"/>
            </w14:solidFill>
          </w14:textFill>
        </w:rPr>
        <w:t>回路架空线路</w:t>
      </w:r>
    </w:p>
    <w:p w14:paraId="1C420601">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110千伏</w:t>
      </w:r>
      <w:r>
        <w:rPr>
          <w:rFonts w:hint="eastAsia" w:ascii="Times New Roman" w:hAnsi="Times New Roman" w:eastAsia="宋体"/>
          <w:bCs/>
          <w:color w:val="000000" w:themeColor="text1"/>
          <w:spacing w:val="0"/>
          <w:sz w:val="24"/>
          <w:highlight w:val="none"/>
          <w14:textFill>
            <w14:solidFill>
              <w14:schemeClr w14:val="tx1"/>
            </w14:solidFill>
          </w14:textFill>
        </w:rPr>
        <w:t>单</w:t>
      </w:r>
      <w:r>
        <w:rPr>
          <w:rFonts w:ascii="Times New Roman" w:hAnsi="Times New Roman" w:eastAsia="宋体"/>
          <w:bCs/>
          <w:color w:val="000000" w:themeColor="text1"/>
          <w:spacing w:val="0"/>
          <w:sz w:val="24"/>
          <w:highlight w:val="none"/>
          <w14:textFill>
            <w14:solidFill>
              <w14:schemeClr w14:val="tx1"/>
            </w14:solidFill>
          </w14:textFill>
        </w:rPr>
        <w:t>回路架空线路架设时，导线对地高度</w:t>
      </w:r>
      <w:r>
        <w:rPr>
          <w:rFonts w:hint="eastAsia"/>
          <w:bCs/>
          <w:color w:val="000000" w:themeColor="text1"/>
          <w:spacing w:val="0"/>
          <w:sz w:val="24"/>
          <w:highlight w:val="none"/>
          <w:lang w:val="en-US" w:eastAsia="zh-CN"/>
          <w14:textFill>
            <w14:solidFill>
              <w14:schemeClr w14:val="tx1"/>
            </w14:solidFill>
          </w14:textFill>
        </w:rPr>
        <w:t>10</w:t>
      </w:r>
      <w:r>
        <w:rPr>
          <w:rFonts w:hint="eastAsia" w:ascii="Times New Roman" w:hAnsi="Times New Roman" w:eastAsia="宋体"/>
          <w:bCs/>
          <w:color w:val="000000" w:themeColor="text1"/>
          <w:spacing w:val="0"/>
          <w:sz w:val="24"/>
          <w:highlight w:val="none"/>
          <w14:textFill>
            <w14:solidFill>
              <w14:schemeClr w14:val="tx1"/>
            </w14:solidFill>
          </w14:textFill>
        </w:rPr>
        <w:t>m</w:t>
      </w:r>
      <w:r>
        <w:rPr>
          <w:rFonts w:ascii="Times New Roman" w:hAnsi="Times New Roman" w:eastAsia="宋体"/>
          <w:bCs/>
          <w:color w:val="000000" w:themeColor="text1"/>
          <w:spacing w:val="0"/>
          <w:sz w:val="24"/>
          <w:highlight w:val="none"/>
          <w14:textFill>
            <w14:solidFill>
              <w14:schemeClr w14:val="tx1"/>
            </w14:solidFill>
          </w14:textFill>
        </w:rPr>
        <w:t>时产生的工频电场、工频磁场预测计算结果</w:t>
      </w:r>
      <w:r>
        <w:rPr>
          <w:rFonts w:hint="eastAsia" w:ascii="Times New Roman" w:hAnsi="Times New Roman" w:eastAsia="宋体"/>
          <w:bCs/>
          <w:color w:val="000000" w:themeColor="text1"/>
          <w:spacing w:val="0"/>
          <w:sz w:val="24"/>
          <w:highlight w:val="none"/>
          <w14:textFill>
            <w14:solidFill>
              <w14:schemeClr w14:val="tx1"/>
            </w14:solidFill>
          </w14:textFill>
        </w:rPr>
        <w:t>如下：</w:t>
      </w:r>
    </w:p>
    <w:p w14:paraId="2BED049E">
      <w:pPr>
        <w:spacing w:line="360" w:lineRule="auto"/>
        <w:jc w:val="center"/>
        <w:outlineLvl w:val="9"/>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专题表</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1</w:t>
      </w:r>
      <w:r>
        <w:rPr>
          <w:rFonts w:hint="eastAsia"/>
          <w:b/>
          <w:bCs/>
          <w:color w:val="000000" w:themeColor="text1"/>
          <w:spacing w:val="0"/>
          <w:sz w:val="24"/>
          <w:highlight w:val="none"/>
          <w:lang w:val="en-US" w:eastAsia="zh-CN"/>
          <w14:textFill>
            <w14:solidFill>
              <w14:schemeClr w14:val="tx1"/>
            </w14:solidFill>
          </w14:textFill>
        </w:rPr>
        <w:t>2</w:t>
      </w:r>
      <w:r>
        <w:rPr>
          <w:rFonts w:hint="eastAsia" w:ascii="Times New Roman" w:hAnsi="Times New Roman" w:eastAsia="宋体"/>
          <w:b/>
          <w:bCs/>
          <w:color w:val="000000" w:themeColor="text1"/>
          <w:spacing w:val="0"/>
          <w:sz w:val="24"/>
          <w:highlight w:val="none"/>
          <w14:textFill>
            <w14:solidFill>
              <w14:schemeClr w14:val="tx1"/>
            </w14:solidFill>
          </w14:textFill>
        </w:rPr>
        <w:t xml:space="preserve"> </w:t>
      </w:r>
      <w:r>
        <w:rPr>
          <w:rFonts w:ascii="Times New Roman" w:hAnsi="Times New Roman" w:eastAsia="宋体"/>
          <w:b/>
          <w:bCs/>
          <w:color w:val="000000" w:themeColor="text1"/>
          <w:spacing w:val="0"/>
          <w:sz w:val="24"/>
          <w:highlight w:val="none"/>
          <w14:textFill>
            <w14:solidFill>
              <w14:schemeClr w14:val="tx1"/>
            </w14:solidFill>
          </w14:textFill>
        </w:rPr>
        <w:t xml:space="preserve"> 本项目</w:t>
      </w:r>
      <w:r>
        <w:rPr>
          <w:rFonts w:hint="eastAsia" w:ascii="Times New Roman" w:hAnsi="Times New Roman" w:eastAsia="宋体"/>
          <w:b/>
          <w:bCs/>
          <w:color w:val="000000" w:themeColor="text1"/>
          <w:spacing w:val="0"/>
          <w:sz w:val="24"/>
          <w:highlight w:val="none"/>
          <w14:textFill>
            <w14:solidFill>
              <w14:schemeClr w14:val="tx1"/>
            </w14:solidFill>
          </w14:textFill>
        </w:rPr>
        <w:t>单</w:t>
      </w:r>
      <w:r>
        <w:rPr>
          <w:rFonts w:ascii="Times New Roman" w:hAnsi="Times New Roman" w:eastAsia="宋体"/>
          <w:b/>
          <w:bCs/>
          <w:color w:val="000000" w:themeColor="text1"/>
          <w:spacing w:val="0"/>
          <w:sz w:val="24"/>
          <w:highlight w:val="none"/>
          <w14:textFill>
            <w14:solidFill>
              <w14:schemeClr w14:val="tx1"/>
            </w14:solidFill>
          </w14:textFill>
        </w:rPr>
        <w:t>回路架空线路产生的工频电场、工频磁场预测值</w:t>
      </w:r>
    </w:p>
    <w:tbl>
      <w:tblPr>
        <w:tblStyle w:val="26"/>
        <w:tblW w:w="86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200"/>
        <w:gridCol w:w="2998"/>
        <w:gridCol w:w="3441"/>
      </w:tblGrid>
      <w:tr w14:paraId="4C5B0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6" w:hRule="atLeast"/>
          <w:tblHeader/>
          <w:jc w:val="center"/>
        </w:trPr>
        <w:tc>
          <w:tcPr>
            <w:tcW w:w="2200" w:type="dxa"/>
            <w:vMerge w:val="restart"/>
            <w:vAlign w:val="center"/>
          </w:tcPr>
          <w:p w14:paraId="3ED6FA57">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距线路走廊中心线距离(m)</w:t>
            </w:r>
          </w:p>
        </w:tc>
        <w:tc>
          <w:tcPr>
            <w:tcW w:w="6439" w:type="dxa"/>
            <w:gridSpan w:val="2"/>
            <w:vAlign w:val="center"/>
          </w:tcPr>
          <w:p w14:paraId="584EA662">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导线对地高度</w:t>
            </w:r>
            <w:r>
              <w:rPr>
                <w:rFonts w:hint="eastAsia"/>
                <w:color w:val="000000" w:themeColor="text1"/>
                <w:spacing w:val="0"/>
                <w:highlight w:val="none"/>
                <w:lang w:val="en-US" w:eastAsia="zh-CN"/>
                <w14:textFill>
                  <w14:solidFill>
                    <w14:schemeClr w14:val="tx1"/>
                  </w14:solidFill>
                </w14:textFill>
              </w:rPr>
              <w:t>1</w:t>
            </w:r>
            <w:r>
              <w:rPr>
                <w:rFonts w:ascii="Times New Roman" w:hAnsi="Times New Roman" w:eastAsia="宋体"/>
                <w:color w:val="000000" w:themeColor="text1"/>
                <w:spacing w:val="0"/>
                <w:highlight w:val="none"/>
                <w14:textFill>
                  <w14:solidFill>
                    <w14:schemeClr w14:val="tx1"/>
                  </w14:solidFill>
                </w14:textFill>
              </w:rPr>
              <w:t>0m</w:t>
            </w:r>
          </w:p>
        </w:tc>
      </w:tr>
      <w:tr w14:paraId="2254A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tblHeader/>
          <w:jc w:val="center"/>
        </w:trPr>
        <w:tc>
          <w:tcPr>
            <w:tcW w:w="2200" w:type="dxa"/>
            <w:vMerge w:val="continue"/>
            <w:vAlign w:val="center"/>
          </w:tcPr>
          <w:p w14:paraId="5B82DE12">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p>
        </w:tc>
        <w:tc>
          <w:tcPr>
            <w:tcW w:w="2998" w:type="dxa"/>
            <w:vAlign w:val="center"/>
          </w:tcPr>
          <w:p w14:paraId="468E359A">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工频电场强度(kV/m)</w:t>
            </w:r>
          </w:p>
        </w:tc>
        <w:tc>
          <w:tcPr>
            <w:tcW w:w="3441" w:type="dxa"/>
            <w:vAlign w:val="center"/>
          </w:tcPr>
          <w:p w14:paraId="58AB1F59">
            <w:pPr>
              <w:pStyle w:val="7"/>
              <w:adjustRightInd w:val="0"/>
              <w:snapToGrid w:val="0"/>
              <w:spacing w:after="0"/>
              <w:ind w:left="0" w:leftChars="0" w:firstLine="0"/>
              <w:jc w:val="center"/>
              <w:outlineLvl w:val="9"/>
              <w:rPr>
                <w:rFonts w:ascii="Times New Roman" w:hAnsi="Times New Roman" w:eastAsia="宋体"/>
                <w:color w:val="000000" w:themeColor="text1"/>
                <w:spacing w:val="0"/>
                <w:highlight w:val="none"/>
                <w14:textFill>
                  <w14:solidFill>
                    <w14:schemeClr w14:val="tx1"/>
                  </w14:solidFill>
                </w14:textFill>
              </w:rPr>
            </w:pPr>
            <w:r>
              <w:rPr>
                <w:rFonts w:ascii="Times New Roman" w:hAnsi="Times New Roman" w:eastAsia="宋体"/>
                <w:color w:val="000000" w:themeColor="text1"/>
                <w:spacing w:val="0"/>
                <w:highlight w:val="none"/>
                <w14:textFill>
                  <w14:solidFill>
                    <w14:schemeClr w14:val="tx1"/>
                  </w14:solidFill>
                </w14:textFill>
              </w:rPr>
              <w:t>工频磁感应强度(μT)</w:t>
            </w:r>
          </w:p>
        </w:tc>
      </w:tr>
      <w:tr w14:paraId="2DCC8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41B11E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-50</w:t>
            </w:r>
          </w:p>
        </w:tc>
        <w:tc>
          <w:tcPr>
            <w:tcW w:w="2998" w:type="dxa"/>
            <w:shd w:val="clear" w:color="auto" w:fill="auto"/>
            <w:vAlign w:val="center"/>
          </w:tcPr>
          <w:p w14:paraId="3D8BCA1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0.023</w:t>
            </w:r>
          </w:p>
        </w:tc>
        <w:tc>
          <w:tcPr>
            <w:tcW w:w="3441" w:type="dxa"/>
            <w:shd w:val="clear" w:color="auto" w:fill="auto"/>
            <w:vAlign w:val="center"/>
          </w:tcPr>
          <w:p w14:paraId="36D51DD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0.429</w:t>
            </w:r>
          </w:p>
        </w:tc>
      </w:tr>
      <w:tr w14:paraId="34572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972275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-49</w:t>
            </w:r>
          </w:p>
        </w:tc>
        <w:tc>
          <w:tcPr>
            <w:tcW w:w="2998" w:type="dxa"/>
            <w:shd w:val="clear" w:color="auto" w:fill="auto"/>
            <w:vAlign w:val="center"/>
          </w:tcPr>
          <w:p w14:paraId="4B5B5BE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0.025</w:t>
            </w:r>
          </w:p>
        </w:tc>
        <w:tc>
          <w:tcPr>
            <w:tcW w:w="3441" w:type="dxa"/>
            <w:shd w:val="clear" w:color="auto" w:fill="auto"/>
            <w:vAlign w:val="center"/>
          </w:tcPr>
          <w:p w14:paraId="0AE1114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0.446</w:t>
            </w:r>
          </w:p>
        </w:tc>
      </w:tr>
      <w:tr w14:paraId="4CE6A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FC71E5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-48</w:t>
            </w:r>
          </w:p>
        </w:tc>
        <w:tc>
          <w:tcPr>
            <w:tcW w:w="2998" w:type="dxa"/>
            <w:shd w:val="clear" w:color="auto" w:fill="auto"/>
            <w:vAlign w:val="center"/>
          </w:tcPr>
          <w:p w14:paraId="64E4CB3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0.026</w:t>
            </w:r>
          </w:p>
        </w:tc>
        <w:tc>
          <w:tcPr>
            <w:tcW w:w="3441" w:type="dxa"/>
            <w:shd w:val="clear" w:color="auto" w:fill="auto"/>
            <w:vAlign w:val="center"/>
          </w:tcPr>
          <w:p w14:paraId="38542F3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0.464</w:t>
            </w:r>
          </w:p>
        </w:tc>
      </w:tr>
      <w:tr w14:paraId="1C151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7CC39C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-47</w:t>
            </w:r>
          </w:p>
        </w:tc>
        <w:tc>
          <w:tcPr>
            <w:tcW w:w="2998" w:type="dxa"/>
            <w:shd w:val="clear" w:color="auto" w:fill="auto"/>
            <w:vAlign w:val="center"/>
          </w:tcPr>
          <w:p w14:paraId="00D1479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0.028</w:t>
            </w:r>
          </w:p>
        </w:tc>
        <w:tc>
          <w:tcPr>
            <w:tcW w:w="3441" w:type="dxa"/>
            <w:shd w:val="clear" w:color="auto" w:fill="auto"/>
            <w:vAlign w:val="center"/>
          </w:tcPr>
          <w:p w14:paraId="77B3F31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0.484</w:t>
            </w:r>
          </w:p>
        </w:tc>
      </w:tr>
      <w:tr w14:paraId="50CEE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FC86D8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-46</w:t>
            </w:r>
          </w:p>
        </w:tc>
        <w:tc>
          <w:tcPr>
            <w:tcW w:w="2998" w:type="dxa"/>
            <w:shd w:val="clear" w:color="auto" w:fill="auto"/>
            <w:vAlign w:val="center"/>
          </w:tcPr>
          <w:p w14:paraId="771F6F1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0.030</w:t>
            </w:r>
          </w:p>
        </w:tc>
        <w:tc>
          <w:tcPr>
            <w:tcW w:w="3441" w:type="dxa"/>
            <w:shd w:val="clear" w:color="auto" w:fill="auto"/>
            <w:vAlign w:val="center"/>
          </w:tcPr>
          <w:p w14:paraId="0BF6DB6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0.504</w:t>
            </w:r>
          </w:p>
        </w:tc>
      </w:tr>
      <w:tr w14:paraId="6DD44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CD2EDE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-45</w:t>
            </w:r>
          </w:p>
        </w:tc>
        <w:tc>
          <w:tcPr>
            <w:tcW w:w="2998" w:type="dxa"/>
            <w:shd w:val="clear" w:color="auto" w:fill="auto"/>
            <w:vAlign w:val="center"/>
          </w:tcPr>
          <w:p w14:paraId="32FCCED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0.031</w:t>
            </w:r>
          </w:p>
        </w:tc>
        <w:tc>
          <w:tcPr>
            <w:tcW w:w="3441" w:type="dxa"/>
            <w:shd w:val="clear" w:color="auto" w:fill="auto"/>
            <w:vAlign w:val="center"/>
          </w:tcPr>
          <w:p w14:paraId="279802D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0.526</w:t>
            </w:r>
          </w:p>
        </w:tc>
      </w:tr>
      <w:tr w14:paraId="1C2B1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4790ED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-44</w:t>
            </w:r>
          </w:p>
        </w:tc>
        <w:tc>
          <w:tcPr>
            <w:tcW w:w="2998" w:type="dxa"/>
            <w:shd w:val="clear" w:color="auto" w:fill="auto"/>
            <w:vAlign w:val="center"/>
          </w:tcPr>
          <w:p w14:paraId="333A1B6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0.033</w:t>
            </w:r>
          </w:p>
        </w:tc>
        <w:tc>
          <w:tcPr>
            <w:tcW w:w="3441" w:type="dxa"/>
            <w:shd w:val="clear" w:color="auto" w:fill="auto"/>
            <w:vAlign w:val="center"/>
          </w:tcPr>
          <w:p w14:paraId="573A101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0.550</w:t>
            </w:r>
          </w:p>
        </w:tc>
      </w:tr>
      <w:tr w14:paraId="6DA34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3D48F75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-43</w:t>
            </w:r>
          </w:p>
        </w:tc>
        <w:tc>
          <w:tcPr>
            <w:tcW w:w="2998" w:type="dxa"/>
            <w:shd w:val="clear" w:color="auto" w:fill="auto"/>
            <w:vAlign w:val="center"/>
          </w:tcPr>
          <w:p w14:paraId="3346654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0.036</w:t>
            </w:r>
          </w:p>
        </w:tc>
        <w:tc>
          <w:tcPr>
            <w:tcW w:w="3441" w:type="dxa"/>
            <w:shd w:val="clear" w:color="auto" w:fill="auto"/>
            <w:vAlign w:val="center"/>
          </w:tcPr>
          <w:p w14:paraId="2EA935D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0.575</w:t>
            </w:r>
          </w:p>
        </w:tc>
      </w:tr>
      <w:tr w14:paraId="719C3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CD0FE3D">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-42</w:t>
            </w:r>
          </w:p>
        </w:tc>
        <w:tc>
          <w:tcPr>
            <w:tcW w:w="2998" w:type="dxa"/>
            <w:shd w:val="clear" w:color="auto" w:fill="auto"/>
            <w:vAlign w:val="center"/>
          </w:tcPr>
          <w:p w14:paraId="68B63B4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0.038</w:t>
            </w:r>
          </w:p>
        </w:tc>
        <w:tc>
          <w:tcPr>
            <w:tcW w:w="3441" w:type="dxa"/>
            <w:shd w:val="clear" w:color="auto" w:fill="auto"/>
            <w:vAlign w:val="center"/>
          </w:tcPr>
          <w:p w14:paraId="320E14A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0.601</w:t>
            </w:r>
          </w:p>
        </w:tc>
      </w:tr>
      <w:tr w14:paraId="7BEE8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1B297D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-41</w:t>
            </w:r>
          </w:p>
        </w:tc>
        <w:tc>
          <w:tcPr>
            <w:tcW w:w="2998" w:type="dxa"/>
            <w:shd w:val="clear" w:color="auto" w:fill="auto"/>
            <w:vAlign w:val="center"/>
          </w:tcPr>
          <w:p w14:paraId="0B789A7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0.041</w:t>
            </w:r>
          </w:p>
        </w:tc>
        <w:tc>
          <w:tcPr>
            <w:tcW w:w="3441" w:type="dxa"/>
            <w:shd w:val="clear" w:color="auto" w:fill="auto"/>
            <w:vAlign w:val="center"/>
          </w:tcPr>
          <w:p w14:paraId="2CCB261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0.630</w:t>
            </w:r>
          </w:p>
        </w:tc>
      </w:tr>
      <w:tr w14:paraId="46381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905545D">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-40</w:t>
            </w:r>
          </w:p>
        </w:tc>
        <w:tc>
          <w:tcPr>
            <w:tcW w:w="2998" w:type="dxa"/>
            <w:shd w:val="clear" w:color="auto" w:fill="auto"/>
            <w:vAlign w:val="center"/>
          </w:tcPr>
          <w:p w14:paraId="2C8231C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0.044</w:t>
            </w:r>
          </w:p>
        </w:tc>
        <w:tc>
          <w:tcPr>
            <w:tcW w:w="3441" w:type="dxa"/>
            <w:shd w:val="clear" w:color="auto" w:fill="auto"/>
            <w:vAlign w:val="center"/>
          </w:tcPr>
          <w:p w14:paraId="19BB74E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0.661</w:t>
            </w:r>
          </w:p>
        </w:tc>
      </w:tr>
      <w:tr w14:paraId="5172F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12618E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-39</w:t>
            </w:r>
          </w:p>
        </w:tc>
        <w:tc>
          <w:tcPr>
            <w:tcW w:w="2998" w:type="dxa"/>
            <w:shd w:val="clear" w:color="auto" w:fill="auto"/>
            <w:vAlign w:val="center"/>
          </w:tcPr>
          <w:p w14:paraId="5D97636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0.047</w:t>
            </w:r>
          </w:p>
        </w:tc>
        <w:tc>
          <w:tcPr>
            <w:tcW w:w="3441" w:type="dxa"/>
            <w:shd w:val="clear" w:color="auto" w:fill="auto"/>
            <w:vAlign w:val="center"/>
          </w:tcPr>
          <w:p w14:paraId="13CDA43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0.694</w:t>
            </w:r>
          </w:p>
        </w:tc>
      </w:tr>
      <w:tr w14:paraId="392F6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32298D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-38</w:t>
            </w:r>
          </w:p>
        </w:tc>
        <w:tc>
          <w:tcPr>
            <w:tcW w:w="2998" w:type="dxa"/>
            <w:shd w:val="clear" w:color="auto" w:fill="auto"/>
            <w:vAlign w:val="center"/>
          </w:tcPr>
          <w:p w14:paraId="214D8F4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0.050</w:t>
            </w:r>
          </w:p>
        </w:tc>
        <w:tc>
          <w:tcPr>
            <w:tcW w:w="3441" w:type="dxa"/>
            <w:shd w:val="clear" w:color="auto" w:fill="auto"/>
            <w:vAlign w:val="center"/>
          </w:tcPr>
          <w:p w14:paraId="377F3CB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0.729</w:t>
            </w:r>
          </w:p>
        </w:tc>
      </w:tr>
      <w:tr w14:paraId="4AFD4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A931A19">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-37</w:t>
            </w:r>
          </w:p>
        </w:tc>
        <w:tc>
          <w:tcPr>
            <w:tcW w:w="2998" w:type="dxa"/>
            <w:shd w:val="clear" w:color="auto" w:fill="auto"/>
            <w:vAlign w:val="center"/>
          </w:tcPr>
          <w:p w14:paraId="285D202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0.054</w:t>
            </w:r>
          </w:p>
        </w:tc>
        <w:tc>
          <w:tcPr>
            <w:tcW w:w="3441" w:type="dxa"/>
            <w:shd w:val="clear" w:color="auto" w:fill="auto"/>
            <w:vAlign w:val="center"/>
          </w:tcPr>
          <w:p w14:paraId="17A64CC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0.767</w:t>
            </w:r>
          </w:p>
        </w:tc>
      </w:tr>
      <w:tr w14:paraId="4580A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0F8580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-36</w:t>
            </w:r>
          </w:p>
        </w:tc>
        <w:tc>
          <w:tcPr>
            <w:tcW w:w="2998" w:type="dxa"/>
            <w:shd w:val="clear" w:color="auto" w:fill="auto"/>
            <w:vAlign w:val="center"/>
          </w:tcPr>
          <w:p w14:paraId="0255450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0.059</w:t>
            </w:r>
          </w:p>
        </w:tc>
        <w:tc>
          <w:tcPr>
            <w:tcW w:w="3441" w:type="dxa"/>
            <w:shd w:val="clear" w:color="auto" w:fill="auto"/>
            <w:vAlign w:val="center"/>
          </w:tcPr>
          <w:p w14:paraId="1C45100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0.808</w:t>
            </w:r>
          </w:p>
        </w:tc>
      </w:tr>
      <w:tr w14:paraId="4B591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386CCC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-35</w:t>
            </w:r>
          </w:p>
        </w:tc>
        <w:tc>
          <w:tcPr>
            <w:tcW w:w="2998" w:type="dxa"/>
            <w:shd w:val="clear" w:color="auto" w:fill="auto"/>
            <w:vAlign w:val="center"/>
          </w:tcPr>
          <w:p w14:paraId="1569F1C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0.063</w:t>
            </w:r>
          </w:p>
        </w:tc>
        <w:tc>
          <w:tcPr>
            <w:tcW w:w="3441" w:type="dxa"/>
            <w:shd w:val="clear" w:color="auto" w:fill="auto"/>
            <w:vAlign w:val="center"/>
          </w:tcPr>
          <w:p w14:paraId="1C6CA42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0.853</w:t>
            </w:r>
          </w:p>
        </w:tc>
      </w:tr>
      <w:tr w14:paraId="52758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33B427E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-34</w:t>
            </w:r>
          </w:p>
        </w:tc>
        <w:tc>
          <w:tcPr>
            <w:tcW w:w="2998" w:type="dxa"/>
            <w:shd w:val="clear" w:color="auto" w:fill="auto"/>
            <w:vAlign w:val="center"/>
          </w:tcPr>
          <w:p w14:paraId="216B3F7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0.069</w:t>
            </w:r>
          </w:p>
        </w:tc>
        <w:tc>
          <w:tcPr>
            <w:tcW w:w="3441" w:type="dxa"/>
            <w:shd w:val="clear" w:color="auto" w:fill="auto"/>
            <w:vAlign w:val="center"/>
          </w:tcPr>
          <w:p w14:paraId="2A6F098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0.901</w:t>
            </w:r>
          </w:p>
        </w:tc>
      </w:tr>
      <w:tr w14:paraId="265D8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21BDB0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-33</w:t>
            </w:r>
          </w:p>
        </w:tc>
        <w:tc>
          <w:tcPr>
            <w:tcW w:w="2998" w:type="dxa"/>
            <w:shd w:val="clear" w:color="auto" w:fill="auto"/>
            <w:vAlign w:val="center"/>
          </w:tcPr>
          <w:p w14:paraId="01AECCC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0.075</w:t>
            </w:r>
          </w:p>
        </w:tc>
        <w:tc>
          <w:tcPr>
            <w:tcW w:w="3441" w:type="dxa"/>
            <w:shd w:val="clear" w:color="auto" w:fill="auto"/>
            <w:vAlign w:val="center"/>
          </w:tcPr>
          <w:p w14:paraId="29F1AB7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0.953</w:t>
            </w:r>
          </w:p>
        </w:tc>
      </w:tr>
      <w:tr w14:paraId="227BB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E158B0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-32</w:t>
            </w:r>
          </w:p>
        </w:tc>
        <w:tc>
          <w:tcPr>
            <w:tcW w:w="2998" w:type="dxa"/>
            <w:shd w:val="clear" w:color="auto" w:fill="auto"/>
            <w:vAlign w:val="center"/>
          </w:tcPr>
          <w:p w14:paraId="4B833CB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0.081</w:t>
            </w:r>
          </w:p>
        </w:tc>
        <w:tc>
          <w:tcPr>
            <w:tcW w:w="3441" w:type="dxa"/>
            <w:shd w:val="clear" w:color="auto" w:fill="auto"/>
            <w:vAlign w:val="center"/>
          </w:tcPr>
          <w:p w14:paraId="04BC588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1.010</w:t>
            </w:r>
          </w:p>
        </w:tc>
      </w:tr>
      <w:tr w14:paraId="315A8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E28DE8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-31</w:t>
            </w:r>
          </w:p>
        </w:tc>
        <w:tc>
          <w:tcPr>
            <w:tcW w:w="2998" w:type="dxa"/>
            <w:shd w:val="clear" w:color="auto" w:fill="auto"/>
            <w:vAlign w:val="center"/>
          </w:tcPr>
          <w:p w14:paraId="00EDFAF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0.088</w:t>
            </w:r>
          </w:p>
        </w:tc>
        <w:tc>
          <w:tcPr>
            <w:tcW w:w="3441" w:type="dxa"/>
            <w:shd w:val="clear" w:color="auto" w:fill="auto"/>
            <w:vAlign w:val="center"/>
          </w:tcPr>
          <w:p w14:paraId="44C0F35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1.072</w:t>
            </w:r>
          </w:p>
        </w:tc>
      </w:tr>
      <w:tr w14:paraId="7E99F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92C5D3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-30</w:t>
            </w:r>
          </w:p>
        </w:tc>
        <w:tc>
          <w:tcPr>
            <w:tcW w:w="2998" w:type="dxa"/>
            <w:shd w:val="clear" w:color="auto" w:fill="auto"/>
            <w:vAlign w:val="center"/>
          </w:tcPr>
          <w:p w14:paraId="3602213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0.097</w:t>
            </w:r>
          </w:p>
        </w:tc>
        <w:tc>
          <w:tcPr>
            <w:tcW w:w="3441" w:type="dxa"/>
            <w:shd w:val="clear" w:color="auto" w:fill="auto"/>
            <w:vAlign w:val="center"/>
          </w:tcPr>
          <w:p w14:paraId="0AC1010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1.139</w:t>
            </w:r>
          </w:p>
        </w:tc>
      </w:tr>
      <w:tr w14:paraId="54D0E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4B8B2B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-29</w:t>
            </w:r>
          </w:p>
        </w:tc>
        <w:tc>
          <w:tcPr>
            <w:tcW w:w="2998" w:type="dxa"/>
            <w:shd w:val="clear" w:color="auto" w:fill="auto"/>
            <w:vAlign w:val="center"/>
          </w:tcPr>
          <w:p w14:paraId="6CAD743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0.106</w:t>
            </w:r>
          </w:p>
        </w:tc>
        <w:tc>
          <w:tcPr>
            <w:tcW w:w="3441" w:type="dxa"/>
            <w:shd w:val="clear" w:color="auto" w:fill="auto"/>
            <w:vAlign w:val="center"/>
          </w:tcPr>
          <w:p w14:paraId="554F67E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1.213</w:t>
            </w:r>
          </w:p>
        </w:tc>
      </w:tr>
      <w:tr w14:paraId="152F0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CA7CBD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-28</w:t>
            </w:r>
          </w:p>
        </w:tc>
        <w:tc>
          <w:tcPr>
            <w:tcW w:w="2998" w:type="dxa"/>
            <w:shd w:val="clear" w:color="auto" w:fill="auto"/>
            <w:vAlign w:val="center"/>
          </w:tcPr>
          <w:p w14:paraId="7C434A5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0.116</w:t>
            </w:r>
          </w:p>
        </w:tc>
        <w:tc>
          <w:tcPr>
            <w:tcW w:w="3441" w:type="dxa"/>
            <w:shd w:val="clear" w:color="auto" w:fill="auto"/>
            <w:vAlign w:val="center"/>
          </w:tcPr>
          <w:p w14:paraId="3C890DE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1.295</w:t>
            </w:r>
          </w:p>
        </w:tc>
      </w:tr>
      <w:tr w14:paraId="6F9F7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897A06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-27</w:t>
            </w:r>
          </w:p>
        </w:tc>
        <w:tc>
          <w:tcPr>
            <w:tcW w:w="2998" w:type="dxa"/>
            <w:shd w:val="clear" w:color="auto" w:fill="auto"/>
            <w:vAlign w:val="center"/>
          </w:tcPr>
          <w:p w14:paraId="7BF0E88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0.128</w:t>
            </w:r>
          </w:p>
        </w:tc>
        <w:tc>
          <w:tcPr>
            <w:tcW w:w="3441" w:type="dxa"/>
            <w:shd w:val="clear" w:color="auto" w:fill="auto"/>
            <w:vAlign w:val="center"/>
          </w:tcPr>
          <w:p w14:paraId="641578D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1.384</w:t>
            </w:r>
          </w:p>
        </w:tc>
      </w:tr>
      <w:tr w14:paraId="742CA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53BDDDD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-26</w:t>
            </w:r>
          </w:p>
        </w:tc>
        <w:tc>
          <w:tcPr>
            <w:tcW w:w="2998" w:type="dxa"/>
            <w:shd w:val="clear" w:color="auto" w:fill="auto"/>
            <w:vAlign w:val="center"/>
          </w:tcPr>
          <w:p w14:paraId="35F4665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0.141</w:t>
            </w:r>
          </w:p>
        </w:tc>
        <w:tc>
          <w:tcPr>
            <w:tcW w:w="3441" w:type="dxa"/>
            <w:shd w:val="clear" w:color="auto" w:fill="auto"/>
            <w:vAlign w:val="center"/>
          </w:tcPr>
          <w:p w14:paraId="7C06B3E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1.482</w:t>
            </w:r>
          </w:p>
        </w:tc>
      </w:tr>
      <w:tr w14:paraId="095A1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0D802B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-25</w:t>
            </w:r>
          </w:p>
        </w:tc>
        <w:tc>
          <w:tcPr>
            <w:tcW w:w="2998" w:type="dxa"/>
            <w:shd w:val="clear" w:color="auto" w:fill="auto"/>
            <w:vAlign w:val="center"/>
          </w:tcPr>
          <w:p w14:paraId="29ECF1A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0.156</w:t>
            </w:r>
          </w:p>
        </w:tc>
        <w:tc>
          <w:tcPr>
            <w:tcW w:w="3441" w:type="dxa"/>
            <w:shd w:val="clear" w:color="auto" w:fill="auto"/>
            <w:vAlign w:val="center"/>
          </w:tcPr>
          <w:p w14:paraId="01FEB4E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1.591</w:t>
            </w:r>
          </w:p>
        </w:tc>
      </w:tr>
      <w:tr w14:paraId="0F445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5F858EE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-24</w:t>
            </w:r>
          </w:p>
        </w:tc>
        <w:tc>
          <w:tcPr>
            <w:tcW w:w="2998" w:type="dxa"/>
            <w:shd w:val="clear" w:color="auto" w:fill="auto"/>
            <w:vAlign w:val="center"/>
          </w:tcPr>
          <w:p w14:paraId="21C8D15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0.174</w:t>
            </w:r>
          </w:p>
        </w:tc>
        <w:tc>
          <w:tcPr>
            <w:tcW w:w="3441" w:type="dxa"/>
            <w:shd w:val="clear" w:color="auto" w:fill="auto"/>
            <w:vAlign w:val="center"/>
          </w:tcPr>
          <w:p w14:paraId="30130B9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1.712</w:t>
            </w:r>
          </w:p>
        </w:tc>
      </w:tr>
      <w:tr w14:paraId="1F718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C1D4B6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-23</w:t>
            </w:r>
          </w:p>
        </w:tc>
        <w:tc>
          <w:tcPr>
            <w:tcW w:w="2998" w:type="dxa"/>
            <w:shd w:val="clear" w:color="auto" w:fill="auto"/>
            <w:vAlign w:val="center"/>
          </w:tcPr>
          <w:p w14:paraId="1AE3135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0.193</w:t>
            </w:r>
          </w:p>
        </w:tc>
        <w:tc>
          <w:tcPr>
            <w:tcW w:w="3441" w:type="dxa"/>
            <w:shd w:val="clear" w:color="auto" w:fill="auto"/>
            <w:vAlign w:val="center"/>
          </w:tcPr>
          <w:p w14:paraId="14692D9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1.846</w:t>
            </w:r>
          </w:p>
        </w:tc>
      </w:tr>
      <w:tr w14:paraId="34591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165A47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-22</w:t>
            </w:r>
          </w:p>
        </w:tc>
        <w:tc>
          <w:tcPr>
            <w:tcW w:w="2998" w:type="dxa"/>
            <w:shd w:val="clear" w:color="auto" w:fill="auto"/>
            <w:vAlign w:val="center"/>
          </w:tcPr>
          <w:p w14:paraId="1363155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0.216</w:t>
            </w:r>
          </w:p>
        </w:tc>
        <w:tc>
          <w:tcPr>
            <w:tcW w:w="3441" w:type="dxa"/>
            <w:shd w:val="clear" w:color="auto" w:fill="auto"/>
            <w:vAlign w:val="center"/>
          </w:tcPr>
          <w:p w14:paraId="5B376A1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1.996</w:t>
            </w:r>
          </w:p>
        </w:tc>
      </w:tr>
      <w:tr w14:paraId="47834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5A18977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-21</w:t>
            </w:r>
          </w:p>
        </w:tc>
        <w:tc>
          <w:tcPr>
            <w:tcW w:w="2998" w:type="dxa"/>
            <w:shd w:val="clear" w:color="auto" w:fill="auto"/>
            <w:vAlign w:val="center"/>
          </w:tcPr>
          <w:p w14:paraId="7C782A9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0.242</w:t>
            </w:r>
          </w:p>
        </w:tc>
        <w:tc>
          <w:tcPr>
            <w:tcW w:w="3441" w:type="dxa"/>
            <w:shd w:val="clear" w:color="auto" w:fill="auto"/>
            <w:vAlign w:val="center"/>
          </w:tcPr>
          <w:p w14:paraId="2905D13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2.164</w:t>
            </w:r>
          </w:p>
        </w:tc>
      </w:tr>
      <w:tr w14:paraId="3A0F9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34BD14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-20</w:t>
            </w:r>
          </w:p>
        </w:tc>
        <w:tc>
          <w:tcPr>
            <w:tcW w:w="2998" w:type="dxa"/>
            <w:shd w:val="clear" w:color="auto" w:fill="auto"/>
            <w:vAlign w:val="center"/>
          </w:tcPr>
          <w:p w14:paraId="5EA7EED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0.271</w:t>
            </w:r>
          </w:p>
        </w:tc>
        <w:tc>
          <w:tcPr>
            <w:tcW w:w="3441" w:type="dxa"/>
            <w:shd w:val="clear" w:color="auto" w:fill="auto"/>
            <w:vAlign w:val="center"/>
          </w:tcPr>
          <w:p w14:paraId="6B82F02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2.351</w:t>
            </w:r>
          </w:p>
        </w:tc>
      </w:tr>
      <w:tr w14:paraId="008EC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4104D7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-19</w:t>
            </w:r>
          </w:p>
        </w:tc>
        <w:tc>
          <w:tcPr>
            <w:tcW w:w="2998" w:type="dxa"/>
            <w:shd w:val="clear" w:color="auto" w:fill="auto"/>
            <w:vAlign w:val="center"/>
          </w:tcPr>
          <w:p w14:paraId="0077631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0.305</w:t>
            </w:r>
          </w:p>
        </w:tc>
        <w:tc>
          <w:tcPr>
            <w:tcW w:w="3441" w:type="dxa"/>
            <w:shd w:val="clear" w:color="auto" w:fill="auto"/>
            <w:vAlign w:val="center"/>
          </w:tcPr>
          <w:p w14:paraId="7F21DD1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2.562</w:t>
            </w:r>
          </w:p>
        </w:tc>
      </w:tr>
      <w:tr w14:paraId="7BD4C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0A0FB9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-18</w:t>
            </w:r>
          </w:p>
        </w:tc>
        <w:tc>
          <w:tcPr>
            <w:tcW w:w="2998" w:type="dxa"/>
            <w:shd w:val="clear" w:color="auto" w:fill="auto"/>
            <w:vAlign w:val="center"/>
          </w:tcPr>
          <w:p w14:paraId="3AE0F35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0.344</w:t>
            </w:r>
          </w:p>
        </w:tc>
        <w:tc>
          <w:tcPr>
            <w:tcW w:w="3441" w:type="dxa"/>
            <w:shd w:val="clear" w:color="auto" w:fill="auto"/>
            <w:vAlign w:val="center"/>
          </w:tcPr>
          <w:p w14:paraId="62E48FB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2.800</w:t>
            </w:r>
          </w:p>
        </w:tc>
      </w:tr>
      <w:tr w14:paraId="2DD0B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C31CCE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-17</w:t>
            </w:r>
          </w:p>
        </w:tc>
        <w:tc>
          <w:tcPr>
            <w:tcW w:w="2998" w:type="dxa"/>
            <w:shd w:val="clear" w:color="auto" w:fill="auto"/>
            <w:vAlign w:val="center"/>
          </w:tcPr>
          <w:p w14:paraId="0D8E35F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0.388</w:t>
            </w:r>
          </w:p>
        </w:tc>
        <w:tc>
          <w:tcPr>
            <w:tcW w:w="3441" w:type="dxa"/>
            <w:shd w:val="clear" w:color="auto" w:fill="auto"/>
            <w:vAlign w:val="center"/>
          </w:tcPr>
          <w:p w14:paraId="23B86D1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3.068</w:t>
            </w:r>
          </w:p>
        </w:tc>
      </w:tr>
      <w:tr w14:paraId="746FB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3A9A00B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-16</w:t>
            </w:r>
          </w:p>
        </w:tc>
        <w:tc>
          <w:tcPr>
            <w:tcW w:w="2998" w:type="dxa"/>
            <w:shd w:val="clear" w:color="auto" w:fill="auto"/>
            <w:vAlign w:val="center"/>
          </w:tcPr>
          <w:p w14:paraId="411B54D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0.439</w:t>
            </w:r>
          </w:p>
        </w:tc>
        <w:tc>
          <w:tcPr>
            <w:tcW w:w="3441" w:type="dxa"/>
            <w:shd w:val="clear" w:color="auto" w:fill="auto"/>
            <w:vAlign w:val="center"/>
          </w:tcPr>
          <w:p w14:paraId="5091769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3.371</w:t>
            </w:r>
          </w:p>
        </w:tc>
      </w:tr>
      <w:tr w14:paraId="726C0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E2082F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-15</w:t>
            </w:r>
          </w:p>
        </w:tc>
        <w:tc>
          <w:tcPr>
            <w:tcW w:w="2998" w:type="dxa"/>
            <w:shd w:val="clear" w:color="auto" w:fill="auto"/>
            <w:vAlign w:val="center"/>
          </w:tcPr>
          <w:p w14:paraId="404DE79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0.496</w:t>
            </w:r>
          </w:p>
        </w:tc>
        <w:tc>
          <w:tcPr>
            <w:tcW w:w="3441" w:type="dxa"/>
            <w:shd w:val="clear" w:color="auto" w:fill="auto"/>
            <w:vAlign w:val="center"/>
          </w:tcPr>
          <w:p w14:paraId="07B9A6C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3.713</w:t>
            </w:r>
          </w:p>
        </w:tc>
      </w:tr>
      <w:tr w14:paraId="7A0F4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34CF3AB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-14</w:t>
            </w:r>
          </w:p>
        </w:tc>
        <w:tc>
          <w:tcPr>
            <w:tcW w:w="2998" w:type="dxa"/>
            <w:shd w:val="clear" w:color="auto" w:fill="auto"/>
            <w:vAlign w:val="center"/>
          </w:tcPr>
          <w:p w14:paraId="0D0B4F1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0.560</w:t>
            </w:r>
          </w:p>
        </w:tc>
        <w:tc>
          <w:tcPr>
            <w:tcW w:w="3441" w:type="dxa"/>
            <w:shd w:val="clear" w:color="auto" w:fill="auto"/>
            <w:vAlign w:val="center"/>
          </w:tcPr>
          <w:p w14:paraId="05E55D4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4.100</w:t>
            </w:r>
          </w:p>
        </w:tc>
      </w:tr>
      <w:tr w14:paraId="78703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364CC01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-13</w:t>
            </w:r>
          </w:p>
        </w:tc>
        <w:tc>
          <w:tcPr>
            <w:tcW w:w="2998" w:type="dxa"/>
            <w:shd w:val="clear" w:color="auto" w:fill="auto"/>
            <w:vAlign w:val="center"/>
          </w:tcPr>
          <w:p w14:paraId="397325A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0.631</w:t>
            </w:r>
          </w:p>
        </w:tc>
        <w:tc>
          <w:tcPr>
            <w:tcW w:w="3441" w:type="dxa"/>
            <w:shd w:val="clear" w:color="auto" w:fill="auto"/>
            <w:vAlign w:val="center"/>
          </w:tcPr>
          <w:p w14:paraId="1177461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4.535</w:t>
            </w:r>
          </w:p>
        </w:tc>
      </w:tr>
      <w:tr w14:paraId="38DA2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53F9BE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-12</w:t>
            </w:r>
          </w:p>
        </w:tc>
        <w:tc>
          <w:tcPr>
            <w:tcW w:w="2998" w:type="dxa"/>
            <w:shd w:val="clear" w:color="auto" w:fill="auto"/>
            <w:vAlign w:val="center"/>
          </w:tcPr>
          <w:p w14:paraId="744C1D6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0.708</w:t>
            </w:r>
          </w:p>
        </w:tc>
        <w:tc>
          <w:tcPr>
            <w:tcW w:w="3441" w:type="dxa"/>
            <w:shd w:val="clear" w:color="auto" w:fill="auto"/>
            <w:vAlign w:val="center"/>
          </w:tcPr>
          <w:p w14:paraId="2711766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5.023</w:t>
            </w:r>
          </w:p>
        </w:tc>
      </w:tr>
      <w:tr w14:paraId="4169D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414667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-11</w:t>
            </w:r>
          </w:p>
        </w:tc>
        <w:tc>
          <w:tcPr>
            <w:tcW w:w="2998" w:type="dxa"/>
            <w:shd w:val="clear" w:color="auto" w:fill="auto"/>
            <w:vAlign w:val="center"/>
          </w:tcPr>
          <w:p w14:paraId="3DAB62D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0.788</w:t>
            </w:r>
          </w:p>
        </w:tc>
        <w:tc>
          <w:tcPr>
            <w:tcW w:w="3441" w:type="dxa"/>
            <w:shd w:val="clear" w:color="auto" w:fill="auto"/>
            <w:vAlign w:val="center"/>
          </w:tcPr>
          <w:p w14:paraId="72FC48E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5.565</w:t>
            </w:r>
          </w:p>
        </w:tc>
      </w:tr>
      <w:tr w14:paraId="29136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5C2F53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-10</w:t>
            </w:r>
          </w:p>
        </w:tc>
        <w:tc>
          <w:tcPr>
            <w:tcW w:w="2998" w:type="dxa"/>
            <w:shd w:val="clear" w:color="auto" w:fill="auto"/>
            <w:vAlign w:val="center"/>
          </w:tcPr>
          <w:p w14:paraId="7345B53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0.868</w:t>
            </w:r>
          </w:p>
        </w:tc>
        <w:tc>
          <w:tcPr>
            <w:tcW w:w="3441" w:type="dxa"/>
            <w:shd w:val="clear" w:color="auto" w:fill="auto"/>
            <w:vAlign w:val="center"/>
          </w:tcPr>
          <w:p w14:paraId="5446CDD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6.158</w:t>
            </w:r>
          </w:p>
        </w:tc>
      </w:tr>
      <w:tr w14:paraId="1F6EA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8A220F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-9</w:t>
            </w:r>
          </w:p>
        </w:tc>
        <w:tc>
          <w:tcPr>
            <w:tcW w:w="2998" w:type="dxa"/>
            <w:shd w:val="clear" w:color="auto" w:fill="auto"/>
            <w:vAlign w:val="center"/>
          </w:tcPr>
          <w:p w14:paraId="2ED75ED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0.942</w:t>
            </w:r>
          </w:p>
        </w:tc>
        <w:tc>
          <w:tcPr>
            <w:tcW w:w="3441" w:type="dxa"/>
            <w:shd w:val="clear" w:color="auto" w:fill="auto"/>
            <w:vAlign w:val="center"/>
          </w:tcPr>
          <w:p w14:paraId="175E90B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6.796</w:t>
            </w:r>
          </w:p>
        </w:tc>
      </w:tr>
      <w:tr w14:paraId="46F72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287458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-8</w:t>
            </w:r>
          </w:p>
        </w:tc>
        <w:tc>
          <w:tcPr>
            <w:tcW w:w="2998" w:type="dxa"/>
            <w:shd w:val="clear" w:color="auto" w:fill="auto"/>
            <w:vAlign w:val="center"/>
          </w:tcPr>
          <w:p w14:paraId="4A832C2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1.002</w:t>
            </w:r>
          </w:p>
        </w:tc>
        <w:tc>
          <w:tcPr>
            <w:tcW w:w="3441" w:type="dxa"/>
            <w:shd w:val="clear" w:color="auto" w:fill="auto"/>
            <w:vAlign w:val="center"/>
          </w:tcPr>
          <w:p w14:paraId="254295F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7.464</w:t>
            </w:r>
          </w:p>
        </w:tc>
      </w:tr>
      <w:tr w14:paraId="648EC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262CAB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-7</w:t>
            </w:r>
          </w:p>
        </w:tc>
        <w:tc>
          <w:tcPr>
            <w:tcW w:w="2998" w:type="dxa"/>
            <w:shd w:val="clear" w:color="auto" w:fill="auto"/>
            <w:vAlign w:val="center"/>
          </w:tcPr>
          <w:p w14:paraId="7308AB3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1.038</w:t>
            </w:r>
          </w:p>
        </w:tc>
        <w:tc>
          <w:tcPr>
            <w:tcW w:w="3441" w:type="dxa"/>
            <w:shd w:val="clear" w:color="auto" w:fill="auto"/>
            <w:vAlign w:val="center"/>
          </w:tcPr>
          <w:p w14:paraId="2E9C84A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8.138</w:t>
            </w:r>
          </w:p>
        </w:tc>
      </w:tr>
      <w:tr w14:paraId="04984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54384AE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-6</w:t>
            </w:r>
          </w:p>
        </w:tc>
        <w:tc>
          <w:tcPr>
            <w:tcW w:w="2998" w:type="dxa"/>
            <w:shd w:val="clear" w:color="auto" w:fill="auto"/>
            <w:vAlign w:val="center"/>
          </w:tcPr>
          <w:p w14:paraId="0E9D454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1.041</w:t>
            </w:r>
          </w:p>
        </w:tc>
        <w:tc>
          <w:tcPr>
            <w:tcW w:w="3441" w:type="dxa"/>
            <w:shd w:val="clear" w:color="auto" w:fill="auto"/>
            <w:vAlign w:val="center"/>
          </w:tcPr>
          <w:p w14:paraId="4277565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8.790</w:t>
            </w:r>
          </w:p>
        </w:tc>
      </w:tr>
      <w:tr w14:paraId="1004B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1C0E09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-5</w:t>
            </w:r>
          </w:p>
        </w:tc>
        <w:tc>
          <w:tcPr>
            <w:tcW w:w="2998" w:type="dxa"/>
            <w:shd w:val="clear" w:color="auto" w:fill="auto"/>
            <w:vAlign w:val="center"/>
          </w:tcPr>
          <w:p w14:paraId="3F74860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1.005</w:t>
            </w:r>
          </w:p>
        </w:tc>
        <w:tc>
          <w:tcPr>
            <w:tcW w:w="3441" w:type="dxa"/>
            <w:shd w:val="clear" w:color="auto" w:fill="auto"/>
            <w:vAlign w:val="center"/>
          </w:tcPr>
          <w:p w14:paraId="7446827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9.385</w:t>
            </w:r>
          </w:p>
        </w:tc>
      </w:tr>
      <w:tr w14:paraId="2B68A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F043969">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w:t>
            </w:r>
          </w:p>
        </w:tc>
        <w:tc>
          <w:tcPr>
            <w:tcW w:w="2998" w:type="dxa"/>
            <w:shd w:val="clear" w:color="auto" w:fill="auto"/>
            <w:vAlign w:val="center"/>
          </w:tcPr>
          <w:p w14:paraId="001B254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0.928</w:t>
            </w:r>
          </w:p>
        </w:tc>
        <w:tc>
          <w:tcPr>
            <w:tcW w:w="3441" w:type="dxa"/>
            <w:shd w:val="clear" w:color="auto" w:fill="auto"/>
            <w:vAlign w:val="center"/>
          </w:tcPr>
          <w:p w14:paraId="2C72984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9.896</w:t>
            </w:r>
          </w:p>
        </w:tc>
      </w:tr>
      <w:tr w14:paraId="3F800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8DB655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w:t>
            </w:r>
          </w:p>
        </w:tc>
        <w:tc>
          <w:tcPr>
            <w:tcW w:w="2998" w:type="dxa"/>
            <w:shd w:val="clear" w:color="auto" w:fill="auto"/>
            <w:vAlign w:val="center"/>
          </w:tcPr>
          <w:p w14:paraId="43CCB41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0.816</w:t>
            </w:r>
          </w:p>
        </w:tc>
        <w:tc>
          <w:tcPr>
            <w:tcW w:w="3441" w:type="dxa"/>
            <w:shd w:val="clear" w:color="auto" w:fill="auto"/>
            <w:vAlign w:val="center"/>
          </w:tcPr>
          <w:p w14:paraId="1F25DA9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10.301</w:t>
            </w:r>
          </w:p>
        </w:tc>
      </w:tr>
      <w:tr w14:paraId="65BF2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ED9705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w:t>
            </w:r>
          </w:p>
        </w:tc>
        <w:tc>
          <w:tcPr>
            <w:tcW w:w="2998" w:type="dxa"/>
            <w:shd w:val="clear" w:color="auto" w:fill="auto"/>
            <w:vAlign w:val="center"/>
          </w:tcPr>
          <w:p w14:paraId="66B8B85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0.687</w:t>
            </w:r>
          </w:p>
        </w:tc>
        <w:tc>
          <w:tcPr>
            <w:tcW w:w="3441" w:type="dxa"/>
            <w:shd w:val="clear" w:color="auto" w:fill="auto"/>
            <w:vAlign w:val="center"/>
          </w:tcPr>
          <w:p w14:paraId="5784B48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10.589</w:t>
            </w:r>
          </w:p>
        </w:tc>
      </w:tr>
      <w:tr w14:paraId="623AB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08ECED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w:t>
            </w:r>
          </w:p>
        </w:tc>
        <w:tc>
          <w:tcPr>
            <w:tcW w:w="2998" w:type="dxa"/>
            <w:shd w:val="clear" w:color="auto" w:fill="auto"/>
            <w:vAlign w:val="center"/>
          </w:tcPr>
          <w:p w14:paraId="31A12A2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0.575</w:t>
            </w:r>
          </w:p>
        </w:tc>
        <w:tc>
          <w:tcPr>
            <w:tcW w:w="3441" w:type="dxa"/>
            <w:shd w:val="clear" w:color="auto" w:fill="auto"/>
            <w:vAlign w:val="center"/>
          </w:tcPr>
          <w:p w14:paraId="0EDAE85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10.760</w:t>
            </w:r>
          </w:p>
        </w:tc>
      </w:tr>
      <w:tr w14:paraId="1FDCB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081F4A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0</w:t>
            </w:r>
          </w:p>
        </w:tc>
        <w:tc>
          <w:tcPr>
            <w:tcW w:w="2998" w:type="dxa"/>
            <w:shd w:val="clear" w:color="auto" w:fill="auto"/>
            <w:vAlign w:val="center"/>
          </w:tcPr>
          <w:p w14:paraId="1492F75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0.528</w:t>
            </w:r>
          </w:p>
        </w:tc>
        <w:tc>
          <w:tcPr>
            <w:tcW w:w="3441" w:type="dxa"/>
            <w:shd w:val="clear" w:color="auto" w:fill="auto"/>
            <w:vAlign w:val="center"/>
          </w:tcPr>
          <w:p w14:paraId="6527B48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10.817</w:t>
            </w:r>
          </w:p>
        </w:tc>
      </w:tr>
      <w:tr w14:paraId="75C0F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26A01B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w:t>
            </w:r>
          </w:p>
        </w:tc>
        <w:tc>
          <w:tcPr>
            <w:tcW w:w="2998" w:type="dxa"/>
            <w:shd w:val="clear" w:color="auto" w:fill="auto"/>
            <w:vAlign w:val="center"/>
          </w:tcPr>
          <w:p w14:paraId="67CFC12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0.574</w:t>
            </w:r>
          </w:p>
        </w:tc>
        <w:tc>
          <w:tcPr>
            <w:tcW w:w="3441" w:type="dxa"/>
            <w:shd w:val="clear" w:color="auto" w:fill="auto"/>
            <w:vAlign w:val="center"/>
          </w:tcPr>
          <w:p w14:paraId="283318D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10.760</w:t>
            </w:r>
          </w:p>
        </w:tc>
      </w:tr>
      <w:tr w14:paraId="1A127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63F73A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w:t>
            </w:r>
          </w:p>
        </w:tc>
        <w:tc>
          <w:tcPr>
            <w:tcW w:w="2998" w:type="dxa"/>
            <w:shd w:val="clear" w:color="auto" w:fill="auto"/>
            <w:vAlign w:val="center"/>
          </w:tcPr>
          <w:p w14:paraId="4B448C1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0.684</w:t>
            </w:r>
          </w:p>
        </w:tc>
        <w:tc>
          <w:tcPr>
            <w:tcW w:w="3441" w:type="dxa"/>
            <w:shd w:val="clear" w:color="auto" w:fill="auto"/>
            <w:vAlign w:val="center"/>
          </w:tcPr>
          <w:p w14:paraId="1FBEE73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10.589</w:t>
            </w:r>
          </w:p>
        </w:tc>
      </w:tr>
      <w:tr w14:paraId="34BF8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511C985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w:t>
            </w:r>
          </w:p>
        </w:tc>
        <w:tc>
          <w:tcPr>
            <w:tcW w:w="2998" w:type="dxa"/>
            <w:shd w:val="clear" w:color="auto" w:fill="auto"/>
            <w:vAlign w:val="center"/>
          </w:tcPr>
          <w:p w14:paraId="510D1F3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0.812</w:t>
            </w:r>
          </w:p>
        </w:tc>
        <w:tc>
          <w:tcPr>
            <w:tcW w:w="3441" w:type="dxa"/>
            <w:shd w:val="clear" w:color="auto" w:fill="auto"/>
            <w:vAlign w:val="center"/>
          </w:tcPr>
          <w:p w14:paraId="7F726F9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10.301</w:t>
            </w:r>
          </w:p>
        </w:tc>
      </w:tr>
      <w:tr w14:paraId="48D7D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326190C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w:t>
            </w:r>
          </w:p>
        </w:tc>
        <w:tc>
          <w:tcPr>
            <w:tcW w:w="2998" w:type="dxa"/>
            <w:shd w:val="clear" w:color="auto" w:fill="auto"/>
            <w:vAlign w:val="center"/>
          </w:tcPr>
          <w:p w14:paraId="63FB2E4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0.924</w:t>
            </w:r>
          </w:p>
        </w:tc>
        <w:tc>
          <w:tcPr>
            <w:tcW w:w="3441" w:type="dxa"/>
            <w:shd w:val="clear" w:color="auto" w:fill="auto"/>
            <w:vAlign w:val="center"/>
          </w:tcPr>
          <w:p w14:paraId="362C394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9.896</w:t>
            </w:r>
          </w:p>
        </w:tc>
      </w:tr>
      <w:tr w14:paraId="6D85E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A99687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5</w:t>
            </w:r>
          </w:p>
        </w:tc>
        <w:tc>
          <w:tcPr>
            <w:tcW w:w="2998" w:type="dxa"/>
            <w:shd w:val="clear" w:color="auto" w:fill="auto"/>
            <w:vAlign w:val="center"/>
          </w:tcPr>
          <w:p w14:paraId="0A4A5F4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1.001</w:t>
            </w:r>
          </w:p>
        </w:tc>
        <w:tc>
          <w:tcPr>
            <w:tcW w:w="3441" w:type="dxa"/>
            <w:shd w:val="clear" w:color="auto" w:fill="auto"/>
            <w:vAlign w:val="center"/>
          </w:tcPr>
          <w:p w14:paraId="6235CE6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9.385</w:t>
            </w:r>
          </w:p>
        </w:tc>
      </w:tr>
      <w:tr w14:paraId="72B56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4F857B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6</w:t>
            </w:r>
          </w:p>
        </w:tc>
        <w:tc>
          <w:tcPr>
            <w:tcW w:w="2998" w:type="dxa"/>
            <w:shd w:val="clear" w:color="auto" w:fill="auto"/>
            <w:vAlign w:val="center"/>
          </w:tcPr>
          <w:p w14:paraId="064A67B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1.037</w:t>
            </w:r>
          </w:p>
        </w:tc>
        <w:tc>
          <w:tcPr>
            <w:tcW w:w="3441" w:type="dxa"/>
            <w:shd w:val="clear" w:color="auto" w:fill="auto"/>
            <w:vAlign w:val="center"/>
          </w:tcPr>
          <w:p w14:paraId="6F7AB07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8.790</w:t>
            </w:r>
          </w:p>
        </w:tc>
      </w:tr>
      <w:tr w14:paraId="0007D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33DD0DF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7</w:t>
            </w:r>
          </w:p>
        </w:tc>
        <w:tc>
          <w:tcPr>
            <w:tcW w:w="2998" w:type="dxa"/>
            <w:shd w:val="clear" w:color="auto" w:fill="auto"/>
            <w:vAlign w:val="center"/>
          </w:tcPr>
          <w:p w14:paraId="426D8EA1">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1.033</w:t>
            </w:r>
          </w:p>
        </w:tc>
        <w:tc>
          <w:tcPr>
            <w:tcW w:w="3441" w:type="dxa"/>
            <w:shd w:val="clear" w:color="auto" w:fill="auto"/>
            <w:vAlign w:val="center"/>
          </w:tcPr>
          <w:p w14:paraId="00057E6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8.138</w:t>
            </w:r>
          </w:p>
        </w:tc>
      </w:tr>
      <w:tr w14:paraId="4CD13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85E860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8</w:t>
            </w:r>
          </w:p>
        </w:tc>
        <w:tc>
          <w:tcPr>
            <w:tcW w:w="2998" w:type="dxa"/>
            <w:shd w:val="clear" w:color="auto" w:fill="auto"/>
            <w:vAlign w:val="center"/>
          </w:tcPr>
          <w:p w14:paraId="6D48BBC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0.997</w:t>
            </w:r>
          </w:p>
        </w:tc>
        <w:tc>
          <w:tcPr>
            <w:tcW w:w="3441" w:type="dxa"/>
            <w:shd w:val="clear" w:color="auto" w:fill="auto"/>
            <w:vAlign w:val="center"/>
          </w:tcPr>
          <w:p w14:paraId="1A594EE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7.464</w:t>
            </w:r>
          </w:p>
        </w:tc>
      </w:tr>
      <w:tr w14:paraId="6D1B9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23641D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9</w:t>
            </w:r>
          </w:p>
        </w:tc>
        <w:tc>
          <w:tcPr>
            <w:tcW w:w="2998" w:type="dxa"/>
            <w:shd w:val="clear" w:color="auto" w:fill="auto"/>
            <w:vAlign w:val="center"/>
          </w:tcPr>
          <w:p w14:paraId="46880A8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0.937</w:t>
            </w:r>
          </w:p>
        </w:tc>
        <w:tc>
          <w:tcPr>
            <w:tcW w:w="3441" w:type="dxa"/>
            <w:shd w:val="clear" w:color="auto" w:fill="auto"/>
            <w:vAlign w:val="center"/>
          </w:tcPr>
          <w:p w14:paraId="6C09A75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6.796</w:t>
            </w:r>
          </w:p>
        </w:tc>
      </w:tr>
      <w:tr w14:paraId="42127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56B8A43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10</w:t>
            </w:r>
          </w:p>
        </w:tc>
        <w:tc>
          <w:tcPr>
            <w:tcW w:w="2998" w:type="dxa"/>
            <w:shd w:val="clear" w:color="auto" w:fill="auto"/>
            <w:vAlign w:val="center"/>
          </w:tcPr>
          <w:p w14:paraId="04803B4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0.863</w:t>
            </w:r>
          </w:p>
        </w:tc>
        <w:tc>
          <w:tcPr>
            <w:tcW w:w="3441" w:type="dxa"/>
            <w:shd w:val="clear" w:color="auto" w:fill="auto"/>
            <w:vAlign w:val="center"/>
          </w:tcPr>
          <w:p w14:paraId="466EEB3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6.158</w:t>
            </w:r>
          </w:p>
        </w:tc>
      </w:tr>
      <w:tr w14:paraId="7BEDE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5968B0F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11</w:t>
            </w:r>
          </w:p>
        </w:tc>
        <w:tc>
          <w:tcPr>
            <w:tcW w:w="2998" w:type="dxa"/>
            <w:shd w:val="clear" w:color="auto" w:fill="auto"/>
            <w:vAlign w:val="center"/>
          </w:tcPr>
          <w:p w14:paraId="205907C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0.783</w:t>
            </w:r>
          </w:p>
        </w:tc>
        <w:tc>
          <w:tcPr>
            <w:tcW w:w="3441" w:type="dxa"/>
            <w:shd w:val="clear" w:color="auto" w:fill="auto"/>
            <w:vAlign w:val="center"/>
          </w:tcPr>
          <w:p w14:paraId="128B812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5.565</w:t>
            </w:r>
          </w:p>
        </w:tc>
      </w:tr>
      <w:tr w14:paraId="1B525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020842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12</w:t>
            </w:r>
          </w:p>
        </w:tc>
        <w:tc>
          <w:tcPr>
            <w:tcW w:w="2998" w:type="dxa"/>
            <w:shd w:val="clear" w:color="auto" w:fill="auto"/>
            <w:vAlign w:val="center"/>
          </w:tcPr>
          <w:p w14:paraId="2A7B23E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0.703</w:t>
            </w:r>
          </w:p>
        </w:tc>
        <w:tc>
          <w:tcPr>
            <w:tcW w:w="3441" w:type="dxa"/>
            <w:shd w:val="clear" w:color="auto" w:fill="auto"/>
            <w:vAlign w:val="center"/>
          </w:tcPr>
          <w:p w14:paraId="511C933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5.023</w:t>
            </w:r>
          </w:p>
        </w:tc>
      </w:tr>
      <w:tr w14:paraId="18892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3FE5070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13</w:t>
            </w:r>
          </w:p>
        </w:tc>
        <w:tc>
          <w:tcPr>
            <w:tcW w:w="2998" w:type="dxa"/>
            <w:shd w:val="clear" w:color="auto" w:fill="auto"/>
            <w:vAlign w:val="center"/>
          </w:tcPr>
          <w:p w14:paraId="504C24D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0.627</w:t>
            </w:r>
          </w:p>
        </w:tc>
        <w:tc>
          <w:tcPr>
            <w:tcW w:w="3441" w:type="dxa"/>
            <w:shd w:val="clear" w:color="auto" w:fill="auto"/>
            <w:vAlign w:val="center"/>
          </w:tcPr>
          <w:p w14:paraId="142DF88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4.535</w:t>
            </w:r>
          </w:p>
        </w:tc>
      </w:tr>
      <w:tr w14:paraId="05C68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1C7D5A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14</w:t>
            </w:r>
          </w:p>
        </w:tc>
        <w:tc>
          <w:tcPr>
            <w:tcW w:w="2998" w:type="dxa"/>
            <w:shd w:val="clear" w:color="auto" w:fill="auto"/>
            <w:vAlign w:val="center"/>
          </w:tcPr>
          <w:p w14:paraId="4A5C6CB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0.556</w:t>
            </w:r>
          </w:p>
        </w:tc>
        <w:tc>
          <w:tcPr>
            <w:tcW w:w="3441" w:type="dxa"/>
            <w:shd w:val="clear" w:color="auto" w:fill="auto"/>
            <w:vAlign w:val="center"/>
          </w:tcPr>
          <w:p w14:paraId="56C47F4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4.100</w:t>
            </w:r>
          </w:p>
        </w:tc>
      </w:tr>
      <w:tr w14:paraId="0ADA9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BB8DF6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15</w:t>
            </w:r>
          </w:p>
        </w:tc>
        <w:tc>
          <w:tcPr>
            <w:tcW w:w="2998" w:type="dxa"/>
            <w:shd w:val="clear" w:color="auto" w:fill="auto"/>
            <w:vAlign w:val="center"/>
          </w:tcPr>
          <w:p w14:paraId="6E5E270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0.492</w:t>
            </w:r>
          </w:p>
        </w:tc>
        <w:tc>
          <w:tcPr>
            <w:tcW w:w="3441" w:type="dxa"/>
            <w:shd w:val="clear" w:color="auto" w:fill="auto"/>
            <w:vAlign w:val="center"/>
          </w:tcPr>
          <w:p w14:paraId="2D0D6BB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3.713</w:t>
            </w:r>
          </w:p>
        </w:tc>
      </w:tr>
      <w:tr w14:paraId="43CC8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EA9A97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16</w:t>
            </w:r>
          </w:p>
        </w:tc>
        <w:tc>
          <w:tcPr>
            <w:tcW w:w="2998" w:type="dxa"/>
            <w:shd w:val="clear" w:color="auto" w:fill="auto"/>
            <w:vAlign w:val="center"/>
          </w:tcPr>
          <w:p w14:paraId="4DD7B58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0.434</w:t>
            </w:r>
          </w:p>
        </w:tc>
        <w:tc>
          <w:tcPr>
            <w:tcW w:w="3441" w:type="dxa"/>
            <w:shd w:val="clear" w:color="auto" w:fill="auto"/>
            <w:vAlign w:val="center"/>
          </w:tcPr>
          <w:p w14:paraId="675C51A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3.371</w:t>
            </w:r>
          </w:p>
        </w:tc>
      </w:tr>
      <w:tr w14:paraId="6DD3D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889A7C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17</w:t>
            </w:r>
          </w:p>
        </w:tc>
        <w:tc>
          <w:tcPr>
            <w:tcW w:w="2998" w:type="dxa"/>
            <w:shd w:val="clear" w:color="auto" w:fill="auto"/>
            <w:vAlign w:val="center"/>
          </w:tcPr>
          <w:p w14:paraId="73F6B0A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0.384</w:t>
            </w:r>
          </w:p>
        </w:tc>
        <w:tc>
          <w:tcPr>
            <w:tcW w:w="3441" w:type="dxa"/>
            <w:shd w:val="clear" w:color="auto" w:fill="auto"/>
            <w:vAlign w:val="center"/>
          </w:tcPr>
          <w:p w14:paraId="59E48A7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3.068</w:t>
            </w:r>
          </w:p>
        </w:tc>
      </w:tr>
      <w:tr w14:paraId="712DA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42A38E1">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18</w:t>
            </w:r>
          </w:p>
        </w:tc>
        <w:tc>
          <w:tcPr>
            <w:tcW w:w="2998" w:type="dxa"/>
            <w:shd w:val="clear" w:color="auto" w:fill="auto"/>
            <w:vAlign w:val="center"/>
          </w:tcPr>
          <w:p w14:paraId="12D4FAA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0.340</w:t>
            </w:r>
          </w:p>
        </w:tc>
        <w:tc>
          <w:tcPr>
            <w:tcW w:w="3441" w:type="dxa"/>
            <w:shd w:val="clear" w:color="auto" w:fill="auto"/>
            <w:vAlign w:val="center"/>
          </w:tcPr>
          <w:p w14:paraId="0FA1070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2.800</w:t>
            </w:r>
          </w:p>
        </w:tc>
      </w:tr>
      <w:tr w14:paraId="7498C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04D511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19</w:t>
            </w:r>
          </w:p>
        </w:tc>
        <w:tc>
          <w:tcPr>
            <w:tcW w:w="2998" w:type="dxa"/>
            <w:shd w:val="clear" w:color="auto" w:fill="auto"/>
            <w:vAlign w:val="center"/>
          </w:tcPr>
          <w:p w14:paraId="312B7DE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0.301</w:t>
            </w:r>
          </w:p>
        </w:tc>
        <w:tc>
          <w:tcPr>
            <w:tcW w:w="3441" w:type="dxa"/>
            <w:shd w:val="clear" w:color="auto" w:fill="auto"/>
            <w:vAlign w:val="center"/>
          </w:tcPr>
          <w:p w14:paraId="6C89A50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2.562</w:t>
            </w:r>
          </w:p>
        </w:tc>
      </w:tr>
      <w:tr w14:paraId="5F3F7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459CAB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20</w:t>
            </w:r>
          </w:p>
        </w:tc>
        <w:tc>
          <w:tcPr>
            <w:tcW w:w="2998" w:type="dxa"/>
            <w:shd w:val="clear" w:color="auto" w:fill="auto"/>
            <w:vAlign w:val="center"/>
          </w:tcPr>
          <w:p w14:paraId="23C1751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0.267</w:t>
            </w:r>
          </w:p>
        </w:tc>
        <w:tc>
          <w:tcPr>
            <w:tcW w:w="3441" w:type="dxa"/>
            <w:shd w:val="clear" w:color="auto" w:fill="auto"/>
            <w:vAlign w:val="center"/>
          </w:tcPr>
          <w:p w14:paraId="4FB6B5B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2.351</w:t>
            </w:r>
          </w:p>
        </w:tc>
      </w:tr>
      <w:tr w14:paraId="09958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022748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21</w:t>
            </w:r>
          </w:p>
        </w:tc>
        <w:tc>
          <w:tcPr>
            <w:tcW w:w="2998" w:type="dxa"/>
            <w:shd w:val="clear" w:color="auto" w:fill="auto"/>
            <w:vAlign w:val="center"/>
          </w:tcPr>
          <w:p w14:paraId="64DC9EF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0.238</w:t>
            </w:r>
          </w:p>
        </w:tc>
        <w:tc>
          <w:tcPr>
            <w:tcW w:w="3441" w:type="dxa"/>
            <w:shd w:val="clear" w:color="auto" w:fill="auto"/>
            <w:vAlign w:val="center"/>
          </w:tcPr>
          <w:p w14:paraId="7ECBD16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2.164</w:t>
            </w:r>
          </w:p>
        </w:tc>
      </w:tr>
      <w:tr w14:paraId="4CB67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9580E2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22</w:t>
            </w:r>
          </w:p>
        </w:tc>
        <w:tc>
          <w:tcPr>
            <w:tcW w:w="2998" w:type="dxa"/>
            <w:shd w:val="clear" w:color="auto" w:fill="auto"/>
            <w:vAlign w:val="center"/>
          </w:tcPr>
          <w:p w14:paraId="5224332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0.212</w:t>
            </w:r>
          </w:p>
        </w:tc>
        <w:tc>
          <w:tcPr>
            <w:tcW w:w="3441" w:type="dxa"/>
            <w:shd w:val="clear" w:color="auto" w:fill="auto"/>
            <w:vAlign w:val="center"/>
          </w:tcPr>
          <w:p w14:paraId="51CB4D7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1.996</w:t>
            </w:r>
          </w:p>
        </w:tc>
      </w:tr>
      <w:tr w14:paraId="2256E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DF912D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23</w:t>
            </w:r>
          </w:p>
        </w:tc>
        <w:tc>
          <w:tcPr>
            <w:tcW w:w="2998" w:type="dxa"/>
            <w:shd w:val="clear" w:color="auto" w:fill="auto"/>
            <w:vAlign w:val="center"/>
          </w:tcPr>
          <w:p w14:paraId="2753611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0.190</w:t>
            </w:r>
          </w:p>
        </w:tc>
        <w:tc>
          <w:tcPr>
            <w:tcW w:w="3441" w:type="dxa"/>
            <w:shd w:val="clear" w:color="auto" w:fill="auto"/>
            <w:vAlign w:val="center"/>
          </w:tcPr>
          <w:p w14:paraId="44C0C40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1.846</w:t>
            </w:r>
          </w:p>
        </w:tc>
      </w:tr>
      <w:tr w14:paraId="3BA14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B2BD740">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24</w:t>
            </w:r>
          </w:p>
        </w:tc>
        <w:tc>
          <w:tcPr>
            <w:tcW w:w="2998" w:type="dxa"/>
            <w:shd w:val="clear" w:color="auto" w:fill="auto"/>
            <w:vAlign w:val="center"/>
          </w:tcPr>
          <w:p w14:paraId="5BEDB9B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0.171</w:t>
            </w:r>
          </w:p>
        </w:tc>
        <w:tc>
          <w:tcPr>
            <w:tcW w:w="3441" w:type="dxa"/>
            <w:shd w:val="clear" w:color="auto" w:fill="auto"/>
            <w:vAlign w:val="center"/>
          </w:tcPr>
          <w:p w14:paraId="49FAB14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1.712</w:t>
            </w:r>
          </w:p>
        </w:tc>
      </w:tr>
      <w:tr w14:paraId="6CDA5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350EB45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25</w:t>
            </w:r>
          </w:p>
        </w:tc>
        <w:tc>
          <w:tcPr>
            <w:tcW w:w="2998" w:type="dxa"/>
            <w:shd w:val="clear" w:color="auto" w:fill="auto"/>
            <w:vAlign w:val="center"/>
          </w:tcPr>
          <w:p w14:paraId="1028848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0.154</w:t>
            </w:r>
          </w:p>
        </w:tc>
        <w:tc>
          <w:tcPr>
            <w:tcW w:w="3441" w:type="dxa"/>
            <w:shd w:val="clear" w:color="auto" w:fill="auto"/>
            <w:vAlign w:val="center"/>
          </w:tcPr>
          <w:p w14:paraId="7D72227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1.591</w:t>
            </w:r>
          </w:p>
        </w:tc>
      </w:tr>
      <w:tr w14:paraId="54005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E8909E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26</w:t>
            </w:r>
          </w:p>
        </w:tc>
        <w:tc>
          <w:tcPr>
            <w:tcW w:w="2998" w:type="dxa"/>
            <w:shd w:val="clear" w:color="auto" w:fill="auto"/>
            <w:vAlign w:val="center"/>
          </w:tcPr>
          <w:p w14:paraId="3A4D50B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0.139</w:t>
            </w:r>
          </w:p>
        </w:tc>
        <w:tc>
          <w:tcPr>
            <w:tcW w:w="3441" w:type="dxa"/>
            <w:shd w:val="clear" w:color="auto" w:fill="auto"/>
            <w:vAlign w:val="center"/>
          </w:tcPr>
          <w:p w14:paraId="431E2AA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1.482</w:t>
            </w:r>
          </w:p>
        </w:tc>
      </w:tr>
      <w:tr w14:paraId="78D00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BCF0D4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27</w:t>
            </w:r>
          </w:p>
        </w:tc>
        <w:tc>
          <w:tcPr>
            <w:tcW w:w="2998" w:type="dxa"/>
            <w:shd w:val="clear" w:color="auto" w:fill="auto"/>
            <w:vAlign w:val="center"/>
          </w:tcPr>
          <w:p w14:paraId="413C8C3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0.125</w:t>
            </w:r>
          </w:p>
        </w:tc>
        <w:tc>
          <w:tcPr>
            <w:tcW w:w="3441" w:type="dxa"/>
            <w:shd w:val="clear" w:color="auto" w:fill="auto"/>
            <w:vAlign w:val="center"/>
          </w:tcPr>
          <w:p w14:paraId="4ADD1C9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1.384</w:t>
            </w:r>
          </w:p>
        </w:tc>
      </w:tr>
      <w:tr w14:paraId="1E3AA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5EE42FB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28</w:t>
            </w:r>
          </w:p>
        </w:tc>
        <w:tc>
          <w:tcPr>
            <w:tcW w:w="2998" w:type="dxa"/>
            <w:shd w:val="clear" w:color="auto" w:fill="auto"/>
            <w:vAlign w:val="center"/>
          </w:tcPr>
          <w:p w14:paraId="73081ED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0.114</w:t>
            </w:r>
          </w:p>
        </w:tc>
        <w:tc>
          <w:tcPr>
            <w:tcW w:w="3441" w:type="dxa"/>
            <w:shd w:val="clear" w:color="auto" w:fill="auto"/>
            <w:vAlign w:val="center"/>
          </w:tcPr>
          <w:p w14:paraId="19939B9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1.295</w:t>
            </w:r>
          </w:p>
        </w:tc>
      </w:tr>
      <w:tr w14:paraId="00920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C0F6BB4">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29</w:t>
            </w:r>
          </w:p>
        </w:tc>
        <w:tc>
          <w:tcPr>
            <w:tcW w:w="2998" w:type="dxa"/>
            <w:shd w:val="clear" w:color="auto" w:fill="auto"/>
            <w:vAlign w:val="center"/>
          </w:tcPr>
          <w:p w14:paraId="06A3A72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0.104</w:t>
            </w:r>
          </w:p>
        </w:tc>
        <w:tc>
          <w:tcPr>
            <w:tcW w:w="3441" w:type="dxa"/>
            <w:shd w:val="clear" w:color="auto" w:fill="auto"/>
            <w:vAlign w:val="center"/>
          </w:tcPr>
          <w:p w14:paraId="4F4FE63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1.213</w:t>
            </w:r>
          </w:p>
        </w:tc>
      </w:tr>
      <w:tr w14:paraId="4D828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DC69B7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30</w:t>
            </w:r>
          </w:p>
        </w:tc>
        <w:tc>
          <w:tcPr>
            <w:tcW w:w="2998" w:type="dxa"/>
            <w:shd w:val="clear" w:color="auto" w:fill="auto"/>
            <w:vAlign w:val="center"/>
          </w:tcPr>
          <w:p w14:paraId="4747492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0.094</w:t>
            </w:r>
          </w:p>
        </w:tc>
        <w:tc>
          <w:tcPr>
            <w:tcW w:w="3441" w:type="dxa"/>
            <w:shd w:val="clear" w:color="auto" w:fill="auto"/>
            <w:vAlign w:val="center"/>
          </w:tcPr>
          <w:p w14:paraId="14CE143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1.139</w:t>
            </w:r>
          </w:p>
        </w:tc>
      </w:tr>
      <w:tr w14:paraId="59ABC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28AAA1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31</w:t>
            </w:r>
          </w:p>
        </w:tc>
        <w:tc>
          <w:tcPr>
            <w:tcW w:w="2998" w:type="dxa"/>
            <w:shd w:val="clear" w:color="auto" w:fill="auto"/>
            <w:vAlign w:val="center"/>
          </w:tcPr>
          <w:p w14:paraId="3CAD154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0.086</w:t>
            </w:r>
          </w:p>
        </w:tc>
        <w:tc>
          <w:tcPr>
            <w:tcW w:w="3441" w:type="dxa"/>
            <w:shd w:val="clear" w:color="auto" w:fill="auto"/>
            <w:vAlign w:val="center"/>
          </w:tcPr>
          <w:p w14:paraId="5715BFC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1.072</w:t>
            </w:r>
          </w:p>
        </w:tc>
      </w:tr>
      <w:tr w14:paraId="58AFE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D904DAE">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32</w:t>
            </w:r>
          </w:p>
        </w:tc>
        <w:tc>
          <w:tcPr>
            <w:tcW w:w="2998" w:type="dxa"/>
            <w:shd w:val="clear" w:color="auto" w:fill="auto"/>
            <w:vAlign w:val="center"/>
          </w:tcPr>
          <w:p w14:paraId="1400D35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0.079</w:t>
            </w:r>
          </w:p>
        </w:tc>
        <w:tc>
          <w:tcPr>
            <w:tcW w:w="3441" w:type="dxa"/>
            <w:shd w:val="clear" w:color="auto" w:fill="auto"/>
            <w:vAlign w:val="center"/>
          </w:tcPr>
          <w:p w14:paraId="7EB7B2B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1.010</w:t>
            </w:r>
          </w:p>
        </w:tc>
      </w:tr>
      <w:tr w14:paraId="686DA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F618E78">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33</w:t>
            </w:r>
          </w:p>
        </w:tc>
        <w:tc>
          <w:tcPr>
            <w:tcW w:w="2998" w:type="dxa"/>
            <w:shd w:val="clear" w:color="auto" w:fill="auto"/>
            <w:vAlign w:val="center"/>
          </w:tcPr>
          <w:p w14:paraId="0CA378D9">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0.073</w:t>
            </w:r>
          </w:p>
        </w:tc>
        <w:tc>
          <w:tcPr>
            <w:tcW w:w="3441" w:type="dxa"/>
            <w:shd w:val="clear" w:color="auto" w:fill="auto"/>
            <w:vAlign w:val="center"/>
          </w:tcPr>
          <w:p w14:paraId="765FDBF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0.953</w:t>
            </w:r>
          </w:p>
        </w:tc>
      </w:tr>
      <w:tr w14:paraId="144AE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514D398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34</w:t>
            </w:r>
          </w:p>
        </w:tc>
        <w:tc>
          <w:tcPr>
            <w:tcW w:w="2998" w:type="dxa"/>
            <w:shd w:val="clear" w:color="auto" w:fill="auto"/>
            <w:vAlign w:val="center"/>
          </w:tcPr>
          <w:p w14:paraId="1AA537F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0.067</w:t>
            </w:r>
          </w:p>
        </w:tc>
        <w:tc>
          <w:tcPr>
            <w:tcW w:w="3441" w:type="dxa"/>
            <w:shd w:val="clear" w:color="auto" w:fill="auto"/>
            <w:vAlign w:val="center"/>
          </w:tcPr>
          <w:p w14:paraId="4F6056C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0.901</w:t>
            </w:r>
          </w:p>
        </w:tc>
      </w:tr>
      <w:tr w14:paraId="0693A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896C0C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35</w:t>
            </w:r>
          </w:p>
        </w:tc>
        <w:tc>
          <w:tcPr>
            <w:tcW w:w="2998" w:type="dxa"/>
            <w:shd w:val="clear" w:color="auto" w:fill="auto"/>
            <w:vAlign w:val="center"/>
          </w:tcPr>
          <w:p w14:paraId="6A6F193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0.062</w:t>
            </w:r>
          </w:p>
        </w:tc>
        <w:tc>
          <w:tcPr>
            <w:tcW w:w="3441" w:type="dxa"/>
            <w:shd w:val="clear" w:color="auto" w:fill="auto"/>
            <w:vAlign w:val="center"/>
          </w:tcPr>
          <w:p w14:paraId="43273B4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0.853</w:t>
            </w:r>
          </w:p>
        </w:tc>
      </w:tr>
      <w:tr w14:paraId="1019E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8DAC25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36</w:t>
            </w:r>
          </w:p>
        </w:tc>
        <w:tc>
          <w:tcPr>
            <w:tcW w:w="2998" w:type="dxa"/>
            <w:shd w:val="clear" w:color="auto" w:fill="auto"/>
            <w:vAlign w:val="center"/>
          </w:tcPr>
          <w:p w14:paraId="2B5F1C5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0.057</w:t>
            </w:r>
          </w:p>
        </w:tc>
        <w:tc>
          <w:tcPr>
            <w:tcW w:w="3441" w:type="dxa"/>
            <w:shd w:val="clear" w:color="auto" w:fill="auto"/>
            <w:vAlign w:val="center"/>
          </w:tcPr>
          <w:p w14:paraId="7ACFE68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0.808</w:t>
            </w:r>
          </w:p>
        </w:tc>
      </w:tr>
      <w:tr w14:paraId="28DC6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DEC870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37</w:t>
            </w:r>
          </w:p>
        </w:tc>
        <w:tc>
          <w:tcPr>
            <w:tcW w:w="2998" w:type="dxa"/>
            <w:shd w:val="clear" w:color="auto" w:fill="auto"/>
            <w:vAlign w:val="center"/>
          </w:tcPr>
          <w:p w14:paraId="0605A22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0.053</w:t>
            </w:r>
          </w:p>
        </w:tc>
        <w:tc>
          <w:tcPr>
            <w:tcW w:w="3441" w:type="dxa"/>
            <w:shd w:val="clear" w:color="auto" w:fill="auto"/>
            <w:vAlign w:val="center"/>
          </w:tcPr>
          <w:p w14:paraId="2129FD32">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0.767</w:t>
            </w:r>
          </w:p>
        </w:tc>
      </w:tr>
      <w:tr w14:paraId="0E6CC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2A21ED0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38</w:t>
            </w:r>
          </w:p>
        </w:tc>
        <w:tc>
          <w:tcPr>
            <w:tcW w:w="2998" w:type="dxa"/>
            <w:shd w:val="clear" w:color="auto" w:fill="auto"/>
            <w:vAlign w:val="center"/>
          </w:tcPr>
          <w:p w14:paraId="728EE72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0.049</w:t>
            </w:r>
          </w:p>
        </w:tc>
        <w:tc>
          <w:tcPr>
            <w:tcW w:w="3441" w:type="dxa"/>
            <w:shd w:val="clear" w:color="auto" w:fill="auto"/>
            <w:vAlign w:val="center"/>
          </w:tcPr>
          <w:p w14:paraId="6F47AE0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0.729</w:t>
            </w:r>
          </w:p>
        </w:tc>
      </w:tr>
      <w:tr w14:paraId="33875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E72AA0A">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39</w:t>
            </w:r>
          </w:p>
        </w:tc>
        <w:tc>
          <w:tcPr>
            <w:tcW w:w="2998" w:type="dxa"/>
            <w:shd w:val="clear" w:color="auto" w:fill="auto"/>
            <w:vAlign w:val="center"/>
          </w:tcPr>
          <w:p w14:paraId="0FF24E8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0.046</w:t>
            </w:r>
          </w:p>
        </w:tc>
        <w:tc>
          <w:tcPr>
            <w:tcW w:w="3441" w:type="dxa"/>
            <w:shd w:val="clear" w:color="auto" w:fill="auto"/>
            <w:vAlign w:val="center"/>
          </w:tcPr>
          <w:p w14:paraId="5DBA4A8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0.694</w:t>
            </w:r>
          </w:p>
        </w:tc>
      </w:tr>
      <w:tr w14:paraId="4D742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9F23B4F">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40</w:t>
            </w:r>
          </w:p>
        </w:tc>
        <w:tc>
          <w:tcPr>
            <w:tcW w:w="2998" w:type="dxa"/>
            <w:shd w:val="clear" w:color="auto" w:fill="auto"/>
            <w:vAlign w:val="center"/>
          </w:tcPr>
          <w:p w14:paraId="0CDA304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0.042</w:t>
            </w:r>
          </w:p>
        </w:tc>
        <w:tc>
          <w:tcPr>
            <w:tcW w:w="3441" w:type="dxa"/>
            <w:shd w:val="clear" w:color="auto" w:fill="auto"/>
            <w:vAlign w:val="center"/>
          </w:tcPr>
          <w:p w14:paraId="2979C5F7">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0.661</w:t>
            </w:r>
          </w:p>
        </w:tc>
      </w:tr>
      <w:tr w14:paraId="33BA8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D54C7E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41</w:t>
            </w:r>
          </w:p>
        </w:tc>
        <w:tc>
          <w:tcPr>
            <w:tcW w:w="2998" w:type="dxa"/>
            <w:shd w:val="clear" w:color="auto" w:fill="auto"/>
            <w:vAlign w:val="center"/>
          </w:tcPr>
          <w:p w14:paraId="38859F2B">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0.040</w:t>
            </w:r>
          </w:p>
        </w:tc>
        <w:tc>
          <w:tcPr>
            <w:tcW w:w="3441" w:type="dxa"/>
            <w:shd w:val="clear" w:color="auto" w:fill="auto"/>
            <w:vAlign w:val="center"/>
          </w:tcPr>
          <w:p w14:paraId="7937FB9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0.630</w:t>
            </w:r>
          </w:p>
        </w:tc>
      </w:tr>
      <w:tr w14:paraId="71E28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4E549C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42</w:t>
            </w:r>
          </w:p>
        </w:tc>
        <w:tc>
          <w:tcPr>
            <w:tcW w:w="2998" w:type="dxa"/>
            <w:shd w:val="clear" w:color="auto" w:fill="auto"/>
            <w:vAlign w:val="center"/>
          </w:tcPr>
          <w:p w14:paraId="3B4C0DF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0.037</w:t>
            </w:r>
          </w:p>
        </w:tc>
        <w:tc>
          <w:tcPr>
            <w:tcW w:w="3441" w:type="dxa"/>
            <w:shd w:val="clear" w:color="auto" w:fill="auto"/>
            <w:vAlign w:val="center"/>
          </w:tcPr>
          <w:p w14:paraId="6FC193A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0.601</w:t>
            </w:r>
          </w:p>
        </w:tc>
      </w:tr>
      <w:tr w14:paraId="0F87E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1AC0B63C">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43</w:t>
            </w:r>
          </w:p>
        </w:tc>
        <w:tc>
          <w:tcPr>
            <w:tcW w:w="2998" w:type="dxa"/>
            <w:shd w:val="clear" w:color="auto" w:fill="auto"/>
            <w:vAlign w:val="center"/>
          </w:tcPr>
          <w:p w14:paraId="6E1BD62A">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0.035</w:t>
            </w:r>
          </w:p>
        </w:tc>
        <w:tc>
          <w:tcPr>
            <w:tcW w:w="3441" w:type="dxa"/>
            <w:shd w:val="clear" w:color="auto" w:fill="auto"/>
            <w:vAlign w:val="center"/>
          </w:tcPr>
          <w:p w14:paraId="3CF3F63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0.575</w:t>
            </w:r>
          </w:p>
        </w:tc>
      </w:tr>
      <w:tr w14:paraId="47FE5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C44AC59">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44</w:t>
            </w:r>
          </w:p>
        </w:tc>
        <w:tc>
          <w:tcPr>
            <w:tcW w:w="2998" w:type="dxa"/>
            <w:shd w:val="clear" w:color="auto" w:fill="auto"/>
            <w:vAlign w:val="center"/>
          </w:tcPr>
          <w:p w14:paraId="2194B6D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0.032</w:t>
            </w:r>
          </w:p>
        </w:tc>
        <w:tc>
          <w:tcPr>
            <w:tcW w:w="3441" w:type="dxa"/>
            <w:shd w:val="clear" w:color="auto" w:fill="auto"/>
            <w:vAlign w:val="center"/>
          </w:tcPr>
          <w:p w14:paraId="6136135D">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0.550</w:t>
            </w:r>
          </w:p>
        </w:tc>
      </w:tr>
      <w:tr w14:paraId="4D979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3B47DB3">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45</w:t>
            </w:r>
          </w:p>
        </w:tc>
        <w:tc>
          <w:tcPr>
            <w:tcW w:w="2998" w:type="dxa"/>
            <w:shd w:val="clear" w:color="auto" w:fill="auto"/>
            <w:vAlign w:val="center"/>
          </w:tcPr>
          <w:p w14:paraId="3E46DB46">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0.030</w:t>
            </w:r>
          </w:p>
        </w:tc>
        <w:tc>
          <w:tcPr>
            <w:tcW w:w="3441" w:type="dxa"/>
            <w:shd w:val="clear" w:color="auto" w:fill="auto"/>
            <w:vAlign w:val="center"/>
          </w:tcPr>
          <w:p w14:paraId="3F56DC74">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0.526</w:t>
            </w:r>
          </w:p>
        </w:tc>
      </w:tr>
      <w:tr w14:paraId="23255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BBDF1B2">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46</w:t>
            </w:r>
          </w:p>
        </w:tc>
        <w:tc>
          <w:tcPr>
            <w:tcW w:w="2998" w:type="dxa"/>
            <w:shd w:val="clear" w:color="auto" w:fill="auto"/>
            <w:vAlign w:val="center"/>
          </w:tcPr>
          <w:p w14:paraId="50EE0A70">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0.029</w:t>
            </w:r>
          </w:p>
        </w:tc>
        <w:tc>
          <w:tcPr>
            <w:tcW w:w="3441" w:type="dxa"/>
            <w:shd w:val="clear" w:color="auto" w:fill="auto"/>
            <w:vAlign w:val="center"/>
          </w:tcPr>
          <w:p w14:paraId="57133D2F">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0.504</w:t>
            </w:r>
          </w:p>
        </w:tc>
      </w:tr>
      <w:tr w14:paraId="5FEC3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6A6F1FE6">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47</w:t>
            </w:r>
          </w:p>
        </w:tc>
        <w:tc>
          <w:tcPr>
            <w:tcW w:w="2998" w:type="dxa"/>
            <w:shd w:val="clear" w:color="auto" w:fill="auto"/>
            <w:vAlign w:val="center"/>
          </w:tcPr>
          <w:p w14:paraId="4427ACE5">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0.027</w:t>
            </w:r>
          </w:p>
        </w:tc>
        <w:tc>
          <w:tcPr>
            <w:tcW w:w="3441" w:type="dxa"/>
            <w:shd w:val="clear" w:color="auto" w:fill="auto"/>
            <w:vAlign w:val="center"/>
          </w:tcPr>
          <w:p w14:paraId="4120AE1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0.484</w:t>
            </w:r>
          </w:p>
        </w:tc>
      </w:tr>
      <w:tr w14:paraId="02BAB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033FF8EB">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48</w:t>
            </w:r>
          </w:p>
        </w:tc>
        <w:tc>
          <w:tcPr>
            <w:tcW w:w="2998" w:type="dxa"/>
            <w:shd w:val="clear" w:color="auto" w:fill="auto"/>
            <w:vAlign w:val="center"/>
          </w:tcPr>
          <w:p w14:paraId="483D089E">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0.025</w:t>
            </w:r>
          </w:p>
        </w:tc>
        <w:tc>
          <w:tcPr>
            <w:tcW w:w="3441" w:type="dxa"/>
            <w:shd w:val="clear" w:color="auto" w:fill="auto"/>
            <w:vAlign w:val="center"/>
          </w:tcPr>
          <w:p w14:paraId="6880668C">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0.464</w:t>
            </w:r>
          </w:p>
        </w:tc>
      </w:tr>
      <w:tr w14:paraId="75F93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4FB34205">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49</w:t>
            </w:r>
          </w:p>
        </w:tc>
        <w:tc>
          <w:tcPr>
            <w:tcW w:w="2998" w:type="dxa"/>
            <w:shd w:val="clear" w:color="auto" w:fill="auto"/>
            <w:vAlign w:val="center"/>
          </w:tcPr>
          <w:p w14:paraId="2AF8917D">
            <w:pPr>
              <w:pStyle w:val="48"/>
              <w:rPr>
                <w:rFonts w:hint="default" w:ascii="Times New Roman" w:hAnsi="Times New Roman" w:eastAsia="宋体" w:cs="Times New Roman"/>
                <w:b w:val="0"/>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val="en-US" w:eastAsia="zh-CN"/>
                <w14:textFill>
                  <w14:solidFill>
                    <w14:schemeClr w14:val="tx1"/>
                  </w14:solidFill>
                </w14:textFill>
              </w:rPr>
              <w:t>0.024</w:t>
            </w:r>
          </w:p>
        </w:tc>
        <w:tc>
          <w:tcPr>
            <w:tcW w:w="3441" w:type="dxa"/>
            <w:shd w:val="clear" w:color="auto" w:fill="auto"/>
            <w:vAlign w:val="center"/>
          </w:tcPr>
          <w:p w14:paraId="1CF22076">
            <w:pPr>
              <w:pStyle w:val="48"/>
              <w:rPr>
                <w:rFonts w:hint="default" w:ascii="Times New Roman" w:hAnsi="Times New Roman" w:eastAsia="宋体" w:cs="Times New Roman"/>
                <w:b w:val="0"/>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val="en-US" w:eastAsia="zh-CN"/>
                <w14:textFill>
                  <w14:solidFill>
                    <w14:schemeClr w14:val="tx1"/>
                  </w14:solidFill>
                </w14:textFill>
              </w:rPr>
              <w:t>0.446</w:t>
            </w:r>
          </w:p>
        </w:tc>
      </w:tr>
      <w:tr w14:paraId="47978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2200" w:type="dxa"/>
            <w:vAlign w:val="center"/>
          </w:tcPr>
          <w:p w14:paraId="7568B987">
            <w:pPr>
              <w:pStyle w:val="7"/>
              <w:adjustRightInd w:val="0"/>
              <w:snapToGrid w:val="0"/>
              <w:spacing w:after="0"/>
              <w:ind w:left="0" w:leftChars="0" w:firstLine="0"/>
              <w:jc w:val="center"/>
              <w:outlineLvl w:val="9"/>
              <w:rPr>
                <w:rFonts w:ascii="Times New Roman" w:hAnsi="Times New Roman" w:eastAsia="宋体"/>
                <w:bCs/>
                <w:color w:val="000000" w:themeColor="text1"/>
                <w:spacing w:val="0"/>
                <w:highlight w:val="none"/>
                <w14:textFill>
                  <w14:solidFill>
                    <w14:schemeClr w14:val="tx1"/>
                  </w14:solidFill>
                </w14:textFill>
              </w:rPr>
            </w:pPr>
            <w:r>
              <w:rPr>
                <w:rFonts w:ascii="Times New Roman" w:hAnsi="Times New Roman" w:eastAsia="宋体"/>
                <w:bCs/>
                <w:color w:val="000000" w:themeColor="text1"/>
                <w:spacing w:val="0"/>
                <w:highlight w:val="none"/>
                <w14:textFill>
                  <w14:solidFill>
                    <w14:schemeClr w14:val="tx1"/>
                  </w14:solidFill>
                </w14:textFill>
              </w:rPr>
              <w:t>50</w:t>
            </w:r>
          </w:p>
        </w:tc>
        <w:tc>
          <w:tcPr>
            <w:tcW w:w="2998" w:type="dxa"/>
            <w:shd w:val="clear" w:color="auto" w:fill="auto"/>
            <w:vAlign w:val="center"/>
          </w:tcPr>
          <w:p w14:paraId="4DA26B73">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0.023</w:t>
            </w:r>
          </w:p>
        </w:tc>
        <w:tc>
          <w:tcPr>
            <w:tcW w:w="3441" w:type="dxa"/>
            <w:shd w:val="clear" w:color="auto" w:fill="auto"/>
            <w:vAlign w:val="center"/>
          </w:tcPr>
          <w:p w14:paraId="6B00FAE8">
            <w:pPr>
              <w:pStyle w:val="48"/>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b w:val="0"/>
                <w:color w:val="000000" w:themeColor="text1"/>
                <w:vertAlign w:val="baseline"/>
                <w:lang w:eastAsia="zh-CN"/>
                <w14:textFill>
                  <w14:solidFill>
                    <w14:schemeClr w14:val="tx1"/>
                  </w14:solidFill>
                </w14:textFill>
              </w:rPr>
              <w:t>0.429</w:t>
            </w:r>
          </w:p>
        </w:tc>
      </w:tr>
      <w:tr w14:paraId="005C0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2200" w:type="dxa"/>
            <w:vAlign w:val="center"/>
          </w:tcPr>
          <w:p w14:paraId="1A9B1478">
            <w:pPr>
              <w:pStyle w:val="7"/>
              <w:adjustRightInd w:val="0"/>
              <w:snapToGrid w:val="0"/>
              <w:spacing w:after="0"/>
              <w:ind w:left="0" w:leftChars="0" w:firstLine="0"/>
              <w:jc w:val="center"/>
              <w:outlineLvl w:val="9"/>
              <w:rPr>
                <w:rFonts w:ascii="Times New Roman" w:hAnsi="Times New Roman" w:eastAsia="宋体"/>
                <w:b/>
                <w:color w:val="000000" w:themeColor="text1"/>
                <w:spacing w:val="0"/>
                <w:highlight w:val="none"/>
                <w14:textFill>
                  <w14:solidFill>
                    <w14:schemeClr w14:val="tx1"/>
                  </w14:solidFill>
                </w14:textFill>
              </w:rPr>
            </w:pPr>
            <w:r>
              <w:rPr>
                <w:rFonts w:ascii="Times New Roman" w:hAnsi="Times New Roman" w:eastAsia="宋体"/>
                <w:b/>
                <w:bCs/>
                <w:color w:val="000000" w:themeColor="text1"/>
                <w:spacing w:val="0"/>
                <w:highlight w:val="none"/>
                <w14:textFill>
                  <w14:solidFill>
                    <w14:schemeClr w14:val="tx1"/>
                  </w14:solidFill>
                </w14:textFill>
              </w:rPr>
              <w:t>最大值</w:t>
            </w:r>
          </w:p>
        </w:tc>
        <w:tc>
          <w:tcPr>
            <w:tcW w:w="2998" w:type="dxa"/>
            <w:vAlign w:val="center"/>
          </w:tcPr>
          <w:p w14:paraId="4A6D07D3">
            <w:pPr>
              <w:widowControl/>
              <w:jc w:val="center"/>
              <w:textAlignment w:val="center"/>
              <w:outlineLvl w:val="9"/>
              <w:rPr>
                <w:rFonts w:hint="default"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1.041</w:t>
            </w:r>
          </w:p>
        </w:tc>
        <w:tc>
          <w:tcPr>
            <w:tcW w:w="3441" w:type="dxa"/>
            <w:vAlign w:val="center"/>
          </w:tcPr>
          <w:p w14:paraId="53D20763">
            <w:pPr>
              <w:widowControl/>
              <w:jc w:val="center"/>
              <w:textAlignment w:val="center"/>
              <w:outlineLvl w:val="9"/>
              <w:rPr>
                <w:rFonts w:hint="default" w:ascii="Times New Roman" w:hAnsi="Times New Roman" w:eastAsia="宋体"/>
                <w:b/>
                <w:bCs/>
                <w:color w:val="000000" w:themeColor="text1"/>
                <w:spacing w:val="0"/>
                <w:kern w:val="0"/>
                <w:szCs w:val="21"/>
                <w:highlight w:val="none"/>
                <w:lang w:val="en-US" w:eastAsia="zh-CN" w:bidi="ar"/>
                <w14:textFill>
                  <w14:solidFill>
                    <w14:schemeClr w14:val="tx1"/>
                  </w14:solidFill>
                </w14:textFill>
              </w:rPr>
            </w:pPr>
            <w:r>
              <w:rPr>
                <w:rFonts w:hint="eastAsia"/>
                <w:b/>
                <w:bCs/>
                <w:color w:val="000000" w:themeColor="text1"/>
                <w:vertAlign w:val="baseline"/>
                <w:lang w:eastAsia="zh-CN"/>
                <w14:textFill>
                  <w14:solidFill>
                    <w14:schemeClr w14:val="tx1"/>
                  </w14:solidFill>
                </w14:textFill>
              </w:rPr>
              <w:t>10.817</w:t>
            </w:r>
          </w:p>
        </w:tc>
      </w:tr>
    </w:tbl>
    <w:p w14:paraId="14D9DC85">
      <w:pPr>
        <w:spacing w:line="360" w:lineRule="auto"/>
        <w:jc w:val="center"/>
        <w:rPr>
          <w:rFonts w:ascii="Times New Roman" w:hAnsi="Times New Roman" w:eastAsia="宋体"/>
          <w:b/>
          <w:bCs/>
          <w:color w:val="000000" w:themeColor="text1"/>
          <w:spacing w:val="0"/>
          <w:sz w:val="24"/>
          <w:highlight w:val="none"/>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drawing>
          <wp:inline distT="0" distB="0" distL="114300" distR="114300">
            <wp:extent cx="2549525" cy="1752600"/>
            <wp:effectExtent l="0" t="0" r="3175" b="0"/>
            <wp:docPr id="72" name="图片 72" descr="9115a78c-f25e-4e08-b998-2e7d4588f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9115a78c-f25e-4e08-b998-2e7d4588fe29"/>
                    <pic:cNvPicPr>
                      <a:picLocks noChangeAspect="1"/>
                    </pic:cNvPicPr>
                  </pic:nvPicPr>
                  <pic:blipFill>
                    <a:blip r:embed="rId26"/>
                    <a:stretch>
                      <a:fillRect/>
                    </a:stretch>
                  </pic:blipFill>
                  <pic:spPr>
                    <a:xfrm>
                      <a:off x="0" y="0"/>
                      <a:ext cx="2549525" cy="1752600"/>
                    </a:xfrm>
                    <a:prstGeom prst="rect">
                      <a:avLst/>
                    </a:prstGeom>
                  </pic:spPr>
                </pic:pic>
              </a:graphicData>
            </a:graphic>
          </wp:inline>
        </w:drawing>
      </w:r>
      <w:r>
        <w:rPr>
          <w:rFonts w:ascii="Times New Roman" w:hAnsi="Times New Roman" w:eastAsia="宋体"/>
          <w:b/>
          <w:bCs/>
          <w:color w:val="000000" w:themeColor="text1"/>
          <w:spacing w:val="0"/>
          <w:sz w:val="24"/>
          <w:highlight w:val="none"/>
          <w14:textFill>
            <w14:solidFill>
              <w14:schemeClr w14:val="tx1"/>
            </w14:solidFill>
          </w14:textFill>
        </w:rPr>
        <w:drawing>
          <wp:inline distT="0" distB="0" distL="114300" distR="114300">
            <wp:extent cx="2660015" cy="1809115"/>
            <wp:effectExtent l="0" t="0" r="6985" b="635"/>
            <wp:docPr id="71" name="图片 71" descr="05524218-da96-4ea7-8bfd-1bfdd535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05524218-da96-4ea7-8bfd-1bfdd5357172"/>
                    <pic:cNvPicPr>
                      <a:picLocks noChangeAspect="1"/>
                    </pic:cNvPicPr>
                  </pic:nvPicPr>
                  <pic:blipFill>
                    <a:blip r:embed="rId27"/>
                    <a:stretch>
                      <a:fillRect/>
                    </a:stretch>
                  </pic:blipFill>
                  <pic:spPr>
                    <a:xfrm>
                      <a:off x="0" y="0"/>
                      <a:ext cx="2660015" cy="1809115"/>
                    </a:xfrm>
                    <a:prstGeom prst="rect">
                      <a:avLst/>
                    </a:prstGeom>
                  </pic:spPr>
                </pic:pic>
              </a:graphicData>
            </a:graphic>
          </wp:inline>
        </w:drawing>
      </w:r>
    </w:p>
    <w:p w14:paraId="083DBC9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b/>
          <w:bCs/>
          <w:color w:val="000000" w:themeColor="text1"/>
          <w:spacing w:val="0"/>
          <w:sz w:val="24"/>
          <w:highlight w:val="none"/>
          <w:lang w:eastAsia="zh-CN"/>
          <w14:textFill>
            <w14:solidFill>
              <w14:schemeClr w14:val="tx1"/>
            </w14:solidFill>
          </w14:textFill>
        </w:rPr>
      </w:pPr>
      <w:r>
        <w:rPr>
          <w:rFonts w:ascii="Times New Roman" w:hAnsi="Times New Roman" w:eastAsia="宋体"/>
          <w:b/>
          <w:bCs/>
          <w:color w:val="000000" w:themeColor="text1"/>
          <w:spacing w:val="0"/>
          <w:sz w:val="24"/>
          <w:highlight w:val="none"/>
          <w14:textFill>
            <w14:solidFill>
              <w14:schemeClr w14:val="tx1"/>
            </w14:solidFill>
          </w14:textFill>
        </w:rPr>
        <w:t>专题图</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7</w:t>
      </w:r>
      <w:r>
        <w:rPr>
          <w:rFonts w:ascii="Times New Roman" w:hAnsi="Times New Roman" w:eastAsia="宋体"/>
          <w:b/>
          <w:bCs/>
          <w:color w:val="000000" w:themeColor="text1"/>
          <w:spacing w:val="0"/>
          <w:sz w:val="24"/>
          <w:highlight w:val="none"/>
          <w14:textFill>
            <w14:solidFill>
              <w14:schemeClr w14:val="tx1"/>
            </w14:solidFill>
          </w14:textFill>
        </w:rPr>
        <w:t xml:space="preserve">  </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单</w:t>
      </w:r>
      <w:r>
        <w:rPr>
          <w:rFonts w:ascii="Times New Roman" w:hAnsi="Times New Roman" w:eastAsia="宋体"/>
          <w:b/>
          <w:bCs/>
          <w:color w:val="000000" w:themeColor="text1"/>
          <w:spacing w:val="0"/>
          <w:sz w:val="24"/>
          <w:highlight w:val="none"/>
          <w14:textFill>
            <w14:solidFill>
              <w14:schemeClr w14:val="tx1"/>
            </w14:solidFill>
          </w14:textFill>
        </w:rPr>
        <w:t>回路架空线路的工频电场</w:t>
      </w:r>
      <w:r>
        <w:rPr>
          <w:rFonts w:hint="eastAsia" w:ascii="Times New Roman" w:hAnsi="Times New Roman" w:eastAsia="宋体"/>
          <w:b/>
          <w:bCs/>
          <w:color w:val="000000" w:themeColor="text1"/>
          <w:spacing w:val="0"/>
          <w:sz w:val="24"/>
          <w:highlight w:val="none"/>
          <w:lang w:eastAsia="zh-CN"/>
          <w14:textFill>
            <w14:solidFill>
              <w14:schemeClr w14:val="tx1"/>
            </w14:solidFill>
          </w14:textFill>
        </w:rPr>
        <w:t>、</w:t>
      </w:r>
      <w:r>
        <w:rPr>
          <w:rFonts w:hint="eastAsia" w:ascii="Times New Roman" w:hAnsi="Times New Roman" w:eastAsia="宋体"/>
          <w:b/>
          <w:bCs/>
          <w:color w:val="000000" w:themeColor="text1"/>
          <w:spacing w:val="0"/>
          <w:sz w:val="24"/>
          <w:highlight w:val="none"/>
          <w:lang w:val="en-US" w:eastAsia="zh-CN"/>
          <w14:textFill>
            <w14:solidFill>
              <w14:schemeClr w14:val="tx1"/>
            </w14:solidFill>
          </w14:textFill>
        </w:rPr>
        <w:t>工频磁感应</w:t>
      </w:r>
      <w:r>
        <w:rPr>
          <w:rFonts w:ascii="Times New Roman" w:hAnsi="Times New Roman" w:eastAsia="宋体"/>
          <w:b/>
          <w:bCs/>
          <w:color w:val="000000" w:themeColor="text1"/>
          <w:spacing w:val="0"/>
          <w:sz w:val="24"/>
          <w:highlight w:val="none"/>
          <w14:textFill>
            <w14:solidFill>
              <w14:schemeClr w14:val="tx1"/>
            </w14:solidFill>
          </w14:textFill>
        </w:rPr>
        <w:t>强度分布曲线图</w:t>
      </w:r>
    </w:p>
    <w:p w14:paraId="628888DA">
      <w:pPr>
        <w:spacing w:line="360" w:lineRule="auto"/>
        <w:ind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由专题表</w:t>
      </w:r>
      <w:r>
        <w:rPr>
          <w:rFonts w:hint="eastAsia" w:ascii="Times New Roman" w:hAnsi="Times New Roman" w:eastAsia="宋体"/>
          <w:bCs/>
          <w:color w:val="000000" w:themeColor="text1"/>
          <w:spacing w:val="0"/>
          <w:sz w:val="24"/>
          <w:highlight w:val="none"/>
          <w14:textFill>
            <w14:solidFill>
              <w14:schemeClr w14:val="tx1"/>
            </w14:solidFill>
          </w14:textFill>
        </w:rPr>
        <w:t>1</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4</w:t>
      </w:r>
      <w:r>
        <w:rPr>
          <w:rFonts w:ascii="Times New Roman" w:hAnsi="Times New Roman" w:eastAsia="宋体"/>
          <w:bCs/>
          <w:color w:val="000000" w:themeColor="text1"/>
          <w:spacing w:val="0"/>
          <w:sz w:val="24"/>
          <w:highlight w:val="none"/>
          <w14:textFill>
            <w14:solidFill>
              <w14:schemeClr w14:val="tx1"/>
            </w14:solidFill>
          </w14:textFill>
        </w:rPr>
        <w:t>和专题图</w:t>
      </w:r>
      <w:r>
        <w:rPr>
          <w:rFonts w:hint="eastAsia"/>
          <w:bCs/>
          <w:color w:val="000000" w:themeColor="text1"/>
          <w:spacing w:val="0"/>
          <w:sz w:val="24"/>
          <w:highlight w:val="none"/>
          <w:lang w:val="en-US" w:eastAsia="zh-CN"/>
          <w14:textFill>
            <w14:solidFill>
              <w14:schemeClr w14:val="tx1"/>
            </w14:solidFill>
          </w14:textFill>
        </w:rPr>
        <w:t>7</w:t>
      </w:r>
      <w:r>
        <w:rPr>
          <w:rFonts w:ascii="Times New Roman" w:hAnsi="Times New Roman" w:eastAsia="宋体"/>
          <w:bCs/>
          <w:color w:val="000000" w:themeColor="text1"/>
          <w:spacing w:val="0"/>
          <w:sz w:val="24"/>
          <w:highlight w:val="none"/>
          <w14:textFill>
            <w14:solidFill>
              <w14:schemeClr w14:val="tx1"/>
            </w14:solidFill>
          </w14:textFill>
        </w:rPr>
        <w:t>可以看出：</w:t>
      </w:r>
    </w:p>
    <w:p w14:paraId="3C053B51">
      <w:pPr>
        <w:pStyle w:val="7"/>
        <w:spacing w:after="0" w:line="360" w:lineRule="auto"/>
        <w:ind w:left="0" w:leftChars="0" w:firstLine="480" w:firstLineChars="200"/>
        <w:outlineLvl w:val="9"/>
        <w:rPr>
          <w:rFonts w:ascii="Times New Roman" w:hAnsi="Times New Roman" w:eastAsia="宋体"/>
          <w:bCs/>
          <w:color w:val="000000" w:themeColor="text1"/>
          <w:spacing w:val="0"/>
          <w:sz w:val="24"/>
          <w:highlight w:val="none"/>
          <w14:textFill>
            <w14:solidFill>
              <w14:schemeClr w14:val="tx1"/>
            </w14:solidFill>
          </w14:textFill>
        </w:rPr>
      </w:pPr>
      <w:r>
        <w:rPr>
          <w:rFonts w:ascii="Times New Roman" w:hAnsi="Times New Roman" w:eastAsia="宋体"/>
          <w:bCs/>
          <w:color w:val="000000" w:themeColor="text1"/>
          <w:spacing w:val="0"/>
          <w:sz w:val="24"/>
          <w:highlight w:val="none"/>
          <w14:textFill>
            <w14:solidFill>
              <w14:schemeClr w14:val="tx1"/>
            </w14:solidFill>
          </w14:textFill>
        </w:rPr>
        <w:t>110千伏</w:t>
      </w:r>
      <w:r>
        <w:rPr>
          <w:rFonts w:hint="eastAsia" w:ascii="Times New Roman" w:hAnsi="Times New Roman" w:eastAsia="宋体"/>
          <w:bCs/>
          <w:color w:val="000000" w:themeColor="text1"/>
          <w:spacing w:val="0"/>
          <w:sz w:val="24"/>
          <w:highlight w:val="none"/>
          <w14:textFill>
            <w14:solidFill>
              <w14:schemeClr w14:val="tx1"/>
            </w14:solidFill>
          </w14:textFill>
        </w:rPr>
        <w:t>单</w:t>
      </w:r>
      <w:r>
        <w:rPr>
          <w:rFonts w:ascii="Times New Roman" w:hAnsi="Times New Roman" w:eastAsia="宋体"/>
          <w:bCs/>
          <w:color w:val="000000" w:themeColor="text1"/>
          <w:spacing w:val="0"/>
          <w:sz w:val="24"/>
          <w:highlight w:val="none"/>
          <w14:textFill>
            <w14:solidFill>
              <w14:schemeClr w14:val="tx1"/>
            </w14:solidFill>
          </w14:textFill>
        </w:rPr>
        <w:t>回路架空线路在导线最低允许高度</w:t>
      </w:r>
      <w:r>
        <w:rPr>
          <w:rFonts w:hint="eastAsia"/>
          <w:bCs/>
          <w:color w:val="000000" w:themeColor="text1"/>
          <w:spacing w:val="0"/>
          <w:sz w:val="24"/>
          <w:highlight w:val="none"/>
          <w:lang w:val="en-US" w:eastAsia="zh-CN"/>
          <w14:textFill>
            <w14:solidFill>
              <w14:schemeClr w14:val="tx1"/>
            </w14:solidFill>
          </w14:textFill>
        </w:rPr>
        <w:t>1</w:t>
      </w:r>
      <w:r>
        <w:rPr>
          <w:rFonts w:ascii="Times New Roman" w:hAnsi="Times New Roman" w:eastAsia="宋体"/>
          <w:bCs/>
          <w:color w:val="000000" w:themeColor="text1"/>
          <w:spacing w:val="0"/>
          <w:sz w:val="24"/>
          <w:highlight w:val="none"/>
          <w14:textFill>
            <w14:solidFill>
              <w14:schemeClr w14:val="tx1"/>
            </w14:solidFill>
          </w14:textFill>
        </w:rPr>
        <w:t>0m，地面高度1.5m高度，其工频电场强度最大值为</w:t>
      </w:r>
      <w:r>
        <w:rPr>
          <w:rFonts w:hint="eastAsia"/>
          <w:bCs/>
          <w:color w:val="000000" w:themeColor="text1"/>
          <w:spacing w:val="0"/>
          <w:sz w:val="24"/>
          <w:highlight w:val="none"/>
          <w:lang w:val="en-US" w:eastAsia="zh-CN"/>
          <w14:textFill>
            <w14:solidFill>
              <w14:schemeClr w14:val="tx1"/>
            </w14:solidFill>
          </w14:textFill>
        </w:rPr>
        <w:t>1.041</w:t>
      </w:r>
      <w:r>
        <w:rPr>
          <w:rFonts w:ascii="Times New Roman" w:hAnsi="Times New Roman" w:eastAsia="宋体"/>
          <w:bCs/>
          <w:color w:val="000000" w:themeColor="text1"/>
          <w:spacing w:val="0"/>
          <w:sz w:val="24"/>
          <w:highlight w:val="none"/>
          <w14:textFill>
            <w14:solidFill>
              <w14:schemeClr w14:val="tx1"/>
            </w14:solidFill>
          </w14:textFill>
        </w:rPr>
        <w:t>kV/m，出现在距离线路走廊中心地面投影</w:t>
      </w:r>
      <w:r>
        <w:rPr>
          <w:rFonts w:hint="eastAsia"/>
          <w:bCs/>
          <w:color w:val="000000" w:themeColor="text1"/>
          <w:spacing w:val="0"/>
          <w:sz w:val="24"/>
          <w:highlight w:val="none"/>
          <w:lang w:val="en-US" w:eastAsia="zh-CN"/>
          <w14:textFill>
            <w14:solidFill>
              <w14:schemeClr w14:val="tx1"/>
            </w14:solidFill>
          </w14:textFill>
        </w:rPr>
        <w:t>6</w:t>
      </w:r>
      <w:r>
        <w:rPr>
          <w:rFonts w:ascii="Times New Roman" w:hAnsi="Times New Roman" w:eastAsia="宋体"/>
          <w:bCs/>
          <w:color w:val="000000" w:themeColor="text1"/>
          <w:spacing w:val="0"/>
          <w:sz w:val="24"/>
          <w:highlight w:val="none"/>
          <w14:textFill>
            <w14:solidFill>
              <w14:schemeClr w14:val="tx1"/>
            </w14:solidFill>
          </w14:textFill>
        </w:rPr>
        <w:t>m处</w:t>
      </w:r>
      <w:r>
        <w:rPr>
          <w:rFonts w:hint="eastAsia" w:ascii="Times New Roman" w:hAnsi="Times New Roman" w:eastAsia="宋体"/>
          <w:bCs/>
          <w:color w:val="000000" w:themeColor="text1"/>
          <w:spacing w:val="0"/>
          <w:sz w:val="24"/>
          <w:highlight w:val="none"/>
          <w:lang w:eastAsia="zh-CN"/>
          <w14:textFill>
            <w14:solidFill>
              <w14:schemeClr w14:val="tx1"/>
            </w14:solidFill>
          </w14:textFill>
        </w:rPr>
        <w:t>，</w:t>
      </w:r>
      <w:r>
        <w:rPr>
          <w:rFonts w:ascii="Times New Roman" w:hAnsi="Times New Roman" w:eastAsia="宋体"/>
          <w:bCs/>
          <w:color w:val="000000" w:themeColor="text1"/>
          <w:spacing w:val="0"/>
          <w:sz w:val="24"/>
          <w:highlight w:val="none"/>
          <w14:textFill>
            <w14:solidFill>
              <w14:schemeClr w14:val="tx1"/>
            </w14:solidFill>
          </w14:textFill>
        </w:rPr>
        <w:t>工频磁感应强度最大值为</w:t>
      </w:r>
      <w:r>
        <w:rPr>
          <w:rFonts w:hint="eastAsia" w:ascii="Times New Roman" w:hAnsi="Times New Roman" w:eastAsia="宋体"/>
          <w:bCs/>
          <w:color w:val="000000" w:themeColor="text1"/>
          <w:spacing w:val="0"/>
          <w:sz w:val="24"/>
          <w:highlight w:val="none"/>
          <w:lang w:val="en-US" w:eastAsia="zh-CN"/>
          <w14:textFill>
            <w14:solidFill>
              <w14:schemeClr w14:val="tx1"/>
            </w14:solidFill>
          </w14:textFill>
        </w:rPr>
        <w:t>10.817</w:t>
      </w:r>
      <w:r>
        <w:rPr>
          <w:rFonts w:ascii="Times New Roman" w:hAnsi="Times New Roman" w:eastAsia="宋体"/>
          <w:bCs/>
          <w:color w:val="000000" w:themeColor="text1"/>
          <w:spacing w:val="0"/>
          <w:sz w:val="24"/>
          <w:highlight w:val="none"/>
          <w14:textFill>
            <w14:solidFill>
              <w14:schemeClr w14:val="tx1"/>
            </w14:solidFill>
          </w14:textFill>
        </w:rPr>
        <w:t>μT，出现在距离线路走廊中心地面投影</w:t>
      </w:r>
      <w:r>
        <w:rPr>
          <w:rFonts w:hint="eastAsia"/>
          <w:bCs/>
          <w:color w:val="000000" w:themeColor="text1"/>
          <w:spacing w:val="0"/>
          <w:sz w:val="24"/>
          <w:highlight w:val="none"/>
          <w:lang w:val="en-US" w:eastAsia="zh-CN"/>
          <w14:textFill>
            <w14:solidFill>
              <w14:schemeClr w14:val="tx1"/>
            </w14:solidFill>
          </w14:textFill>
        </w:rPr>
        <w:t>0</w:t>
      </w:r>
      <w:r>
        <w:rPr>
          <w:rFonts w:ascii="Times New Roman" w:hAnsi="Times New Roman" w:eastAsia="宋体"/>
          <w:bCs/>
          <w:color w:val="000000" w:themeColor="text1"/>
          <w:spacing w:val="0"/>
          <w:sz w:val="24"/>
          <w:highlight w:val="none"/>
          <w14:textFill>
            <w14:solidFill>
              <w14:schemeClr w14:val="tx1"/>
            </w14:solidFill>
          </w14:textFill>
        </w:rPr>
        <w:t>m处。</w:t>
      </w:r>
      <w:r>
        <w:rPr>
          <w:rFonts w:hint="eastAsia"/>
          <w:bCs/>
          <w:color w:val="000000" w:themeColor="text1"/>
          <w:spacing w:val="0"/>
          <w:sz w:val="24"/>
          <w:highlight w:val="none"/>
          <w:lang w:val="en-US" w:eastAsia="zh-CN"/>
          <w14:textFill>
            <w14:solidFill>
              <w14:schemeClr w14:val="tx1"/>
            </w14:solidFill>
          </w14:textFill>
        </w:rPr>
        <w:t>即本项目</w:t>
      </w:r>
      <w:r>
        <w:rPr>
          <w:rFonts w:ascii="Times New Roman" w:hAnsi="Times New Roman" w:eastAsia="宋体"/>
          <w:bCs/>
          <w:color w:val="000000" w:themeColor="text1"/>
          <w:spacing w:val="0"/>
          <w:sz w:val="24"/>
          <w:highlight w:val="none"/>
          <w14:textFill>
            <w14:solidFill>
              <w14:schemeClr w14:val="tx1"/>
            </w14:solidFill>
          </w14:textFill>
        </w:rPr>
        <w:t>110千伏</w:t>
      </w:r>
      <w:r>
        <w:rPr>
          <w:rFonts w:hint="eastAsia" w:ascii="Times New Roman" w:hAnsi="Times New Roman" w:eastAsia="宋体"/>
          <w:bCs/>
          <w:color w:val="000000" w:themeColor="text1"/>
          <w:spacing w:val="0"/>
          <w:sz w:val="24"/>
          <w:highlight w:val="none"/>
          <w14:textFill>
            <w14:solidFill>
              <w14:schemeClr w14:val="tx1"/>
            </w14:solidFill>
          </w14:textFill>
        </w:rPr>
        <w:t>单</w:t>
      </w:r>
      <w:r>
        <w:rPr>
          <w:rFonts w:ascii="Times New Roman" w:hAnsi="Times New Roman" w:eastAsia="宋体"/>
          <w:bCs/>
          <w:color w:val="000000" w:themeColor="text1"/>
          <w:spacing w:val="0"/>
          <w:sz w:val="24"/>
          <w:highlight w:val="none"/>
          <w14:textFill>
            <w14:solidFill>
              <w14:schemeClr w14:val="tx1"/>
            </w14:solidFill>
          </w14:textFill>
        </w:rPr>
        <w:t>回路架空线路</w:t>
      </w:r>
      <w:r>
        <w:rPr>
          <w:rFonts w:ascii="Times New Roman" w:hAnsi="Times New Roman" w:eastAsia="宋体"/>
          <w:color w:val="000000" w:themeColor="text1"/>
          <w:spacing w:val="0"/>
          <w:sz w:val="24"/>
          <w:highlight w:val="none"/>
          <w14:textFill>
            <w14:solidFill>
              <w14:schemeClr w14:val="tx1"/>
            </w14:solidFill>
          </w14:textFill>
        </w:rPr>
        <w:t>产生的</w:t>
      </w:r>
      <w:r>
        <w:rPr>
          <w:rFonts w:ascii="Times New Roman" w:hAnsi="Times New Roman" w:eastAsia="宋体"/>
          <w:bCs/>
          <w:color w:val="000000" w:themeColor="text1"/>
          <w:spacing w:val="0"/>
          <w:sz w:val="24"/>
          <w:highlight w:val="none"/>
          <w14:textFill>
            <w14:solidFill>
              <w14:schemeClr w14:val="tx1"/>
            </w14:solidFill>
          </w14:textFill>
        </w:rPr>
        <w:t>工频电场强度、工频磁感应强度均</w:t>
      </w:r>
      <w:r>
        <w:rPr>
          <w:rFonts w:ascii="Times New Roman" w:hAnsi="Times New Roman" w:eastAsia="宋体"/>
          <w:color w:val="000000" w:themeColor="text1"/>
          <w:spacing w:val="0"/>
          <w:sz w:val="24"/>
          <w:highlight w:val="none"/>
          <w14:textFill>
            <w14:solidFill>
              <w14:schemeClr w14:val="tx1"/>
            </w14:solidFill>
          </w14:textFill>
        </w:rPr>
        <w:t>小于《电磁环境控制限值》（GB8702-2014）规定的公众曝露控制限值工频电场强度10kV/m（线路经过道路等场所）</w:t>
      </w:r>
      <w:r>
        <w:rPr>
          <w:rFonts w:ascii="Times New Roman" w:hAnsi="Times New Roman" w:eastAsia="宋体"/>
          <w:bCs/>
          <w:color w:val="000000" w:themeColor="text1"/>
          <w:spacing w:val="0"/>
          <w:sz w:val="24"/>
          <w:highlight w:val="none"/>
          <w14:textFill>
            <w14:solidFill>
              <w14:schemeClr w14:val="tx1"/>
            </w14:solidFill>
          </w14:textFill>
        </w:rPr>
        <w:t>公众曝露控制限值工频磁感应强度100μT的标准限值。</w:t>
      </w:r>
    </w:p>
    <w:p w14:paraId="2FC169A5">
      <w:pPr>
        <w:spacing w:line="360" w:lineRule="auto"/>
        <w:ind w:firstLine="482" w:firstLineChars="200"/>
        <w:outlineLvl w:val="9"/>
        <w:rPr>
          <w:rFonts w:ascii="Times New Roman" w:hAnsi="Times New Roman" w:eastAsia="宋体"/>
          <w:b/>
          <w:color w:val="000000" w:themeColor="text1"/>
          <w:spacing w:val="0"/>
          <w:kern w:val="0"/>
          <w:sz w:val="24"/>
          <w:highlight w:val="none"/>
          <w14:textFill>
            <w14:solidFill>
              <w14:schemeClr w14:val="tx1"/>
            </w14:solidFill>
          </w14:textFill>
        </w:rPr>
      </w:pPr>
      <w:r>
        <w:rPr>
          <w:rFonts w:ascii="Times New Roman" w:hAnsi="Times New Roman" w:eastAsia="宋体"/>
          <w:b/>
          <w:color w:val="000000" w:themeColor="text1"/>
          <w:spacing w:val="0"/>
          <w:kern w:val="0"/>
          <w:sz w:val="24"/>
          <w:highlight w:val="none"/>
          <w14:textFill>
            <w14:solidFill>
              <w14:schemeClr w14:val="tx1"/>
            </w14:solidFill>
          </w14:textFill>
        </w:rPr>
        <w:t>七、电磁环境敏感目标影响分析</w:t>
      </w:r>
    </w:p>
    <w:p w14:paraId="23189794">
      <w:pPr>
        <w:pStyle w:val="7"/>
        <w:spacing w:after="0" w:line="360" w:lineRule="auto"/>
        <w:ind w:left="0" w:leftChars="0" w:firstLine="480" w:firstLineChars="200"/>
        <w:outlineLvl w:val="9"/>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pPr>
      <w:r>
        <w:rPr>
          <w:rFonts w:hint="eastAsia" w:cs="Times New Roman"/>
          <w:color w:val="000000" w:themeColor="text1"/>
          <w:spacing w:val="0"/>
          <w:sz w:val="24"/>
          <w:highlight w:val="none"/>
          <w:lang w:val="en-US" w:eastAsia="zh-CN"/>
          <w14:textFill>
            <w14:solidFill>
              <w14:schemeClr w14:val="tx1"/>
            </w14:solidFill>
          </w14:textFill>
        </w:rPr>
        <w:t>本项目敏感目标均位于架空双回路段。</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pacing w:val="0"/>
          <w:sz w:val="24"/>
          <w:highlight w:val="none"/>
          <w14:textFill>
            <w14:solidFill>
              <w14:schemeClr w14:val="tx1"/>
            </w14:solidFill>
          </w14:textFill>
        </w:rPr>
        <w:t>模式预测，</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本项目输电线路环境敏感目标</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（居住功能）</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预测参数及预测结果见</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专题表1</w:t>
      </w:r>
      <w:r>
        <w:rPr>
          <w:rFonts w:hint="eastAsia" w:cs="Times New Roman"/>
          <w:color w:val="000000" w:themeColor="text1"/>
          <w:spacing w:val="0"/>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p>
    <w:p w14:paraId="31922539">
      <w:pPr>
        <w:pStyle w:val="7"/>
        <w:spacing w:after="0" w:line="360" w:lineRule="auto"/>
        <w:ind w:left="0" w:leftChars="0" w:firstLine="0"/>
        <w:jc w:val="center"/>
        <w:outlineLvl w:val="9"/>
        <w:rPr>
          <w:rFonts w:hint="default" w:ascii="Times New Roman" w:hAnsi="Times New Roman" w:eastAsia="宋体" w:cs="Times New Roman"/>
          <w:b/>
          <w:bCs/>
          <w:color w:val="000000" w:themeColor="text1"/>
          <w:spacing w:val="0"/>
          <w:sz w:val="24"/>
          <w:highlight w:val="none"/>
          <w14:textFill>
            <w14:solidFill>
              <w14:schemeClr w14:val="tx1"/>
            </w14:solidFill>
          </w14:textFill>
        </w:rPr>
      </w:pPr>
      <w:r>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t>专题</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表</w:t>
      </w:r>
      <w:r>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t>1</w:t>
      </w:r>
      <w:r>
        <w:rPr>
          <w:rFonts w:hint="eastAsia" w:cs="Times New Roman"/>
          <w:b/>
          <w:bCs/>
          <w:color w:val="000000" w:themeColor="text1"/>
          <w:spacing w:val="0"/>
          <w:sz w:val="24"/>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spacing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本项目</w:t>
      </w:r>
      <w:r>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t>输电线路</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运行时对</w:t>
      </w:r>
      <w:r>
        <w:rPr>
          <w:rFonts w:hint="default" w:ascii="Times New Roman" w:hAnsi="Times New Roman" w:eastAsia="宋体" w:cs="Times New Roman"/>
          <w:b/>
          <w:bCs/>
          <w:color w:val="000000" w:themeColor="text1"/>
          <w:spacing w:val="0"/>
          <w:sz w:val="24"/>
          <w:highlight w:val="none"/>
          <w:lang w:eastAsia="zh-CN"/>
          <w14:textFill>
            <w14:solidFill>
              <w14:schemeClr w14:val="tx1"/>
            </w14:solidFill>
          </w14:textFill>
        </w:rPr>
        <w:t>电磁</w:t>
      </w:r>
      <w:r>
        <w:rPr>
          <w:rFonts w:hint="default" w:ascii="Times New Roman" w:hAnsi="Times New Roman" w:eastAsia="宋体" w:cs="Times New Roman"/>
          <w:b/>
          <w:bCs/>
          <w:color w:val="000000" w:themeColor="text1"/>
          <w:spacing w:val="0"/>
          <w:sz w:val="24"/>
          <w:highlight w:val="none"/>
          <w14:textFill>
            <w14:solidFill>
              <w14:schemeClr w14:val="tx1"/>
            </w14:solidFill>
          </w14:textFill>
        </w:rPr>
        <w:t>环境敏感目标的影响分析</w:t>
      </w:r>
    </w:p>
    <w:tbl>
      <w:tblPr>
        <w:tblStyle w:val="26"/>
        <w:tblW w:w="88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193"/>
        <w:gridCol w:w="1314"/>
        <w:gridCol w:w="1176"/>
        <w:gridCol w:w="1102"/>
        <w:gridCol w:w="942"/>
        <w:gridCol w:w="1363"/>
        <w:gridCol w:w="1293"/>
      </w:tblGrid>
      <w:tr w14:paraId="7D5A7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noWrap w:val="0"/>
            <w:vAlign w:val="center"/>
          </w:tcPr>
          <w:p w14:paraId="5D9CC2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序号</w:t>
            </w:r>
          </w:p>
        </w:tc>
        <w:tc>
          <w:tcPr>
            <w:tcW w:w="1193" w:type="dxa"/>
            <w:noWrap w:val="0"/>
            <w:vAlign w:val="center"/>
          </w:tcPr>
          <w:p w14:paraId="5134CF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val="0"/>
                <w:bCs/>
                <w:color w:val="000000" w:themeColor="text1"/>
                <w:spacing w:val="0"/>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lang w:eastAsia="zh-CN"/>
                <w14:textFill>
                  <w14:solidFill>
                    <w14:schemeClr w14:val="tx1"/>
                  </w14:solidFill>
                </w14:textFill>
              </w:rPr>
              <w:t>敏感</w:t>
            </w: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目标名称</w:t>
            </w:r>
          </w:p>
        </w:tc>
        <w:tc>
          <w:tcPr>
            <w:tcW w:w="1314" w:type="dxa"/>
            <w:noWrap w:val="0"/>
            <w:vAlign w:val="center"/>
          </w:tcPr>
          <w:p w14:paraId="3672DC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距离线路边导线最近距离（m）</w:t>
            </w:r>
          </w:p>
        </w:tc>
        <w:tc>
          <w:tcPr>
            <w:tcW w:w="1176" w:type="dxa"/>
            <w:noWrap w:val="0"/>
            <w:vAlign w:val="center"/>
          </w:tcPr>
          <w:p w14:paraId="12CF9B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距离走廊中心线距离</w:t>
            </w: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（m）</w:t>
            </w:r>
          </w:p>
        </w:tc>
        <w:tc>
          <w:tcPr>
            <w:tcW w:w="1102" w:type="dxa"/>
            <w:noWrap w:val="0"/>
            <w:vAlign w:val="center"/>
          </w:tcPr>
          <w:p w14:paraId="6B77E1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导线架设高度（m）</w:t>
            </w:r>
          </w:p>
        </w:tc>
        <w:tc>
          <w:tcPr>
            <w:tcW w:w="942" w:type="dxa"/>
            <w:noWrap w:val="0"/>
            <w:vAlign w:val="center"/>
          </w:tcPr>
          <w:p w14:paraId="1F689F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预测高度（m）</w:t>
            </w:r>
          </w:p>
        </w:tc>
        <w:tc>
          <w:tcPr>
            <w:tcW w:w="1363" w:type="dxa"/>
            <w:noWrap w:val="0"/>
            <w:vAlign w:val="center"/>
          </w:tcPr>
          <w:p w14:paraId="64E982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工频电场强度（kV/m）</w:t>
            </w:r>
          </w:p>
        </w:tc>
        <w:tc>
          <w:tcPr>
            <w:tcW w:w="1293" w:type="dxa"/>
            <w:noWrap w:val="0"/>
            <w:vAlign w:val="center"/>
          </w:tcPr>
          <w:p w14:paraId="5B740D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14:textFill>
                  <w14:solidFill>
                    <w14:schemeClr w14:val="tx1"/>
                  </w14:solidFill>
                </w14:textFill>
              </w:rPr>
              <w:t>工频磁感应强度（μT）</w:t>
            </w:r>
          </w:p>
        </w:tc>
      </w:tr>
      <w:tr w14:paraId="0E952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noWrap w:val="0"/>
            <w:vAlign w:val="center"/>
          </w:tcPr>
          <w:p w14:paraId="2E4D3F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w:t>
            </w:r>
          </w:p>
        </w:tc>
        <w:tc>
          <w:tcPr>
            <w:tcW w:w="1193" w:type="dxa"/>
            <w:shd w:val="clear" w:color="auto" w:fill="auto"/>
            <w:noWrap w:val="0"/>
            <w:vAlign w:val="center"/>
          </w:tcPr>
          <w:p w14:paraId="48C8C8E8">
            <w:pPr>
              <w:adjustRightInd w:val="0"/>
              <w:snapToGrid w:val="0"/>
              <w:jc w:val="center"/>
              <w:outlineLvl w:val="9"/>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1314" w:type="dxa"/>
            <w:noWrap w:val="0"/>
            <w:vAlign w:val="center"/>
          </w:tcPr>
          <w:p w14:paraId="761B981E">
            <w:pPr>
              <w:spacing w:line="300" w:lineRule="exact"/>
              <w:jc w:val="center"/>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20</w:t>
            </w:r>
          </w:p>
        </w:tc>
        <w:tc>
          <w:tcPr>
            <w:tcW w:w="1176" w:type="dxa"/>
            <w:noWrap w:val="0"/>
            <w:vAlign w:val="center"/>
          </w:tcPr>
          <w:p w14:paraId="3E09EB92">
            <w:pPr>
              <w:spacing w:line="300" w:lineRule="exact"/>
              <w:jc w:val="center"/>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15.3</w:t>
            </w:r>
          </w:p>
        </w:tc>
        <w:tc>
          <w:tcPr>
            <w:tcW w:w="1102" w:type="dxa"/>
            <w:noWrap w:val="0"/>
            <w:vAlign w:val="center"/>
          </w:tcPr>
          <w:p w14:paraId="7F6EE8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cs="Times New Roman"/>
                <w:b w:val="0"/>
                <w:bCs/>
                <w:color w:val="000000" w:themeColor="text1"/>
                <w:spacing w:val="0"/>
                <w:szCs w:val="21"/>
                <w:highlight w:val="none"/>
                <w:lang w:val="en-US" w:eastAsia="zh-CN"/>
                <w14:textFill>
                  <w14:solidFill>
                    <w14:schemeClr w14:val="tx1"/>
                  </w14:solidFill>
                </w14:textFill>
              </w:rPr>
              <w:t>10</w:t>
            </w:r>
          </w:p>
        </w:tc>
        <w:tc>
          <w:tcPr>
            <w:tcW w:w="942" w:type="dxa"/>
            <w:noWrap w:val="0"/>
            <w:vAlign w:val="center"/>
          </w:tcPr>
          <w:p w14:paraId="27362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1.5</w:t>
            </w:r>
          </w:p>
        </w:tc>
        <w:tc>
          <w:tcPr>
            <w:tcW w:w="1363" w:type="dxa"/>
            <w:noWrap w:val="0"/>
            <w:vAlign w:val="center"/>
          </w:tcPr>
          <w:p w14:paraId="3FF9D9B1">
            <w:pPr>
              <w:pStyle w:val="48"/>
              <w:ind w:firstLine="0" w:firstLineChars="0"/>
              <w:outlineLvl w:val="9"/>
              <w:rPr>
                <w:rFonts w:hint="default"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pPr>
            <w:r>
              <w:rPr>
                <w:rFonts w:hint="eastAsia"/>
                <w:color w:val="000000" w:themeColor="text1"/>
                <w:spacing w:val="0"/>
                <w:kern w:val="2"/>
                <w:sz w:val="21"/>
                <w:szCs w:val="21"/>
                <w:vertAlign w:val="baseline"/>
                <w:lang w:val="en-US" w:eastAsia="zh-CN" w:bidi="ar-SA"/>
                <w14:textFill>
                  <w14:solidFill>
                    <w14:schemeClr w14:val="tx1"/>
                  </w14:solidFill>
                </w14:textFill>
              </w:rPr>
              <w:t>0.474</w:t>
            </w:r>
          </w:p>
        </w:tc>
        <w:tc>
          <w:tcPr>
            <w:tcW w:w="1293" w:type="dxa"/>
            <w:noWrap w:val="0"/>
            <w:vAlign w:val="center"/>
          </w:tcPr>
          <w:p w14:paraId="5209F31E">
            <w:pPr>
              <w:pStyle w:val="48"/>
              <w:ind w:firstLine="0" w:firstLineChars="0"/>
              <w:outlineLvl w:val="9"/>
              <w:rPr>
                <w:rFonts w:hint="default"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pPr>
            <w:r>
              <w:rPr>
                <w:rFonts w:hint="eastAsia"/>
                <w:color w:val="000000" w:themeColor="text1"/>
                <w:spacing w:val="0"/>
                <w:kern w:val="2"/>
                <w:sz w:val="21"/>
                <w:szCs w:val="21"/>
                <w:vertAlign w:val="baseline"/>
                <w:lang w:val="en-US" w:eastAsia="zh-CN" w:bidi="ar-SA"/>
                <w14:textFill>
                  <w14:solidFill>
                    <w14:schemeClr w14:val="tx1"/>
                  </w14:solidFill>
                </w14:textFill>
              </w:rPr>
              <w:t>3.61</w:t>
            </w:r>
          </w:p>
        </w:tc>
      </w:tr>
      <w:tr w14:paraId="02C74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noWrap w:val="0"/>
            <w:vAlign w:val="center"/>
          </w:tcPr>
          <w:p w14:paraId="4D7812D0">
            <w:pPr>
              <w:spacing w:beforeLines="0" w:afterLines="0"/>
              <w:jc w:val="center"/>
              <w:outlineLvl w:val="9"/>
              <w:rPr>
                <w:rFonts w:hint="eastAsia" w:ascii="Times New Roman" w:hAnsi="Times New Roman" w:eastAsia="宋体"/>
                <w:color w:val="000000" w:themeColor="text1"/>
                <w:spacing w:val="0"/>
                <w:kern w:val="2"/>
                <w:sz w:val="22"/>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sz w:val="22"/>
                <w:szCs w:val="24"/>
                <w:highlight w:val="none"/>
                <w14:textFill>
                  <w14:solidFill>
                    <w14:schemeClr w14:val="tx1"/>
                  </w14:solidFill>
                </w14:textFill>
              </w:rPr>
              <w:t>2</w:t>
            </w:r>
          </w:p>
        </w:tc>
        <w:tc>
          <w:tcPr>
            <w:tcW w:w="1193" w:type="dxa"/>
            <w:shd w:val="clear" w:color="auto" w:fill="auto"/>
            <w:noWrap w:val="0"/>
            <w:vAlign w:val="center"/>
          </w:tcPr>
          <w:p w14:paraId="06B199BB">
            <w:pPr>
              <w:adjustRightInd w:val="0"/>
              <w:snapToGrid w:val="0"/>
              <w:jc w:val="center"/>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1314" w:type="dxa"/>
            <w:noWrap w:val="0"/>
            <w:vAlign w:val="center"/>
          </w:tcPr>
          <w:p w14:paraId="4793C765">
            <w:pPr>
              <w:spacing w:line="300" w:lineRule="exact"/>
              <w:jc w:val="center"/>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22</w:t>
            </w:r>
          </w:p>
        </w:tc>
        <w:tc>
          <w:tcPr>
            <w:tcW w:w="1176" w:type="dxa"/>
            <w:noWrap w:val="0"/>
            <w:vAlign w:val="center"/>
          </w:tcPr>
          <w:p w14:paraId="60680E78">
            <w:pPr>
              <w:spacing w:line="300" w:lineRule="exact"/>
              <w:jc w:val="center"/>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17.3</w:t>
            </w:r>
          </w:p>
        </w:tc>
        <w:tc>
          <w:tcPr>
            <w:tcW w:w="1102" w:type="dxa"/>
            <w:noWrap w:val="0"/>
            <w:vAlign w:val="center"/>
          </w:tcPr>
          <w:p w14:paraId="48B016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cs="Times New Roman"/>
                <w:b w:val="0"/>
                <w:bCs/>
                <w:color w:val="000000" w:themeColor="text1"/>
                <w:spacing w:val="0"/>
                <w:szCs w:val="21"/>
                <w:highlight w:val="none"/>
                <w:lang w:val="en-US" w:eastAsia="zh-CN"/>
                <w14:textFill>
                  <w14:solidFill>
                    <w14:schemeClr w14:val="tx1"/>
                  </w14:solidFill>
                </w14:textFill>
              </w:rPr>
              <w:t>10</w:t>
            </w:r>
          </w:p>
        </w:tc>
        <w:tc>
          <w:tcPr>
            <w:tcW w:w="942" w:type="dxa"/>
            <w:noWrap w:val="0"/>
            <w:vAlign w:val="center"/>
          </w:tcPr>
          <w:p w14:paraId="50CAF7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1.5</w:t>
            </w:r>
          </w:p>
        </w:tc>
        <w:tc>
          <w:tcPr>
            <w:tcW w:w="1363" w:type="dxa"/>
            <w:noWrap w:val="0"/>
            <w:vAlign w:val="center"/>
          </w:tcPr>
          <w:p w14:paraId="4A15AA84">
            <w:pPr>
              <w:pStyle w:val="48"/>
              <w:ind w:firstLine="0" w:firstLineChars="0"/>
              <w:outlineLvl w:val="9"/>
              <w:rPr>
                <w:rFonts w:hint="default"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pPr>
            <w:r>
              <w:rPr>
                <w:rFonts w:hint="eastAsia"/>
                <w:color w:val="000000" w:themeColor="text1"/>
                <w:spacing w:val="0"/>
                <w:kern w:val="2"/>
                <w:sz w:val="21"/>
                <w:szCs w:val="21"/>
                <w:vertAlign w:val="baseline"/>
                <w:lang w:val="en-US" w:eastAsia="zh-CN" w:bidi="ar-SA"/>
                <w14:textFill>
                  <w14:solidFill>
                    <w14:schemeClr w14:val="tx1"/>
                  </w14:solidFill>
                </w14:textFill>
              </w:rPr>
              <w:t>0.370</w:t>
            </w:r>
          </w:p>
        </w:tc>
        <w:tc>
          <w:tcPr>
            <w:tcW w:w="1293" w:type="dxa"/>
            <w:noWrap w:val="0"/>
            <w:vAlign w:val="center"/>
          </w:tcPr>
          <w:p w14:paraId="2AFF32C0">
            <w:pPr>
              <w:pStyle w:val="48"/>
              <w:ind w:firstLine="0" w:firstLineChars="0"/>
              <w:outlineLvl w:val="9"/>
              <w:rPr>
                <w:rFonts w:hint="default"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pPr>
            <w:r>
              <w:rPr>
                <w:rFonts w:hint="eastAsia"/>
                <w:color w:val="000000" w:themeColor="text1"/>
                <w:spacing w:val="0"/>
                <w:kern w:val="2"/>
                <w:sz w:val="21"/>
                <w:szCs w:val="21"/>
                <w:vertAlign w:val="baseline"/>
                <w:lang w:val="en-US" w:eastAsia="zh-CN" w:bidi="ar-SA"/>
                <w14:textFill>
                  <w14:solidFill>
                    <w14:schemeClr w14:val="tx1"/>
                  </w14:solidFill>
                </w14:textFill>
              </w:rPr>
              <w:t>2.98</w:t>
            </w:r>
          </w:p>
        </w:tc>
      </w:tr>
      <w:tr w14:paraId="5042C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noWrap w:val="0"/>
            <w:vAlign w:val="center"/>
          </w:tcPr>
          <w:p w14:paraId="2CA993F3">
            <w:pPr>
              <w:spacing w:beforeLines="0" w:afterLines="0"/>
              <w:jc w:val="center"/>
              <w:outlineLvl w:val="9"/>
              <w:rPr>
                <w:rFonts w:hint="eastAsia" w:ascii="Times New Roman" w:hAnsi="Times New Roman" w:eastAsia="宋体"/>
                <w:color w:val="000000" w:themeColor="text1"/>
                <w:spacing w:val="0"/>
                <w:kern w:val="2"/>
                <w:sz w:val="22"/>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sz w:val="22"/>
                <w:szCs w:val="24"/>
                <w:highlight w:val="none"/>
                <w14:textFill>
                  <w14:solidFill>
                    <w14:schemeClr w14:val="tx1"/>
                  </w14:solidFill>
                </w14:textFill>
              </w:rPr>
              <w:t>3</w:t>
            </w:r>
          </w:p>
        </w:tc>
        <w:tc>
          <w:tcPr>
            <w:tcW w:w="1193" w:type="dxa"/>
            <w:shd w:val="clear" w:color="auto" w:fill="auto"/>
            <w:noWrap w:val="0"/>
            <w:vAlign w:val="center"/>
          </w:tcPr>
          <w:p w14:paraId="744F8148">
            <w:pPr>
              <w:adjustRightInd w:val="0"/>
              <w:snapToGrid w:val="0"/>
              <w:jc w:val="center"/>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1314" w:type="dxa"/>
            <w:noWrap w:val="0"/>
            <w:vAlign w:val="center"/>
          </w:tcPr>
          <w:p w14:paraId="783ADE0C">
            <w:pPr>
              <w:spacing w:line="300" w:lineRule="exact"/>
              <w:jc w:val="center"/>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19</w:t>
            </w:r>
          </w:p>
        </w:tc>
        <w:tc>
          <w:tcPr>
            <w:tcW w:w="1176" w:type="dxa"/>
            <w:noWrap w:val="0"/>
            <w:vAlign w:val="center"/>
          </w:tcPr>
          <w:p w14:paraId="392A35A3">
            <w:pPr>
              <w:spacing w:line="300" w:lineRule="exact"/>
              <w:jc w:val="center"/>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14.3</w:t>
            </w:r>
          </w:p>
        </w:tc>
        <w:tc>
          <w:tcPr>
            <w:tcW w:w="1102" w:type="dxa"/>
            <w:noWrap w:val="0"/>
            <w:vAlign w:val="center"/>
          </w:tcPr>
          <w:p w14:paraId="3DFA6C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cs="Times New Roman"/>
                <w:b w:val="0"/>
                <w:bCs/>
                <w:color w:val="000000" w:themeColor="text1"/>
                <w:spacing w:val="0"/>
                <w:szCs w:val="21"/>
                <w:highlight w:val="none"/>
                <w:lang w:val="en-US" w:eastAsia="zh-CN"/>
                <w14:textFill>
                  <w14:solidFill>
                    <w14:schemeClr w14:val="tx1"/>
                  </w14:solidFill>
                </w14:textFill>
              </w:rPr>
              <w:t>10</w:t>
            </w:r>
          </w:p>
        </w:tc>
        <w:tc>
          <w:tcPr>
            <w:tcW w:w="942" w:type="dxa"/>
            <w:noWrap w:val="0"/>
            <w:vAlign w:val="center"/>
          </w:tcPr>
          <w:p w14:paraId="20DC66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1.5</w:t>
            </w:r>
          </w:p>
        </w:tc>
        <w:tc>
          <w:tcPr>
            <w:tcW w:w="1363" w:type="dxa"/>
            <w:noWrap w:val="0"/>
            <w:vAlign w:val="center"/>
          </w:tcPr>
          <w:p w14:paraId="5552C30F">
            <w:pPr>
              <w:pStyle w:val="48"/>
              <w:ind w:firstLine="0" w:firstLineChars="0"/>
              <w:outlineLvl w:val="9"/>
              <w:rPr>
                <w:rFonts w:hint="default"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t>0.</w:t>
            </w:r>
            <w:r>
              <w:rPr>
                <w:rFonts w:hint="eastAsia"/>
                <w:color w:val="000000" w:themeColor="text1"/>
                <w:spacing w:val="0"/>
                <w:kern w:val="2"/>
                <w:sz w:val="21"/>
                <w:szCs w:val="21"/>
                <w:vertAlign w:val="baseline"/>
                <w:lang w:val="en-US" w:eastAsia="zh-CN" w:bidi="ar-SA"/>
                <w14:textFill>
                  <w14:solidFill>
                    <w14:schemeClr w14:val="tx1"/>
                  </w14:solidFill>
                </w14:textFill>
              </w:rPr>
              <w:t>536</w:t>
            </w:r>
          </w:p>
        </w:tc>
        <w:tc>
          <w:tcPr>
            <w:tcW w:w="1293" w:type="dxa"/>
            <w:noWrap w:val="0"/>
            <w:vAlign w:val="center"/>
          </w:tcPr>
          <w:p w14:paraId="3C4BB192">
            <w:pPr>
              <w:pStyle w:val="48"/>
              <w:ind w:firstLine="0" w:firstLineChars="0"/>
              <w:outlineLvl w:val="9"/>
              <w:rPr>
                <w:rFonts w:hint="default"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pPr>
            <w:r>
              <w:rPr>
                <w:rFonts w:hint="eastAsia"/>
                <w:color w:val="000000" w:themeColor="text1"/>
                <w:spacing w:val="0"/>
                <w:kern w:val="2"/>
                <w:sz w:val="21"/>
                <w:szCs w:val="21"/>
                <w:vertAlign w:val="baseline"/>
                <w:lang w:val="en-US" w:eastAsia="zh-CN" w:bidi="ar-SA"/>
                <w14:textFill>
                  <w14:solidFill>
                    <w14:schemeClr w14:val="tx1"/>
                  </w14:solidFill>
                </w14:textFill>
              </w:rPr>
              <w:t>3.98</w:t>
            </w:r>
          </w:p>
        </w:tc>
      </w:tr>
      <w:tr w14:paraId="20239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noWrap w:val="0"/>
            <w:vAlign w:val="center"/>
          </w:tcPr>
          <w:p w14:paraId="041B4E4C">
            <w:pPr>
              <w:spacing w:beforeLines="0" w:afterLines="0"/>
              <w:jc w:val="center"/>
              <w:outlineLvl w:val="9"/>
              <w:rPr>
                <w:rFonts w:hint="eastAsia" w:ascii="Times New Roman" w:hAnsi="Times New Roman" w:eastAsia="宋体"/>
                <w:color w:val="000000" w:themeColor="text1"/>
                <w:spacing w:val="0"/>
                <w:kern w:val="2"/>
                <w:sz w:val="22"/>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0"/>
                <w:sz w:val="22"/>
                <w:szCs w:val="24"/>
                <w:highlight w:val="none"/>
                <w14:textFill>
                  <w14:solidFill>
                    <w14:schemeClr w14:val="tx1"/>
                  </w14:solidFill>
                </w14:textFill>
              </w:rPr>
              <w:t>4</w:t>
            </w:r>
          </w:p>
        </w:tc>
        <w:tc>
          <w:tcPr>
            <w:tcW w:w="1193" w:type="dxa"/>
            <w:shd w:val="clear" w:color="auto" w:fill="auto"/>
            <w:noWrap w:val="0"/>
            <w:vAlign w:val="center"/>
          </w:tcPr>
          <w:p w14:paraId="3304A646">
            <w:pPr>
              <w:adjustRightInd w:val="0"/>
              <w:snapToGrid w:val="0"/>
              <w:jc w:val="center"/>
              <w:outlineLvl w:val="9"/>
              <w:rPr>
                <w:rFonts w:hint="eastAsia"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w:t>
            </w:r>
          </w:p>
        </w:tc>
        <w:tc>
          <w:tcPr>
            <w:tcW w:w="1314" w:type="dxa"/>
            <w:noWrap w:val="0"/>
            <w:vAlign w:val="center"/>
          </w:tcPr>
          <w:p w14:paraId="18747938">
            <w:pPr>
              <w:spacing w:line="300" w:lineRule="exact"/>
              <w:jc w:val="center"/>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30</w:t>
            </w:r>
          </w:p>
        </w:tc>
        <w:tc>
          <w:tcPr>
            <w:tcW w:w="1176" w:type="dxa"/>
            <w:noWrap w:val="0"/>
            <w:vAlign w:val="center"/>
          </w:tcPr>
          <w:p w14:paraId="52901039">
            <w:pPr>
              <w:spacing w:line="300" w:lineRule="exact"/>
              <w:jc w:val="center"/>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25.3</w:t>
            </w:r>
          </w:p>
        </w:tc>
        <w:tc>
          <w:tcPr>
            <w:tcW w:w="1102" w:type="dxa"/>
            <w:noWrap w:val="0"/>
            <w:vAlign w:val="center"/>
          </w:tcPr>
          <w:p w14:paraId="01419B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eastAsia" w:cs="Times New Roman"/>
                <w:b w:val="0"/>
                <w:bCs/>
                <w:color w:val="000000" w:themeColor="text1"/>
                <w:spacing w:val="0"/>
                <w:szCs w:val="21"/>
                <w:highlight w:val="none"/>
                <w:lang w:val="en-US" w:eastAsia="zh-CN"/>
                <w14:textFill>
                  <w14:solidFill>
                    <w14:schemeClr w14:val="tx1"/>
                  </w14:solidFill>
                </w14:textFill>
              </w:rPr>
              <w:t>10</w:t>
            </w:r>
          </w:p>
        </w:tc>
        <w:tc>
          <w:tcPr>
            <w:tcW w:w="942" w:type="dxa"/>
            <w:noWrap w:val="0"/>
            <w:vAlign w:val="center"/>
          </w:tcPr>
          <w:p w14:paraId="124631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Cs w:val="21"/>
                <w:highlight w:val="none"/>
                <w:lang w:val="en-US" w:eastAsia="zh-CN"/>
                <w14:textFill>
                  <w14:solidFill>
                    <w14:schemeClr w14:val="tx1"/>
                  </w14:solidFill>
                </w14:textFill>
              </w:rPr>
              <w:t>1.5</w:t>
            </w:r>
          </w:p>
        </w:tc>
        <w:tc>
          <w:tcPr>
            <w:tcW w:w="1363" w:type="dxa"/>
            <w:noWrap w:val="0"/>
            <w:vAlign w:val="center"/>
          </w:tcPr>
          <w:p w14:paraId="7E7136D8">
            <w:pPr>
              <w:pStyle w:val="48"/>
              <w:ind w:firstLine="0" w:firstLineChars="0"/>
              <w:outlineLvl w:val="9"/>
              <w:rPr>
                <w:rFonts w:hint="default"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pPr>
            <w:r>
              <w:rPr>
                <w:rFonts w:hint="eastAsia"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t>0.</w:t>
            </w:r>
            <w:r>
              <w:rPr>
                <w:rFonts w:hint="eastAsia"/>
                <w:color w:val="000000" w:themeColor="text1"/>
                <w:spacing w:val="0"/>
                <w:kern w:val="2"/>
                <w:sz w:val="21"/>
                <w:szCs w:val="21"/>
                <w:vertAlign w:val="baseline"/>
                <w:lang w:val="en-US" w:eastAsia="zh-CN" w:bidi="ar-SA"/>
                <w14:textFill>
                  <w14:solidFill>
                    <w14:schemeClr w14:val="tx1"/>
                  </w14:solidFill>
                </w14:textFill>
              </w:rPr>
              <w:t>149</w:t>
            </w:r>
          </w:p>
        </w:tc>
        <w:tc>
          <w:tcPr>
            <w:tcW w:w="1293" w:type="dxa"/>
            <w:noWrap w:val="0"/>
            <w:vAlign w:val="center"/>
          </w:tcPr>
          <w:p w14:paraId="1D434A0E">
            <w:pPr>
              <w:pStyle w:val="48"/>
              <w:ind w:firstLine="0" w:firstLineChars="0"/>
              <w:outlineLvl w:val="9"/>
              <w:rPr>
                <w:rFonts w:hint="default" w:ascii="Times New Roman" w:hAnsi="Times New Roman" w:eastAsia="宋体"/>
                <w:color w:val="000000" w:themeColor="text1"/>
                <w:spacing w:val="0"/>
                <w:kern w:val="2"/>
                <w:sz w:val="21"/>
                <w:szCs w:val="21"/>
                <w:vertAlign w:val="baseline"/>
                <w:lang w:val="en-US" w:eastAsia="zh-CN" w:bidi="ar-SA"/>
                <w14:textFill>
                  <w14:solidFill>
                    <w14:schemeClr w14:val="tx1"/>
                  </w14:solidFill>
                </w14:textFill>
              </w:rPr>
            </w:pPr>
            <w:r>
              <w:rPr>
                <w:rFonts w:hint="eastAsia"/>
                <w:color w:val="000000" w:themeColor="text1"/>
                <w:spacing w:val="0"/>
                <w:kern w:val="2"/>
                <w:sz w:val="21"/>
                <w:szCs w:val="21"/>
                <w:vertAlign w:val="baseline"/>
                <w:lang w:val="en-US" w:eastAsia="zh-CN" w:bidi="ar-SA"/>
                <w14:textFill>
                  <w14:solidFill>
                    <w14:schemeClr w14:val="tx1"/>
                  </w14:solidFill>
                </w14:textFill>
              </w:rPr>
              <w:t>3.56</w:t>
            </w:r>
          </w:p>
        </w:tc>
      </w:tr>
    </w:tbl>
    <w:p w14:paraId="124F9C4D">
      <w:pPr>
        <w:spacing w:line="360" w:lineRule="auto"/>
        <w:ind w:firstLine="472" w:firstLineChars="196"/>
        <w:outlineLvl w:val="9"/>
        <w:rPr>
          <w:rFonts w:ascii="Times New Roman" w:hAnsi="Times New Roman" w:eastAsia="宋体"/>
          <w:b/>
          <w:color w:val="000000" w:themeColor="text1"/>
          <w:spacing w:val="0"/>
          <w:kern w:val="0"/>
          <w:sz w:val="24"/>
          <w:highlight w:val="none"/>
          <w14:textFill>
            <w14:solidFill>
              <w14:schemeClr w14:val="tx1"/>
            </w14:solidFill>
          </w14:textFill>
        </w:rPr>
      </w:pPr>
      <w:bookmarkStart w:id="19" w:name="_Toc17872"/>
      <w:r>
        <w:rPr>
          <w:rFonts w:ascii="Times New Roman" w:hAnsi="Times New Roman" w:eastAsia="宋体"/>
          <w:b/>
          <w:color w:val="000000" w:themeColor="text1"/>
          <w:spacing w:val="0"/>
          <w:kern w:val="0"/>
          <w:sz w:val="24"/>
          <w:highlight w:val="none"/>
          <w14:textFill>
            <w14:solidFill>
              <w14:schemeClr w14:val="tx1"/>
            </w14:solidFill>
          </w14:textFill>
        </w:rPr>
        <w:t>八、电磁环境专题评价结论</w:t>
      </w:r>
      <w:bookmarkEnd w:id="19"/>
    </w:p>
    <w:p w14:paraId="345FC0E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根据</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现状</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监测结果可知，</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本</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项目建设区域内，工频电场强度、工频磁感应强度均低于《电磁环境控制限值》（GB8702-2014）规定的4000V/m</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0</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k</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V/m和100μT</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控制</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限值。</w:t>
      </w:r>
    </w:p>
    <w:p w14:paraId="5CEBE62A">
      <w:pPr>
        <w:pStyle w:val="7"/>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根据模式预测结果可知，</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本项目输电线路</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经过非居民区及其附近，其工频电场强度</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工频磁感应强度均小于《电磁环境控制限值》（GB8702-2014）规定的工频电场强度10kV/m（线路经过耕地、园地、牧草地、畜禽饲养地、养殖水面、道路等场所）和工频磁感应强度100μT公众曝露控制限值。</w:t>
      </w:r>
    </w:p>
    <w:p w14:paraId="28F4027A">
      <w:pPr>
        <w:pStyle w:val="7"/>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根据模式预测结果可知，本项目</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输电线路经过</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环境敏感目标</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处</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其</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工频电场强度、工频磁</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感应</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强度均满足《电磁环境控制限值》（GB8702-2014）规定的4000V/m、100μT公众曝露控制限值。</w:t>
      </w:r>
    </w:p>
    <w:p w14:paraId="29FC656D">
      <w:pPr>
        <w:pStyle w:val="7"/>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综上所述，本项目电磁环境现状监测结果和电磁环境预测结果均满足《电磁环境控制限值》（GB8702-2014）中规定的相应</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控制</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限值，项目在充分落实环评提出的各项环保措施后，对区域电磁环境影响较小。</w:t>
      </w:r>
    </w:p>
    <w:p w14:paraId="0EBC3B1E">
      <w:pPr>
        <w:pStyle w:val="7"/>
        <w:spacing w:after="0" w:line="360" w:lineRule="auto"/>
        <w:outlineLvl w:val="9"/>
        <w:rPr>
          <w:rFonts w:ascii="Times New Roman" w:hAnsi="Times New Roman" w:eastAsia="宋体"/>
          <w:color w:val="000000" w:themeColor="text1"/>
          <w:spacing w:val="0"/>
          <w:highlight w:val="none"/>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029D6">
    <w:pPr>
      <w:pStyle w:val="16"/>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8664DE">
                          <w:pPr>
                            <w:pStyle w:val="16"/>
                            <w:rPr>
                              <w:rStyle w:val="30"/>
                              <w:sz w:val="21"/>
                              <w:szCs w:val="21"/>
                            </w:rPr>
                          </w:pPr>
                          <w:r>
                            <w:rPr>
                              <w:rStyle w:val="30"/>
                              <w:sz w:val="21"/>
                              <w:szCs w:val="21"/>
                            </w:rPr>
                            <w:t xml:space="preserve">—  </w:t>
                          </w:r>
                          <w:r>
                            <w:rPr>
                              <w:sz w:val="21"/>
                              <w:szCs w:val="21"/>
                            </w:rPr>
                            <w:fldChar w:fldCharType="begin"/>
                          </w:r>
                          <w:r>
                            <w:rPr>
                              <w:rStyle w:val="30"/>
                              <w:sz w:val="21"/>
                              <w:szCs w:val="21"/>
                            </w:rPr>
                            <w:instrText xml:space="preserve">PAGE  </w:instrText>
                          </w:r>
                          <w:r>
                            <w:rPr>
                              <w:sz w:val="21"/>
                              <w:szCs w:val="21"/>
                            </w:rPr>
                            <w:fldChar w:fldCharType="separate"/>
                          </w:r>
                          <w:r>
                            <w:rPr>
                              <w:rStyle w:val="30"/>
                              <w:sz w:val="21"/>
                              <w:szCs w:val="21"/>
                            </w:rPr>
                            <w:t>69</w:t>
                          </w:r>
                          <w:r>
                            <w:rPr>
                              <w:sz w:val="21"/>
                              <w:szCs w:val="21"/>
                            </w:rPr>
                            <w:fldChar w:fldCharType="end"/>
                          </w:r>
                          <w:r>
                            <w:rPr>
                              <w:rStyle w:val="30"/>
                              <w:sz w:val="21"/>
                              <w:szCs w:val="21"/>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3C8664DE">
                    <w:pPr>
                      <w:pStyle w:val="16"/>
                      <w:rPr>
                        <w:rStyle w:val="30"/>
                        <w:sz w:val="21"/>
                        <w:szCs w:val="21"/>
                      </w:rPr>
                    </w:pPr>
                    <w:r>
                      <w:rPr>
                        <w:rStyle w:val="30"/>
                        <w:sz w:val="21"/>
                        <w:szCs w:val="21"/>
                      </w:rPr>
                      <w:t xml:space="preserve">—  </w:t>
                    </w:r>
                    <w:r>
                      <w:rPr>
                        <w:sz w:val="21"/>
                        <w:szCs w:val="21"/>
                      </w:rPr>
                      <w:fldChar w:fldCharType="begin"/>
                    </w:r>
                    <w:r>
                      <w:rPr>
                        <w:rStyle w:val="30"/>
                        <w:sz w:val="21"/>
                        <w:szCs w:val="21"/>
                      </w:rPr>
                      <w:instrText xml:space="preserve">PAGE  </w:instrText>
                    </w:r>
                    <w:r>
                      <w:rPr>
                        <w:sz w:val="21"/>
                        <w:szCs w:val="21"/>
                      </w:rPr>
                      <w:fldChar w:fldCharType="separate"/>
                    </w:r>
                    <w:r>
                      <w:rPr>
                        <w:rStyle w:val="30"/>
                        <w:sz w:val="21"/>
                        <w:szCs w:val="21"/>
                      </w:rPr>
                      <w:t>69</w:t>
                    </w:r>
                    <w:r>
                      <w:rPr>
                        <w:sz w:val="21"/>
                        <w:szCs w:val="21"/>
                      </w:rPr>
                      <w:fldChar w:fldCharType="end"/>
                    </w:r>
                    <w:r>
                      <w:rPr>
                        <w:rStyle w:val="30"/>
                        <w:sz w:val="21"/>
                        <w:szCs w:val="21"/>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28B29">
    <w:pPr>
      <w:pStyle w:val="16"/>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401305">
                          <w:pPr>
                            <w:pStyle w:val="16"/>
                            <w:rPr>
                              <w:rStyle w:val="30"/>
                              <w:rFonts w:ascii="宋体" w:hAnsi="宋体"/>
                              <w:sz w:val="28"/>
                              <w:szCs w:val="28"/>
                            </w:rPr>
                          </w:pPr>
                          <w:r>
                            <w:rPr>
                              <w:rStyle w:val="30"/>
                              <w:sz w:val="21"/>
                              <w:szCs w:val="21"/>
                            </w:rPr>
                            <w:t xml:space="preserve">—  </w:t>
                          </w:r>
                          <w:r>
                            <w:rPr>
                              <w:sz w:val="21"/>
                              <w:szCs w:val="21"/>
                            </w:rPr>
                            <w:fldChar w:fldCharType="begin"/>
                          </w:r>
                          <w:r>
                            <w:rPr>
                              <w:rStyle w:val="30"/>
                              <w:sz w:val="21"/>
                              <w:szCs w:val="21"/>
                            </w:rPr>
                            <w:instrText xml:space="preserve">PAGE  </w:instrText>
                          </w:r>
                          <w:r>
                            <w:rPr>
                              <w:sz w:val="21"/>
                              <w:szCs w:val="21"/>
                            </w:rPr>
                            <w:fldChar w:fldCharType="separate"/>
                          </w:r>
                          <w:r>
                            <w:rPr>
                              <w:rStyle w:val="30"/>
                              <w:sz w:val="21"/>
                              <w:szCs w:val="21"/>
                            </w:rPr>
                            <w:t>89</w:t>
                          </w:r>
                          <w:r>
                            <w:rPr>
                              <w:sz w:val="21"/>
                              <w:szCs w:val="21"/>
                            </w:rPr>
                            <w:fldChar w:fldCharType="end"/>
                          </w:r>
                          <w:r>
                            <w:rPr>
                              <w:rStyle w:val="30"/>
                              <w:sz w:val="21"/>
                              <w:szCs w:val="21"/>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lUb8MBAACP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GVRvwwEAAI8DAAAOAAAAAAAAAAEAIAAAAB4BAABkcnMvZTJvRG9jLnhtbFBL&#10;BQYAAAAABgAGAFkBAABTBQAAAAA=&#10;">
              <v:fill on="f" focussize="0,0"/>
              <v:stroke on="f"/>
              <v:imagedata o:title=""/>
              <o:lock v:ext="edit" aspectratio="f"/>
              <v:textbox inset="0mm,0mm,0mm,0mm" style="mso-fit-shape-to-text:t;">
                <w:txbxContent>
                  <w:p w14:paraId="2A401305">
                    <w:pPr>
                      <w:pStyle w:val="16"/>
                      <w:rPr>
                        <w:rStyle w:val="30"/>
                        <w:rFonts w:ascii="宋体" w:hAnsi="宋体"/>
                        <w:sz w:val="28"/>
                        <w:szCs w:val="28"/>
                      </w:rPr>
                    </w:pPr>
                    <w:r>
                      <w:rPr>
                        <w:rStyle w:val="30"/>
                        <w:sz w:val="21"/>
                        <w:szCs w:val="21"/>
                      </w:rPr>
                      <w:t xml:space="preserve">—  </w:t>
                    </w:r>
                    <w:r>
                      <w:rPr>
                        <w:sz w:val="21"/>
                        <w:szCs w:val="21"/>
                      </w:rPr>
                      <w:fldChar w:fldCharType="begin"/>
                    </w:r>
                    <w:r>
                      <w:rPr>
                        <w:rStyle w:val="30"/>
                        <w:sz w:val="21"/>
                        <w:szCs w:val="21"/>
                      </w:rPr>
                      <w:instrText xml:space="preserve">PAGE  </w:instrText>
                    </w:r>
                    <w:r>
                      <w:rPr>
                        <w:sz w:val="21"/>
                        <w:szCs w:val="21"/>
                      </w:rPr>
                      <w:fldChar w:fldCharType="separate"/>
                    </w:r>
                    <w:r>
                      <w:rPr>
                        <w:rStyle w:val="30"/>
                        <w:sz w:val="21"/>
                        <w:szCs w:val="21"/>
                      </w:rPr>
                      <w:t>89</w:t>
                    </w:r>
                    <w:r>
                      <w:rPr>
                        <w:sz w:val="21"/>
                        <w:szCs w:val="21"/>
                      </w:rPr>
                      <w:fldChar w:fldCharType="end"/>
                    </w:r>
                    <w:r>
                      <w:rPr>
                        <w:rStyle w:val="30"/>
                        <w:sz w:val="21"/>
                        <w:szCs w:val="21"/>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8542B"/>
    <w:multiLevelType w:val="singleLevel"/>
    <w:tmpl w:val="8BE8542B"/>
    <w:lvl w:ilvl="0" w:tentative="0">
      <w:start w:val="4"/>
      <w:numFmt w:val="decimal"/>
      <w:suff w:val="nothing"/>
      <w:lvlText w:val="（%1）"/>
      <w:lvlJc w:val="left"/>
    </w:lvl>
  </w:abstractNum>
  <w:abstractNum w:abstractNumId="1">
    <w:nsid w:val="9E72A484"/>
    <w:multiLevelType w:val="singleLevel"/>
    <w:tmpl w:val="9E72A484"/>
    <w:lvl w:ilvl="0" w:tentative="0">
      <w:start w:val="2"/>
      <w:numFmt w:val="chineseCounting"/>
      <w:suff w:val="nothing"/>
      <w:lvlText w:val="%1、"/>
      <w:lvlJc w:val="left"/>
      <w:rPr>
        <w:rFonts w:hint="eastAsia"/>
      </w:rPr>
    </w:lvl>
  </w:abstractNum>
  <w:abstractNum w:abstractNumId="2">
    <w:nsid w:val="15C825E2"/>
    <w:multiLevelType w:val="singleLevel"/>
    <w:tmpl w:val="15C825E2"/>
    <w:lvl w:ilvl="0" w:tentative="0">
      <w:start w:val="1"/>
      <w:numFmt w:val="decimal"/>
      <w:suff w:val="nothing"/>
      <w:lvlText w:val="（%1）"/>
      <w:lvlJc w:val="left"/>
    </w:lvl>
  </w:abstractNum>
  <w:abstractNum w:abstractNumId="3">
    <w:nsid w:val="1A97B5E8"/>
    <w:multiLevelType w:val="singleLevel"/>
    <w:tmpl w:val="1A97B5E8"/>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4M2M4ZGExZWVmMzhiNGUxM2VjZDk4MTM3ZTFlMjEifQ=="/>
  </w:docVars>
  <w:rsids>
    <w:rsidRoot w:val="00172A27"/>
    <w:rsid w:val="0010325D"/>
    <w:rsid w:val="001063EC"/>
    <w:rsid w:val="00120C08"/>
    <w:rsid w:val="00172A27"/>
    <w:rsid w:val="002E4A22"/>
    <w:rsid w:val="003A39F6"/>
    <w:rsid w:val="00416146"/>
    <w:rsid w:val="00444EA8"/>
    <w:rsid w:val="005027C8"/>
    <w:rsid w:val="00562083"/>
    <w:rsid w:val="005C2D9C"/>
    <w:rsid w:val="005D08DD"/>
    <w:rsid w:val="005E301A"/>
    <w:rsid w:val="00632CFB"/>
    <w:rsid w:val="006F5AAD"/>
    <w:rsid w:val="0075377D"/>
    <w:rsid w:val="009147E8"/>
    <w:rsid w:val="009229F1"/>
    <w:rsid w:val="00A109CD"/>
    <w:rsid w:val="00A834FB"/>
    <w:rsid w:val="00B23913"/>
    <w:rsid w:val="00BB1B26"/>
    <w:rsid w:val="00C5668D"/>
    <w:rsid w:val="00CC5C1C"/>
    <w:rsid w:val="00CF237C"/>
    <w:rsid w:val="00D87D5D"/>
    <w:rsid w:val="011D6B04"/>
    <w:rsid w:val="013712F7"/>
    <w:rsid w:val="013E4434"/>
    <w:rsid w:val="01520632"/>
    <w:rsid w:val="015E042B"/>
    <w:rsid w:val="01A00EF6"/>
    <w:rsid w:val="01B864A6"/>
    <w:rsid w:val="01BF78D7"/>
    <w:rsid w:val="01CA3F1A"/>
    <w:rsid w:val="01DE1451"/>
    <w:rsid w:val="0217123B"/>
    <w:rsid w:val="02195557"/>
    <w:rsid w:val="02396688"/>
    <w:rsid w:val="025B2919"/>
    <w:rsid w:val="02602EF3"/>
    <w:rsid w:val="02744921"/>
    <w:rsid w:val="02B6415F"/>
    <w:rsid w:val="02C40969"/>
    <w:rsid w:val="02FA613C"/>
    <w:rsid w:val="031A4AA5"/>
    <w:rsid w:val="03252503"/>
    <w:rsid w:val="03376194"/>
    <w:rsid w:val="035406B0"/>
    <w:rsid w:val="03657DBC"/>
    <w:rsid w:val="0371321D"/>
    <w:rsid w:val="037151E1"/>
    <w:rsid w:val="037E25AD"/>
    <w:rsid w:val="0383299A"/>
    <w:rsid w:val="038669D1"/>
    <w:rsid w:val="03866F12"/>
    <w:rsid w:val="03B4688D"/>
    <w:rsid w:val="03C80B0E"/>
    <w:rsid w:val="03F86E92"/>
    <w:rsid w:val="03FC2B99"/>
    <w:rsid w:val="04065C31"/>
    <w:rsid w:val="04804BE5"/>
    <w:rsid w:val="04954AC7"/>
    <w:rsid w:val="04AE7130"/>
    <w:rsid w:val="04BE7F2F"/>
    <w:rsid w:val="04C251A8"/>
    <w:rsid w:val="04FB38F6"/>
    <w:rsid w:val="050F05C1"/>
    <w:rsid w:val="056E3AA7"/>
    <w:rsid w:val="057319E1"/>
    <w:rsid w:val="05777F55"/>
    <w:rsid w:val="058447E1"/>
    <w:rsid w:val="05A52CDB"/>
    <w:rsid w:val="05A811C2"/>
    <w:rsid w:val="05A960B1"/>
    <w:rsid w:val="05B1176C"/>
    <w:rsid w:val="05C02D3F"/>
    <w:rsid w:val="06007623"/>
    <w:rsid w:val="06274C65"/>
    <w:rsid w:val="062C77FD"/>
    <w:rsid w:val="06832F27"/>
    <w:rsid w:val="06967932"/>
    <w:rsid w:val="06C25303"/>
    <w:rsid w:val="06C31862"/>
    <w:rsid w:val="073701E0"/>
    <w:rsid w:val="0758155D"/>
    <w:rsid w:val="075B0E1E"/>
    <w:rsid w:val="075E5789"/>
    <w:rsid w:val="079113ED"/>
    <w:rsid w:val="07B37A92"/>
    <w:rsid w:val="08206641"/>
    <w:rsid w:val="08224BB1"/>
    <w:rsid w:val="085C5927"/>
    <w:rsid w:val="08A44F56"/>
    <w:rsid w:val="08A96734"/>
    <w:rsid w:val="08FC5D10"/>
    <w:rsid w:val="09273C99"/>
    <w:rsid w:val="0935539C"/>
    <w:rsid w:val="095E5D5B"/>
    <w:rsid w:val="09616F12"/>
    <w:rsid w:val="09722ECD"/>
    <w:rsid w:val="09A257B5"/>
    <w:rsid w:val="09AA50A6"/>
    <w:rsid w:val="09B72FD5"/>
    <w:rsid w:val="09EC5A5A"/>
    <w:rsid w:val="0A344626"/>
    <w:rsid w:val="0A735578"/>
    <w:rsid w:val="0A7B4003"/>
    <w:rsid w:val="0AA22ED1"/>
    <w:rsid w:val="0AB55FCE"/>
    <w:rsid w:val="0AB62AFB"/>
    <w:rsid w:val="0AE13189"/>
    <w:rsid w:val="0B1528F9"/>
    <w:rsid w:val="0B156206"/>
    <w:rsid w:val="0B2103CE"/>
    <w:rsid w:val="0B8C1197"/>
    <w:rsid w:val="0BAD2ED2"/>
    <w:rsid w:val="0BE208BB"/>
    <w:rsid w:val="0BF144C1"/>
    <w:rsid w:val="0C014219"/>
    <w:rsid w:val="0C0B58EB"/>
    <w:rsid w:val="0C1F4EFC"/>
    <w:rsid w:val="0C28767C"/>
    <w:rsid w:val="0C6E02C3"/>
    <w:rsid w:val="0C7233D5"/>
    <w:rsid w:val="0CB74C75"/>
    <w:rsid w:val="0CBF689E"/>
    <w:rsid w:val="0CDB522D"/>
    <w:rsid w:val="0D52320D"/>
    <w:rsid w:val="0DA357BC"/>
    <w:rsid w:val="0E10604C"/>
    <w:rsid w:val="0E6F1446"/>
    <w:rsid w:val="0E990EFC"/>
    <w:rsid w:val="0EBD766F"/>
    <w:rsid w:val="0ECF0348"/>
    <w:rsid w:val="0ECF0DC1"/>
    <w:rsid w:val="0ED46FF4"/>
    <w:rsid w:val="0EDE2E32"/>
    <w:rsid w:val="0F2442D0"/>
    <w:rsid w:val="0F307AB2"/>
    <w:rsid w:val="0F364F64"/>
    <w:rsid w:val="0F672DA8"/>
    <w:rsid w:val="0F704E24"/>
    <w:rsid w:val="0F815B3A"/>
    <w:rsid w:val="0FDA3993"/>
    <w:rsid w:val="1062516B"/>
    <w:rsid w:val="108B6001"/>
    <w:rsid w:val="10905347"/>
    <w:rsid w:val="10AA1917"/>
    <w:rsid w:val="10C4116A"/>
    <w:rsid w:val="10DB1C9F"/>
    <w:rsid w:val="110D5EA1"/>
    <w:rsid w:val="11430AC6"/>
    <w:rsid w:val="11665B93"/>
    <w:rsid w:val="116A5B8A"/>
    <w:rsid w:val="118624C2"/>
    <w:rsid w:val="11B34B60"/>
    <w:rsid w:val="1227056E"/>
    <w:rsid w:val="1236575B"/>
    <w:rsid w:val="12412893"/>
    <w:rsid w:val="126B56C5"/>
    <w:rsid w:val="12B037A6"/>
    <w:rsid w:val="12B96010"/>
    <w:rsid w:val="12C03B5D"/>
    <w:rsid w:val="12C14EC5"/>
    <w:rsid w:val="130001DF"/>
    <w:rsid w:val="13001304"/>
    <w:rsid w:val="133A375B"/>
    <w:rsid w:val="13605183"/>
    <w:rsid w:val="13837C04"/>
    <w:rsid w:val="13A17200"/>
    <w:rsid w:val="13AC16D1"/>
    <w:rsid w:val="13D80C39"/>
    <w:rsid w:val="13DC6DA3"/>
    <w:rsid w:val="13EC6C09"/>
    <w:rsid w:val="13EF7010"/>
    <w:rsid w:val="13F177A9"/>
    <w:rsid w:val="13F81DA6"/>
    <w:rsid w:val="14735C67"/>
    <w:rsid w:val="149E54BE"/>
    <w:rsid w:val="14A64D0A"/>
    <w:rsid w:val="14AC00D3"/>
    <w:rsid w:val="14CB1474"/>
    <w:rsid w:val="14F70FB0"/>
    <w:rsid w:val="150D0637"/>
    <w:rsid w:val="15736C5A"/>
    <w:rsid w:val="158E72E0"/>
    <w:rsid w:val="15A6695E"/>
    <w:rsid w:val="1650152B"/>
    <w:rsid w:val="165F575E"/>
    <w:rsid w:val="168F11B0"/>
    <w:rsid w:val="16B340A6"/>
    <w:rsid w:val="16B54D41"/>
    <w:rsid w:val="16E44C4A"/>
    <w:rsid w:val="173156E5"/>
    <w:rsid w:val="17377504"/>
    <w:rsid w:val="175B1444"/>
    <w:rsid w:val="1780431C"/>
    <w:rsid w:val="178843F6"/>
    <w:rsid w:val="17996FA7"/>
    <w:rsid w:val="179D1A5D"/>
    <w:rsid w:val="17A10E21"/>
    <w:rsid w:val="17B44FF8"/>
    <w:rsid w:val="17C414AC"/>
    <w:rsid w:val="18172DB1"/>
    <w:rsid w:val="188622FA"/>
    <w:rsid w:val="18A31D92"/>
    <w:rsid w:val="18C85003"/>
    <w:rsid w:val="18D97445"/>
    <w:rsid w:val="192F0DDA"/>
    <w:rsid w:val="19562C1E"/>
    <w:rsid w:val="19D2780C"/>
    <w:rsid w:val="19D73480"/>
    <w:rsid w:val="1A111F49"/>
    <w:rsid w:val="1A153E86"/>
    <w:rsid w:val="1A385FE0"/>
    <w:rsid w:val="1A5D4D75"/>
    <w:rsid w:val="1AA9113E"/>
    <w:rsid w:val="1ADE7B7C"/>
    <w:rsid w:val="1B5E1503"/>
    <w:rsid w:val="1B7776DA"/>
    <w:rsid w:val="1B8C2902"/>
    <w:rsid w:val="1BB0305A"/>
    <w:rsid w:val="1BE54C05"/>
    <w:rsid w:val="1BE614F8"/>
    <w:rsid w:val="1C394FAC"/>
    <w:rsid w:val="1C4F1E35"/>
    <w:rsid w:val="1C8C20A0"/>
    <w:rsid w:val="1CED1570"/>
    <w:rsid w:val="1D01375A"/>
    <w:rsid w:val="1D345964"/>
    <w:rsid w:val="1D3D1123"/>
    <w:rsid w:val="1D66036A"/>
    <w:rsid w:val="1D831DB9"/>
    <w:rsid w:val="1DD43CFE"/>
    <w:rsid w:val="1DD7576E"/>
    <w:rsid w:val="1E2507F6"/>
    <w:rsid w:val="1E482A46"/>
    <w:rsid w:val="1E550C56"/>
    <w:rsid w:val="1E6A5518"/>
    <w:rsid w:val="1EB72A19"/>
    <w:rsid w:val="1F0C6F29"/>
    <w:rsid w:val="1F1A7E37"/>
    <w:rsid w:val="1F3D3AAB"/>
    <w:rsid w:val="1F4D67B7"/>
    <w:rsid w:val="1FAE67DF"/>
    <w:rsid w:val="1FB64857"/>
    <w:rsid w:val="1FDB11DF"/>
    <w:rsid w:val="1FE90DAE"/>
    <w:rsid w:val="20171784"/>
    <w:rsid w:val="201F568F"/>
    <w:rsid w:val="2036437B"/>
    <w:rsid w:val="203E7571"/>
    <w:rsid w:val="204D202B"/>
    <w:rsid w:val="20915E36"/>
    <w:rsid w:val="209E2005"/>
    <w:rsid w:val="20BD5965"/>
    <w:rsid w:val="20C27BA9"/>
    <w:rsid w:val="20E4503D"/>
    <w:rsid w:val="20F43E19"/>
    <w:rsid w:val="21024492"/>
    <w:rsid w:val="210448FA"/>
    <w:rsid w:val="21293D11"/>
    <w:rsid w:val="2148258B"/>
    <w:rsid w:val="218C24AB"/>
    <w:rsid w:val="21A73A23"/>
    <w:rsid w:val="21B24A8A"/>
    <w:rsid w:val="21B47146"/>
    <w:rsid w:val="21FF3286"/>
    <w:rsid w:val="223B027D"/>
    <w:rsid w:val="22452B80"/>
    <w:rsid w:val="22642663"/>
    <w:rsid w:val="22784224"/>
    <w:rsid w:val="22947F00"/>
    <w:rsid w:val="229C464B"/>
    <w:rsid w:val="22AB6FDD"/>
    <w:rsid w:val="23141C04"/>
    <w:rsid w:val="236E69A3"/>
    <w:rsid w:val="23880F76"/>
    <w:rsid w:val="23B24AE2"/>
    <w:rsid w:val="23D0188B"/>
    <w:rsid w:val="240304AD"/>
    <w:rsid w:val="240C570C"/>
    <w:rsid w:val="242117CE"/>
    <w:rsid w:val="24514BB1"/>
    <w:rsid w:val="24521ABD"/>
    <w:rsid w:val="24541D52"/>
    <w:rsid w:val="24806DFB"/>
    <w:rsid w:val="248B1079"/>
    <w:rsid w:val="24AD52AB"/>
    <w:rsid w:val="24C545D0"/>
    <w:rsid w:val="24E011DB"/>
    <w:rsid w:val="24E14EC0"/>
    <w:rsid w:val="24E23123"/>
    <w:rsid w:val="25305FEF"/>
    <w:rsid w:val="253710BB"/>
    <w:rsid w:val="25851C68"/>
    <w:rsid w:val="259279F3"/>
    <w:rsid w:val="25C40AFC"/>
    <w:rsid w:val="26477832"/>
    <w:rsid w:val="264E2412"/>
    <w:rsid w:val="268541F7"/>
    <w:rsid w:val="26940800"/>
    <w:rsid w:val="26AF7534"/>
    <w:rsid w:val="26B80E70"/>
    <w:rsid w:val="26C06C26"/>
    <w:rsid w:val="26C4386A"/>
    <w:rsid w:val="26D10F46"/>
    <w:rsid w:val="27003495"/>
    <w:rsid w:val="27346B8F"/>
    <w:rsid w:val="27526F54"/>
    <w:rsid w:val="276022E1"/>
    <w:rsid w:val="27784AB6"/>
    <w:rsid w:val="277A3B68"/>
    <w:rsid w:val="27B8643F"/>
    <w:rsid w:val="27BB17AB"/>
    <w:rsid w:val="27CB2730"/>
    <w:rsid w:val="27D03E27"/>
    <w:rsid w:val="27D91BC1"/>
    <w:rsid w:val="27F368A1"/>
    <w:rsid w:val="27F82F94"/>
    <w:rsid w:val="27F9299E"/>
    <w:rsid w:val="281318C7"/>
    <w:rsid w:val="282E424F"/>
    <w:rsid w:val="2895052E"/>
    <w:rsid w:val="28F276E4"/>
    <w:rsid w:val="290A26C1"/>
    <w:rsid w:val="290C07F0"/>
    <w:rsid w:val="29364810"/>
    <w:rsid w:val="2939710B"/>
    <w:rsid w:val="294D3453"/>
    <w:rsid w:val="29534671"/>
    <w:rsid w:val="297D349C"/>
    <w:rsid w:val="2985412C"/>
    <w:rsid w:val="299A22A0"/>
    <w:rsid w:val="29AB2A0C"/>
    <w:rsid w:val="29B91982"/>
    <w:rsid w:val="29CF2037"/>
    <w:rsid w:val="29F26320"/>
    <w:rsid w:val="2A077209"/>
    <w:rsid w:val="2A0C2A72"/>
    <w:rsid w:val="2A357674"/>
    <w:rsid w:val="2A380B31"/>
    <w:rsid w:val="2A4F6835"/>
    <w:rsid w:val="2A8A4893"/>
    <w:rsid w:val="2A8B0A88"/>
    <w:rsid w:val="2AA077A9"/>
    <w:rsid w:val="2AC139B6"/>
    <w:rsid w:val="2AC754C9"/>
    <w:rsid w:val="2AD24543"/>
    <w:rsid w:val="2AD810F2"/>
    <w:rsid w:val="2ADC0696"/>
    <w:rsid w:val="2AFC6824"/>
    <w:rsid w:val="2AFE7854"/>
    <w:rsid w:val="2B08403C"/>
    <w:rsid w:val="2B2A4FBA"/>
    <w:rsid w:val="2B861596"/>
    <w:rsid w:val="2B8B17E5"/>
    <w:rsid w:val="2B8E0BB5"/>
    <w:rsid w:val="2BBE5251"/>
    <w:rsid w:val="2BE944A6"/>
    <w:rsid w:val="2BF729CA"/>
    <w:rsid w:val="2C2F02F7"/>
    <w:rsid w:val="2C5F50DB"/>
    <w:rsid w:val="2C813804"/>
    <w:rsid w:val="2C9F2D8C"/>
    <w:rsid w:val="2D2F51E1"/>
    <w:rsid w:val="2D55028C"/>
    <w:rsid w:val="2D591084"/>
    <w:rsid w:val="2D5E7678"/>
    <w:rsid w:val="2D74105A"/>
    <w:rsid w:val="2D8103DC"/>
    <w:rsid w:val="2D984045"/>
    <w:rsid w:val="2DD260B4"/>
    <w:rsid w:val="2DE41E6C"/>
    <w:rsid w:val="2DF00A75"/>
    <w:rsid w:val="2DFF3C8A"/>
    <w:rsid w:val="2E0F4FA1"/>
    <w:rsid w:val="2E195DAB"/>
    <w:rsid w:val="2E452230"/>
    <w:rsid w:val="2EB109D4"/>
    <w:rsid w:val="2EC460C7"/>
    <w:rsid w:val="2ECB3D1C"/>
    <w:rsid w:val="2EE7693B"/>
    <w:rsid w:val="2EFC7E35"/>
    <w:rsid w:val="2F00246E"/>
    <w:rsid w:val="2F4F65F6"/>
    <w:rsid w:val="2F9D57F5"/>
    <w:rsid w:val="2FC3211A"/>
    <w:rsid w:val="2FD5620D"/>
    <w:rsid w:val="3002269C"/>
    <w:rsid w:val="302369A0"/>
    <w:rsid w:val="30636D6A"/>
    <w:rsid w:val="306C26A5"/>
    <w:rsid w:val="307951FA"/>
    <w:rsid w:val="30F47787"/>
    <w:rsid w:val="313007A7"/>
    <w:rsid w:val="31A7649B"/>
    <w:rsid w:val="31AB6932"/>
    <w:rsid w:val="31B11537"/>
    <w:rsid w:val="31D734B7"/>
    <w:rsid w:val="31ED79B6"/>
    <w:rsid w:val="32471994"/>
    <w:rsid w:val="324A3D66"/>
    <w:rsid w:val="32692EC4"/>
    <w:rsid w:val="32807B59"/>
    <w:rsid w:val="32FC2E9D"/>
    <w:rsid w:val="33031D06"/>
    <w:rsid w:val="33230CC0"/>
    <w:rsid w:val="335A5584"/>
    <w:rsid w:val="335C63EC"/>
    <w:rsid w:val="33714B1A"/>
    <w:rsid w:val="33A930DF"/>
    <w:rsid w:val="33B2727C"/>
    <w:rsid w:val="33BA68BB"/>
    <w:rsid w:val="33C01B31"/>
    <w:rsid w:val="33E331F3"/>
    <w:rsid w:val="33E800AC"/>
    <w:rsid w:val="34360E17"/>
    <w:rsid w:val="34406C1D"/>
    <w:rsid w:val="34617A87"/>
    <w:rsid w:val="34CC177B"/>
    <w:rsid w:val="34F4395C"/>
    <w:rsid w:val="357304F6"/>
    <w:rsid w:val="357911F0"/>
    <w:rsid w:val="3584634D"/>
    <w:rsid w:val="358D457B"/>
    <w:rsid w:val="35A428FB"/>
    <w:rsid w:val="35C74EA2"/>
    <w:rsid w:val="35D13824"/>
    <w:rsid w:val="35FD01CA"/>
    <w:rsid w:val="36176A26"/>
    <w:rsid w:val="36183EAA"/>
    <w:rsid w:val="36230A15"/>
    <w:rsid w:val="363D7BD6"/>
    <w:rsid w:val="3650458C"/>
    <w:rsid w:val="36756C96"/>
    <w:rsid w:val="36AA5AEC"/>
    <w:rsid w:val="36D35099"/>
    <w:rsid w:val="371D28E3"/>
    <w:rsid w:val="372B37F4"/>
    <w:rsid w:val="37312024"/>
    <w:rsid w:val="373553B6"/>
    <w:rsid w:val="37394EDD"/>
    <w:rsid w:val="373B04F2"/>
    <w:rsid w:val="37447158"/>
    <w:rsid w:val="375122EA"/>
    <w:rsid w:val="378310CF"/>
    <w:rsid w:val="37956480"/>
    <w:rsid w:val="37971BCD"/>
    <w:rsid w:val="37A37E89"/>
    <w:rsid w:val="37AC319E"/>
    <w:rsid w:val="37F04614"/>
    <w:rsid w:val="37FE6295"/>
    <w:rsid w:val="381B6991"/>
    <w:rsid w:val="385D07A8"/>
    <w:rsid w:val="38765C86"/>
    <w:rsid w:val="38896EF8"/>
    <w:rsid w:val="38D642DE"/>
    <w:rsid w:val="38F1355F"/>
    <w:rsid w:val="39032117"/>
    <w:rsid w:val="3936185D"/>
    <w:rsid w:val="398048E2"/>
    <w:rsid w:val="39A75028"/>
    <w:rsid w:val="39BC25C2"/>
    <w:rsid w:val="39D16577"/>
    <w:rsid w:val="3A0F667C"/>
    <w:rsid w:val="3A29615B"/>
    <w:rsid w:val="3A865D4B"/>
    <w:rsid w:val="3AD713B6"/>
    <w:rsid w:val="3AD72629"/>
    <w:rsid w:val="3AF76271"/>
    <w:rsid w:val="3B141786"/>
    <w:rsid w:val="3B1A3241"/>
    <w:rsid w:val="3B2F6145"/>
    <w:rsid w:val="3B2F7AE5"/>
    <w:rsid w:val="3B3D4878"/>
    <w:rsid w:val="3B467D27"/>
    <w:rsid w:val="3B592632"/>
    <w:rsid w:val="3BA153CE"/>
    <w:rsid w:val="3BAD44FF"/>
    <w:rsid w:val="3BD61EF1"/>
    <w:rsid w:val="3BEC4ABF"/>
    <w:rsid w:val="3BF84C04"/>
    <w:rsid w:val="3C035D55"/>
    <w:rsid w:val="3C115975"/>
    <w:rsid w:val="3C9E57AB"/>
    <w:rsid w:val="3CB821C1"/>
    <w:rsid w:val="3CE8084F"/>
    <w:rsid w:val="3CF56C67"/>
    <w:rsid w:val="3D0D46DF"/>
    <w:rsid w:val="3D163CE8"/>
    <w:rsid w:val="3D475E43"/>
    <w:rsid w:val="3D967E84"/>
    <w:rsid w:val="3DA74B34"/>
    <w:rsid w:val="3DBF354C"/>
    <w:rsid w:val="3DEB4A20"/>
    <w:rsid w:val="3E353EED"/>
    <w:rsid w:val="3E630DB5"/>
    <w:rsid w:val="3EAD617A"/>
    <w:rsid w:val="3ECC23C8"/>
    <w:rsid w:val="3ECE64A6"/>
    <w:rsid w:val="3F440E4D"/>
    <w:rsid w:val="3F46202A"/>
    <w:rsid w:val="3F57351D"/>
    <w:rsid w:val="3F6749B3"/>
    <w:rsid w:val="3FEF061D"/>
    <w:rsid w:val="401936D5"/>
    <w:rsid w:val="402932CE"/>
    <w:rsid w:val="40986A50"/>
    <w:rsid w:val="40D5220D"/>
    <w:rsid w:val="4104470D"/>
    <w:rsid w:val="41456B3D"/>
    <w:rsid w:val="415C005D"/>
    <w:rsid w:val="415E375B"/>
    <w:rsid w:val="41631C9E"/>
    <w:rsid w:val="416D1FB5"/>
    <w:rsid w:val="41AE55AF"/>
    <w:rsid w:val="41B521C6"/>
    <w:rsid w:val="41C64866"/>
    <w:rsid w:val="41EB0013"/>
    <w:rsid w:val="41F41EE8"/>
    <w:rsid w:val="42211D58"/>
    <w:rsid w:val="42300F20"/>
    <w:rsid w:val="4230622D"/>
    <w:rsid w:val="423606A7"/>
    <w:rsid w:val="423654AA"/>
    <w:rsid w:val="423D5A66"/>
    <w:rsid w:val="4242307D"/>
    <w:rsid w:val="42435193"/>
    <w:rsid w:val="425047E2"/>
    <w:rsid w:val="42693697"/>
    <w:rsid w:val="429A76AC"/>
    <w:rsid w:val="42C0576D"/>
    <w:rsid w:val="433735FC"/>
    <w:rsid w:val="433A4C2F"/>
    <w:rsid w:val="4373393C"/>
    <w:rsid w:val="438157AC"/>
    <w:rsid w:val="43922065"/>
    <w:rsid w:val="43A810A4"/>
    <w:rsid w:val="43AA1F96"/>
    <w:rsid w:val="43D0127A"/>
    <w:rsid w:val="43D16466"/>
    <w:rsid w:val="43E343D6"/>
    <w:rsid w:val="43FB3750"/>
    <w:rsid w:val="44077AAB"/>
    <w:rsid w:val="441A0A4D"/>
    <w:rsid w:val="443313BA"/>
    <w:rsid w:val="44492EBF"/>
    <w:rsid w:val="446F7CE6"/>
    <w:rsid w:val="4473751E"/>
    <w:rsid w:val="448205F6"/>
    <w:rsid w:val="449553A0"/>
    <w:rsid w:val="449702A6"/>
    <w:rsid w:val="449F47B6"/>
    <w:rsid w:val="44BC6A57"/>
    <w:rsid w:val="44C64A40"/>
    <w:rsid w:val="44DB7E3D"/>
    <w:rsid w:val="44FF431F"/>
    <w:rsid w:val="450826B2"/>
    <w:rsid w:val="45124E43"/>
    <w:rsid w:val="455E7EF6"/>
    <w:rsid w:val="45811CB6"/>
    <w:rsid w:val="45A24A3D"/>
    <w:rsid w:val="45B60184"/>
    <w:rsid w:val="45BD64D8"/>
    <w:rsid w:val="45C2701C"/>
    <w:rsid w:val="45CA4C23"/>
    <w:rsid w:val="46137B8F"/>
    <w:rsid w:val="462017EC"/>
    <w:rsid w:val="464D2338"/>
    <w:rsid w:val="46511B97"/>
    <w:rsid w:val="465D7524"/>
    <w:rsid w:val="469B791C"/>
    <w:rsid w:val="46AA5F8D"/>
    <w:rsid w:val="46F4323F"/>
    <w:rsid w:val="470438CA"/>
    <w:rsid w:val="472C4C55"/>
    <w:rsid w:val="474F6F19"/>
    <w:rsid w:val="475C692C"/>
    <w:rsid w:val="476E544C"/>
    <w:rsid w:val="477F5981"/>
    <w:rsid w:val="478973D8"/>
    <w:rsid w:val="478E6628"/>
    <w:rsid w:val="47A04ACD"/>
    <w:rsid w:val="47A06E68"/>
    <w:rsid w:val="47D0304E"/>
    <w:rsid w:val="48086C87"/>
    <w:rsid w:val="48141018"/>
    <w:rsid w:val="48146EE6"/>
    <w:rsid w:val="4839282C"/>
    <w:rsid w:val="487B4BF3"/>
    <w:rsid w:val="488E5980"/>
    <w:rsid w:val="48DA443F"/>
    <w:rsid w:val="49080724"/>
    <w:rsid w:val="490A25FE"/>
    <w:rsid w:val="493D2493"/>
    <w:rsid w:val="494C64EF"/>
    <w:rsid w:val="49645D3D"/>
    <w:rsid w:val="496B4C67"/>
    <w:rsid w:val="49911CEF"/>
    <w:rsid w:val="49AF3B3E"/>
    <w:rsid w:val="49C16F7D"/>
    <w:rsid w:val="49CB5B4B"/>
    <w:rsid w:val="4A04037B"/>
    <w:rsid w:val="4A2D1C55"/>
    <w:rsid w:val="4A432BDC"/>
    <w:rsid w:val="4AAA61F4"/>
    <w:rsid w:val="4AB8450D"/>
    <w:rsid w:val="4AC4343D"/>
    <w:rsid w:val="4B5C0D0B"/>
    <w:rsid w:val="4B5F6228"/>
    <w:rsid w:val="4B6865FA"/>
    <w:rsid w:val="4BAD1567"/>
    <w:rsid w:val="4BB335D6"/>
    <w:rsid w:val="4BE276E1"/>
    <w:rsid w:val="4BE92E8F"/>
    <w:rsid w:val="4C25512E"/>
    <w:rsid w:val="4C3A40A4"/>
    <w:rsid w:val="4C6228AF"/>
    <w:rsid w:val="4C7909E7"/>
    <w:rsid w:val="4C7D53DD"/>
    <w:rsid w:val="4CAD16CF"/>
    <w:rsid w:val="4CBD3725"/>
    <w:rsid w:val="4D4B15E9"/>
    <w:rsid w:val="4D5170B8"/>
    <w:rsid w:val="4D5F0F87"/>
    <w:rsid w:val="4E210C81"/>
    <w:rsid w:val="4E267956"/>
    <w:rsid w:val="4E2B74D5"/>
    <w:rsid w:val="4E424648"/>
    <w:rsid w:val="4E640BBD"/>
    <w:rsid w:val="4E6B6EA1"/>
    <w:rsid w:val="4E991E11"/>
    <w:rsid w:val="4EAA6232"/>
    <w:rsid w:val="4EC57A95"/>
    <w:rsid w:val="4ED70FD7"/>
    <w:rsid w:val="4EF74E7E"/>
    <w:rsid w:val="4F601460"/>
    <w:rsid w:val="4F7D3C20"/>
    <w:rsid w:val="4FA15F74"/>
    <w:rsid w:val="4FBA2BA1"/>
    <w:rsid w:val="4FFF5886"/>
    <w:rsid w:val="502C63FA"/>
    <w:rsid w:val="507704E4"/>
    <w:rsid w:val="50834F8C"/>
    <w:rsid w:val="50B614D3"/>
    <w:rsid w:val="50C62F2B"/>
    <w:rsid w:val="51103465"/>
    <w:rsid w:val="513D72C0"/>
    <w:rsid w:val="51510BE7"/>
    <w:rsid w:val="5184487E"/>
    <w:rsid w:val="51A925C1"/>
    <w:rsid w:val="520147AB"/>
    <w:rsid w:val="524B4AE6"/>
    <w:rsid w:val="52583F3C"/>
    <w:rsid w:val="52C35B14"/>
    <w:rsid w:val="52C378C2"/>
    <w:rsid w:val="52C64DE8"/>
    <w:rsid w:val="53227084"/>
    <w:rsid w:val="533E753B"/>
    <w:rsid w:val="534A6027"/>
    <w:rsid w:val="537C369A"/>
    <w:rsid w:val="53D665BC"/>
    <w:rsid w:val="53F069E6"/>
    <w:rsid w:val="53F47318"/>
    <w:rsid w:val="54806F30"/>
    <w:rsid w:val="54C629E7"/>
    <w:rsid w:val="54F239A2"/>
    <w:rsid w:val="55247FE5"/>
    <w:rsid w:val="552B51BC"/>
    <w:rsid w:val="5552317F"/>
    <w:rsid w:val="559C74BB"/>
    <w:rsid w:val="55E44D46"/>
    <w:rsid w:val="56055D0D"/>
    <w:rsid w:val="565E00D2"/>
    <w:rsid w:val="566F2989"/>
    <w:rsid w:val="567E73BD"/>
    <w:rsid w:val="56995D14"/>
    <w:rsid w:val="569E667C"/>
    <w:rsid w:val="56A749B2"/>
    <w:rsid w:val="56CB6816"/>
    <w:rsid w:val="56EC163D"/>
    <w:rsid w:val="56FF0B83"/>
    <w:rsid w:val="57047CB1"/>
    <w:rsid w:val="57167B59"/>
    <w:rsid w:val="57313A27"/>
    <w:rsid w:val="57503BFC"/>
    <w:rsid w:val="57AE0AA6"/>
    <w:rsid w:val="57B00AEA"/>
    <w:rsid w:val="57B91294"/>
    <w:rsid w:val="57BA32A3"/>
    <w:rsid w:val="57F10A2D"/>
    <w:rsid w:val="57F80B45"/>
    <w:rsid w:val="5812729E"/>
    <w:rsid w:val="58156E12"/>
    <w:rsid w:val="58283534"/>
    <w:rsid w:val="58344FFE"/>
    <w:rsid w:val="584C5375"/>
    <w:rsid w:val="58773833"/>
    <w:rsid w:val="589C308F"/>
    <w:rsid w:val="58A93D6B"/>
    <w:rsid w:val="58F93B6A"/>
    <w:rsid w:val="591C0D83"/>
    <w:rsid w:val="593D5F30"/>
    <w:rsid w:val="594A244B"/>
    <w:rsid w:val="59667064"/>
    <w:rsid w:val="597F132F"/>
    <w:rsid w:val="59AE3557"/>
    <w:rsid w:val="59C80CE4"/>
    <w:rsid w:val="5A117165"/>
    <w:rsid w:val="5A447840"/>
    <w:rsid w:val="5A4E2167"/>
    <w:rsid w:val="5A587B93"/>
    <w:rsid w:val="5A661C99"/>
    <w:rsid w:val="5AA95EA4"/>
    <w:rsid w:val="5AD46772"/>
    <w:rsid w:val="5ADD7292"/>
    <w:rsid w:val="5AE445AB"/>
    <w:rsid w:val="5AF02F3A"/>
    <w:rsid w:val="5B041E39"/>
    <w:rsid w:val="5B07351C"/>
    <w:rsid w:val="5B280C0A"/>
    <w:rsid w:val="5B4470FE"/>
    <w:rsid w:val="5B8147BE"/>
    <w:rsid w:val="5B905A82"/>
    <w:rsid w:val="5BCA5273"/>
    <w:rsid w:val="5BCB0F84"/>
    <w:rsid w:val="5BFE6573"/>
    <w:rsid w:val="5C3177B5"/>
    <w:rsid w:val="5C594A7C"/>
    <w:rsid w:val="5C744E01"/>
    <w:rsid w:val="5CA569FC"/>
    <w:rsid w:val="5CCC77EB"/>
    <w:rsid w:val="5D0B2591"/>
    <w:rsid w:val="5D227715"/>
    <w:rsid w:val="5D4067EE"/>
    <w:rsid w:val="5D5137AB"/>
    <w:rsid w:val="5D6E484A"/>
    <w:rsid w:val="5D7B51D8"/>
    <w:rsid w:val="5D93633D"/>
    <w:rsid w:val="5DB61824"/>
    <w:rsid w:val="5DD83058"/>
    <w:rsid w:val="5DDB7EFB"/>
    <w:rsid w:val="5DE13D02"/>
    <w:rsid w:val="5DF03535"/>
    <w:rsid w:val="5E1100D9"/>
    <w:rsid w:val="5E1915A3"/>
    <w:rsid w:val="5E2356B9"/>
    <w:rsid w:val="5E4875AE"/>
    <w:rsid w:val="5E6D4A74"/>
    <w:rsid w:val="5ED43311"/>
    <w:rsid w:val="5EFD415C"/>
    <w:rsid w:val="5F006597"/>
    <w:rsid w:val="5F01226C"/>
    <w:rsid w:val="5F30162F"/>
    <w:rsid w:val="5F5A016C"/>
    <w:rsid w:val="5F780537"/>
    <w:rsid w:val="5FAA591A"/>
    <w:rsid w:val="5FB140B5"/>
    <w:rsid w:val="5FB4164E"/>
    <w:rsid w:val="5FBC5DC5"/>
    <w:rsid w:val="5FCB3D8F"/>
    <w:rsid w:val="5FE16606"/>
    <w:rsid w:val="5FE83985"/>
    <w:rsid w:val="5FEA0949"/>
    <w:rsid w:val="602E46DC"/>
    <w:rsid w:val="6033712F"/>
    <w:rsid w:val="604B29D6"/>
    <w:rsid w:val="604F6C39"/>
    <w:rsid w:val="60642861"/>
    <w:rsid w:val="607668A9"/>
    <w:rsid w:val="608027D0"/>
    <w:rsid w:val="60904559"/>
    <w:rsid w:val="60F375C4"/>
    <w:rsid w:val="610D0751"/>
    <w:rsid w:val="610E2F52"/>
    <w:rsid w:val="61471638"/>
    <w:rsid w:val="614A1A89"/>
    <w:rsid w:val="61970903"/>
    <w:rsid w:val="61C63DF9"/>
    <w:rsid w:val="61CD4D04"/>
    <w:rsid w:val="61D01060"/>
    <w:rsid w:val="61DE7284"/>
    <w:rsid w:val="61E310B1"/>
    <w:rsid w:val="61ED267F"/>
    <w:rsid w:val="61F10A65"/>
    <w:rsid w:val="61FC5226"/>
    <w:rsid w:val="622F287E"/>
    <w:rsid w:val="62531D32"/>
    <w:rsid w:val="62556235"/>
    <w:rsid w:val="626316B1"/>
    <w:rsid w:val="62682234"/>
    <w:rsid w:val="627757F6"/>
    <w:rsid w:val="629328A7"/>
    <w:rsid w:val="62A05809"/>
    <w:rsid w:val="62B2659B"/>
    <w:rsid w:val="62B56E66"/>
    <w:rsid w:val="62BA74E1"/>
    <w:rsid w:val="62BD623C"/>
    <w:rsid w:val="62C4451A"/>
    <w:rsid w:val="62CE2F07"/>
    <w:rsid w:val="63125213"/>
    <w:rsid w:val="632F4BB7"/>
    <w:rsid w:val="638802B4"/>
    <w:rsid w:val="63C555E7"/>
    <w:rsid w:val="6416779A"/>
    <w:rsid w:val="641A615C"/>
    <w:rsid w:val="64653F23"/>
    <w:rsid w:val="648C326D"/>
    <w:rsid w:val="649B2F23"/>
    <w:rsid w:val="64AD7796"/>
    <w:rsid w:val="653877AF"/>
    <w:rsid w:val="65491EA9"/>
    <w:rsid w:val="65816F5E"/>
    <w:rsid w:val="658B7861"/>
    <w:rsid w:val="65921AA2"/>
    <w:rsid w:val="65BF6897"/>
    <w:rsid w:val="65CE1B74"/>
    <w:rsid w:val="65E46075"/>
    <w:rsid w:val="65FC519A"/>
    <w:rsid w:val="66035EE6"/>
    <w:rsid w:val="664363C9"/>
    <w:rsid w:val="66770C98"/>
    <w:rsid w:val="66794933"/>
    <w:rsid w:val="66882474"/>
    <w:rsid w:val="66D26CDD"/>
    <w:rsid w:val="66FB0F5A"/>
    <w:rsid w:val="67087B26"/>
    <w:rsid w:val="673177F1"/>
    <w:rsid w:val="67474DF6"/>
    <w:rsid w:val="67564551"/>
    <w:rsid w:val="67604901"/>
    <w:rsid w:val="67E12588"/>
    <w:rsid w:val="67EB6390"/>
    <w:rsid w:val="6827206B"/>
    <w:rsid w:val="68475486"/>
    <w:rsid w:val="68510695"/>
    <w:rsid w:val="6853163D"/>
    <w:rsid w:val="68545F05"/>
    <w:rsid w:val="68594AF9"/>
    <w:rsid w:val="687F7EC8"/>
    <w:rsid w:val="688558EE"/>
    <w:rsid w:val="689D5B81"/>
    <w:rsid w:val="68BD5470"/>
    <w:rsid w:val="69113996"/>
    <w:rsid w:val="693D4CD3"/>
    <w:rsid w:val="6976147B"/>
    <w:rsid w:val="699C0F47"/>
    <w:rsid w:val="69A45159"/>
    <w:rsid w:val="69FA74DF"/>
    <w:rsid w:val="6A0E4BF4"/>
    <w:rsid w:val="6A646660"/>
    <w:rsid w:val="6A772F57"/>
    <w:rsid w:val="6A8032A9"/>
    <w:rsid w:val="6A99359D"/>
    <w:rsid w:val="6AE7581A"/>
    <w:rsid w:val="6AE81DA4"/>
    <w:rsid w:val="6BA93D03"/>
    <w:rsid w:val="6BBB1730"/>
    <w:rsid w:val="6BCE0431"/>
    <w:rsid w:val="6BED2A68"/>
    <w:rsid w:val="6BFC2657"/>
    <w:rsid w:val="6C0611D6"/>
    <w:rsid w:val="6C297AFF"/>
    <w:rsid w:val="6C395D97"/>
    <w:rsid w:val="6C505B49"/>
    <w:rsid w:val="6C691739"/>
    <w:rsid w:val="6C7C646E"/>
    <w:rsid w:val="6C844700"/>
    <w:rsid w:val="6C910570"/>
    <w:rsid w:val="6CA43595"/>
    <w:rsid w:val="6CA91A34"/>
    <w:rsid w:val="6CE7515B"/>
    <w:rsid w:val="6CF85CB8"/>
    <w:rsid w:val="6CF9540F"/>
    <w:rsid w:val="6D225481"/>
    <w:rsid w:val="6D2F7BD6"/>
    <w:rsid w:val="6D3451EC"/>
    <w:rsid w:val="6D433682"/>
    <w:rsid w:val="6D816B6B"/>
    <w:rsid w:val="6D8D2EC7"/>
    <w:rsid w:val="6DE57808"/>
    <w:rsid w:val="6DF445AA"/>
    <w:rsid w:val="6DF919B4"/>
    <w:rsid w:val="6DFC12BB"/>
    <w:rsid w:val="6E0E5A3E"/>
    <w:rsid w:val="6E3256A1"/>
    <w:rsid w:val="6E3F4A53"/>
    <w:rsid w:val="6E471BE1"/>
    <w:rsid w:val="6E4F0B95"/>
    <w:rsid w:val="6E657612"/>
    <w:rsid w:val="6E75515A"/>
    <w:rsid w:val="6EDE18DC"/>
    <w:rsid w:val="6EFA67C7"/>
    <w:rsid w:val="6F06170C"/>
    <w:rsid w:val="6F0D3450"/>
    <w:rsid w:val="6F1843FB"/>
    <w:rsid w:val="6F2179F2"/>
    <w:rsid w:val="6F2A7105"/>
    <w:rsid w:val="6F683873"/>
    <w:rsid w:val="6F905B0C"/>
    <w:rsid w:val="6FA45B5F"/>
    <w:rsid w:val="6FA72289"/>
    <w:rsid w:val="6FBC4FF3"/>
    <w:rsid w:val="702C6790"/>
    <w:rsid w:val="702E2FF8"/>
    <w:rsid w:val="705B405C"/>
    <w:rsid w:val="70BD1922"/>
    <w:rsid w:val="70BF74C3"/>
    <w:rsid w:val="70DE50FD"/>
    <w:rsid w:val="71125845"/>
    <w:rsid w:val="714C214D"/>
    <w:rsid w:val="71621490"/>
    <w:rsid w:val="71A73851"/>
    <w:rsid w:val="71F05EE9"/>
    <w:rsid w:val="72045FCA"/>
    <w:rsid w:val="721E62BD"/>
    <w:rsid w:val="727179BC"/>
    <w:rsid w:val="72BE502A"/>
    <w:rsid w:val="72C631E2"/>
    <w:rsid w:val="73223D39"/>
    <w:rsid w:val="73255A53"/>
    <w:rsid w:val="73517BC7"/>
    <w:rsid w:val="737A22AD"/>
    <w:rsid w:val="7397170C"/>
    <w:rsid w:val="73C44343"/>
    <w:rsid w:val="73D32C53"/>
    <w:rsid w:val="73D44CCF"/>
    <w:rsid w:val="74034E21"/>
    <w:rsid w:val="741236BC"/>
    <w:rsid w:val="744377E9"/>
    <w:rsid w:val="744A3547"/>
    <w:rsid w:val="745764D4"/>
    <w:rsid w:val="7475039B"/>
    <w:rsid w:val="74912D77"/>
    <w:rsid w:val="74E4496D"/>
    <w:rsid w:val="74FB3F82"/>
    <w:rsid w:val="7520725B"/>
    <w:rsid w:val="75700C3E"/>
    <w:rsid w:val="75CA0F74"/>
    <w:rsid w:val="75D45F0C"/>
    <w:rsid w:val="75D96F25"/>
    <w:rsid w:val="763C5112"/>
    <w:rsid w:val="76752929"/>
    <w:rsid w:val="76864401"/>
    <w:rsid w:val="768C4861"/>
    <w:rsid w:val="76BE139E"/>
    <w:rsid w:val="76C47972"/>
    <w:rsid w:val="77132317"/>
    <w:rsid w:val="772A140E"/>
    <w:rsid w:val="7735580A"/>
    <w:rsid w:val="77432B8A"/>
    <w:rsid w:val="7752732D"/>
    <w:rsid w:val="776204D1"/>
    <w:rsid w:val="77AF30BF"/>
    <w:rsid w:val="77C26C1D"/>
    <w:rsid w:val="77CC43CA"/>
    <w:rsid w:val="7811647C"/>
    <w:rsid w:val="78116641"/>
    <w:rsid w:val="78351F74"/>
    <w:rsid w:val="7858733A"/>
    <w:rsid w:val="78B74A30"/>
    <w:rsid w:val="78E6441B"/>
    <w:rsid w:val="78EE621E"/>
    <w:rsid w:val="78FD3DB1"/>
    <w:rsid w:val="79184AA9"/>
    <w:rsid w:val="79231D11"/>
    <w:rsid w:val="795E4806"/>
    <w:rsid w:val="79863274"/>
    <w:rsid w:val="79875305"/>
    <w:rsid w:val="79B26E68"/>
    <w:rsid w:val="79C2385E"/>
    <w:rsid w:val="79E104AA"/>
    <w:rsid w:val="7A105F8B"/>
    <w:rsid w:val="7A566959"/>
    <w:rsid w:val="7A892A35"/>
    <w:rsid w:val="7A9F1BF4"/>
    <w:rsid w:val="7AC1749D"/>
    <w:rsid w:val="7AF37B3D"/>
    <w:rsid w:val="7AF5774C"/>
    <w:rsid w:val="7AF90534"/>
    <w:rsid w:val="7B4C7C71"/>
    <w:rsid w:val="7B6969A9"/>
    <w:rsid w:val="7B874814"/>
    <w:rsid w:val="7BD5403F"/>
    <w:rsid w:val="7BEB53CC"/>
    <w:rsid w:val="7BF715CE"/>
    <w:rsid w:val="7C016BE2"/>
    <w:rsid w:val="7C120DEF"/>
    <w:rsid w:val="7C2A54D4"/>
    <w:rsid w:val="7C506F0E"/>
    <w:rsid w:val="7C9712F4"/>
    <w:rsid w:val="7CC43C96"/>
    <w:rsid w:val="7CCC4840"/>
    <w:rsid w:val="7CE129B6"/>
    <w:rsid w:val="7D30723C"/>
    <w:rsid w:val="7D417D69"/>
    <w:rsid w:val="7DA63EE4"/>
    <w:rsid w:val="7DBD25BB"/>
    <w:rsid w:val="7DC631D0"/>
    <w:rsid w:val="7DD37591"/>
    <w:rsid w:val="7DEB3655"/>
    <w:rsid w:val="7E846A58"/>
    <w:rsid w:val="7E932A25"/>
    <w:rsid w:val="7E9E2FEB"/>
    <w:rsid w:val="7ECB34D7"/>
    <w:rsid w:val="7EEB616D"/>
    <w:rsid w:val="7F0A5A54"/>
    <w:rsid w:val="7F333770"/>
    <w:rsid w:val="7F8F5611"/>
    <w:rsid w:val="7FA61E14"/>
    <w:rsid w:val="7FAC66A5"/>
    <w:rsid w:val="7FC549E4"/>
    <w:rsid w:val="7FDF0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autoRedefine/>
    <w:qFormat/>
    <w:uiPriority w:val="0"/>
    <w:pPr>
      <w:keepNext/>
      <w:keepLines/>
      <w:outlineLvl w:val="0"/>
    </w:pPr>
    <w:rPr>
      <w:rFonts w:eastAsia="黑体"/>
      <w:b/>
      <w:bCs/>
      <w:kern w:val="44"/>
      <w:sz w:val="32"/>
      <w:szCs w:val="32"/>
    </w:rPr>
  </w:style>
  <w:style w:type="paragraph" w:styleId="3">
    <w:name w:val="heading 2"/>
    <w:basedOn w:val="1"/>
    <w:next w:val="1"/>
    <w:link w:val="38"/>
    <w:autoRedefine/>
    <w:semiHidden/>
    <w:unhideWhenUsed/>
    <w:qFormat/>
    <w:uiPriority w:val="0"/>
    <w:pPr>
      <w:keepNext/>
      <w:keepLines/>
      <w:spacing w:before="40" w:after="40" w:line="360" w:lineRule="auto"/>
      <w:outlineLvl w:val="1"/>
    </w:pPr>
    <w:rPr>
      <w:rFonts w:ascii="Arial" w:hAnsi="Arial"/>
      <w:b/>
      <w:sz w:val="36"/>
      <w:szCs w:val="22"/>
    </w:rPr>
  </w:style>
  <w:style w:type="paragraph" w:styleId="4">
    <w:name w:val="heading 4"/>
    <w:next w:val="1"/>
    <w:link w:val="37"/>
    <w:autoRedefine/>
    <w:semiHidden/>
    <w:unhideWhenUsed/>
    <w:qFormat/>
    <w:uiPriority w:val="0"/>
    <w:pPr>
      <w:keepNext/>
      <w:keepLines/>
      <w:spacing w:after="177" w:line="259" w:lineRule="auto"/>
      <w:ind w:left="10" w:hanging="10"/>
      <w:outlineLvl w:val="3"/>
    </w:pPr>
    <w:rPr>
      <w:rFonts w:ascii="黑体" w:hAnsi="黑体" w:eastAsia="黑体" w:cs="黑体"/>
      <w:color w:val="000000"/>
      <w:kern w:val="2"/>
      <w:sz w:val="24"/>
      <w:szCs w:val="24"/>
      <w:lang w:val="en-US" w:eastAsia="zh-CN" w:bidi="ar-SA"/>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table of authorities"/>
    <w:basedOn w:val="1"/>
    <w:next w:val="1"/>
    <w:autoRedefine/>
    <w:unhideWhenUsed/>
    <w:qFormat/>
    <w:uiPriority w:val="99"/>
    <w:pPr>
      <w:ind w:left="420" w:leftChars="200"/>
    </w:pPr>
  </w:style>
  <w:style w:type="paragraph" w:styleId="6">
    <w:name w:val="Normal Indent"/>
    <w:basedOn w:val="1"/>
    <w:next w:val="7"/>
    <w:autoRedefine/>
    <w:qFormat/>
    <w:uiPriority w:val="0"/>
    <w:pPr>
      <w:ind w:firstLine="420"/>
    </w:pPr>
    <w:rPr>
      <w:spacing w:val="12"/>
      <w:szCs w:val="20"/>
    </w:rPr>
  </w:style>
  <w:style w:type="paragraph" w:styleId="7">
    <w:name w:val="Body Text First Indent 2"/>
    <w:basedOn w:val="8"/>
    <w:next w:val="1"/>
    <w:autoRedefine/>
    <w:qFormat/>
    <w:uiPriority w:val="0"/>
    <w:pPr>
      <w:ind w:firstLine="210"/>
    </w:pPr>
  </w:style>
  <w:style w:type="paragraph" w:styleId="8">
    <w:name w:val="Body Text Indent"/>
    <w:basedOn w:val="1"/>
    <w:next w:val="1"/>
    <w:autoRedefine/>
    <w:semiHidden/>
    <w:qFormat/>
    <w:uiPriority w:val="0"/>
    <w:pPr>
      <w:spacing w:after="120"/>
      <w:ind w:left="420" w:leftChars="200"/>
    </w:pPr>
  </w:style>
  <w:style w:type="paragraph" w:styleId="9">
    <w:name w:val="toa heading"/>
    <w:basedOn w:val="1"/>
    <w:next w:val="1"/>
    <w:autoRedefine/>
    <w:qFormat/>
    <w:uiPriority w:val="0"/>
    <w:pPr>
      <w:spacing w:before="120"/>
    </w:pPr>
  </w:style>
  <w:style w:type="paragraph" w:styleId="10">
    <w:name w:val="annotation text"/>
    <w:basedOn w:val="1"/>
    <w:link w:val="50"/>
    <w:autoRedefine/>
    <w:semiHidden/>
    <w:qFormat/>
    <w:uiPriority w:val="0"/>
    <w:pPr>
      <w:jc w:val="left"/>
    </w:pPr>
    <w:rPr>
      <w:kern w:val="0"/>
      <w:sz w:val="20"/>
    </w:rPr>
  </w:style>
  <w:style w:type="paragraph" w:styleId="11">
    <w:name w:val="Body Text"/>
    <w:basedOn w:val="1"/>
    <w:next w:val="12"/>
    <w:autoRedefine/>
    <w:qFormat/>
    <w:uiPriority w:val="0"/>
    <w:pPr>
      <w:widowControl/>
      <w:snapToGrid w:val="0"/>
      <w:spacing w:before="60" w:after="160" w:line="259" w:lineRule="auto"/>
      <w:ind w:right="113"/>
    </w:pPr>
    <w:rPr>
      <w:kern w:val="0"/>
      <w:sz w:val="18"/>
      <w:szCs w:val="18"/>
    </w:rPr>
  </w:style>
  <w:style w:type="paragraph" w:customStyle="1" w:styleId="12">
    <w:name w:val="Date1"/>
    <w:basedOn w:val="1"/>
    <w:next w:val="1"/>
    <w:qFormat/>
    <w:uiPriority w:val="0"/>
    <w:pPr>
      <w:adjustRightInd w:val="0"/>
      <w:jc w:val="left"/>
      <w:textAlignment w:val="baseline"/>
    </w:pPr>
    <w:rPr>
      <w:rFonts w:ascii="宋体" w:hAnsi="宋体"/>
    </w:rPr>
  </w:style>
  <w:style w:type="paragraph" w:styleId="13">
    <w:name w:val="Plain Text"/>
    <w:basedOn w:val="1"/>
    <w:autoRedefine/>
    <w:qFormat/>
    <w:uiPriority w:val="0"/>
    <w:rPr>
      <w:rFonts w:hint="eastAsia" w:ascii="宋体" w:hAnsi="Courier New"/>
    </w:rPr>
  </w:style>
  <w:style w:type="paragraph" w:styleId="14">
    <w:name w:val="Body Text Indent 2"/>
    <w:basedOn w:val="1"/>
    <w:next w:val="7"/>
    <w:autoRedefine/>
    <w:qFormat/>
    <w:uiPriority w:val="0"/>
    <w:pPr>
      <w:ind w:firstLine="624"/>
    </w:pPr>
    <w:rPr>
      <w:rFonts w:hint="eastAsia" w:ascii="楷体_GB2312" w:eastAsia="楷体_GB2312"/>
      <w:color w:val="000000"/>
      <w:sz w:val="30"/>
    </w:rPr>
  </w:style>
  <w:style w:type="paragraph" w:styleId="15">
    <w:name w:val="Balloon Text"/>
    <w:basedOn w:val="1"/>
    <w:link w:val="52"/>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sz w:val="18"/>
      <w:szCs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0"/>
  </w:style>
  <w:style w:type="paragraph" w:styleId="19">
    <w:name w:val="index heading"/>
    <w:basedOn w:val="1"/>
    <w:next w:val="20"/>
    <w:qFormat/>
    <w:uiPriority w:val="0"/>
    <w:rPr>
      <w:rFonts w:ascii="Arial" w:hAnsi="Arial" w:cs="Arial"/>
      <w:b/>
      <w:bCs/>
    </w:rPr>
  </w:style>
  <w:style w:type="paragraph" w:styleId="20">
    <w:name w:val="index 1"/>
    <w:basedOn w:val="1"/>
    <w:next w:val="1"/>
    <w:qFormat/>
    <w:uiPriority w:val="0"/>
  </w:style>
  <w:style w:type="paragraph" w:styleId="21">
    <w:name w:val="Body Text Indent 3"/>
    <w:basedOn w:val="1"/>
    <w:autoRedefine/>
    <w:qFormat/>
    <w:uiPriority w:val="0"/>
    <w:pPr>
      <w:spacing w:line="580" w:lineRule="exact"/>
      <w:ind w:firstLine="555"/>
    </w:pPr>
    <w:rPr>
      <w:rFonts w:ascii="楷体_GB2312" w:eastAsia="楷体_GB2312"/>
      <w:sz w:val="28"/>
    </w:rPr>
  </w:style>
  <w:style w:type="paragraph" w:styleId="2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3">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4">
    <w:name w:val="annotation subject"/>
    <w:basedOn w:val="10"/>
    <w:next w:val="10"/>
    <w:link w:val="51"/>
    <w:qFormat/>
    <w:uiPriority w:val="0"/>
    <w:rPr>
      <w:b/>
      <w:bCs/>
      <w:kern w:val="2"/>
      <w:sz w:val="21"/>
    </w:rPr>
  </w:style>
  <w:style w:type="paragraph" w:styleId="25">
    <w:name w:val="Body Text First Indent"/>
    <w:basedOn w:val="11"/>
    <w:autoRedefine/>
    <w:qFormat/>
    <w:uiPriority w:val="0"/>
    <w:pPr>
      <w:ind w:firstLine="420" w:firstLineChars="100"/>
      <w:jc w:val="center"/>
    </w:pPr>
    <w:rPr>
      <w:rFonts w:ascii="Calibri" w:hAnsi="Calibri"/>
      <w:sz w:val="32"/>
    </w:r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rPr>
  </w:style>
  <w:style w:type="character" w:styleId="30">
    <w:name w:val="page number"/>
    <w:autoRedefine/>
    <w:qFormat/>
    <w:uiPriority w:val="0"/>
  </w:style>
  <w:style w:type="character" w:styleId="31">
    <w:name w:val="annotation reference"/>
    <w:basedOn w:val="28"/>
    <w:autoRedefine/>
    <w:qFormat/>
    <w:uiPriority w:val="0"/>
    <w:rPr>
      <w:sz w:val="21"/>
      <w:szCs w:val="21"/>
    </w:rPr>
  </w:style>
  <w:style w:type="paragraph" w:customStyle="1" w:styleId="32">
    <w:name w:val="Default"/>
    <w:basedOn w:val="33"/>
    <w:autoRedefine/>
    <w:qFormat/>
    <w:uiPriority w:val="0"/>
    <w:pPr>
      <w:autoSpaceDE w:val="0"/>
      <w:autoSpaceDN w:val="0"/>
    </w:pPr>
    <w:rPr>
      <w:rFonts w:hAnsi="宋体"/>
      <w:color w:val="000000"/>
      <w:sz w:val="24"/>
    </w:rPr>
  </w:style>
  <w:style w:type="paragraph" w:customStyle="1" w:styleId="33">
    <w:name w:val="纯文本1"/>
    <w:basedOn w:val="1"/>
    <w:qFormat/>
    <w:uiPriority w:val="0"/>
    <w:pPr>
      <w:adjustRightInd w:val="0"/>
    </w:pPr>
    <w:rPr>
      <w:rFonts w:hint="eastAsia" w:ascii="宋体" w:hAnsi="Courier New"/>
      <w:szCs w:val="20"/>
    </w:rPr>
  </w:style>
  <w:style w:type="paragraph" w:customStyle="1" w:styleId="34">
    <w:name w:val="样式1"/>
    <w:basedOn w:val="19"/>
    <w:next w:val="1"/>
    <w:qFormat/>
    <w:uiPriority w:val="0"/>
    <w:pPr>
      <w:pBdr>
        <w:bottom w:val="single" w:color="auto" w:sz="4" w:space="1"/>
      </w:pBdr>
      <w:tabs>
        <w:tab w:val="center" w:pos="4153"/>
        <w:tab w:val="right" w:pos="8306"/>
      </w:tabs>
    </w:pPr>
    <w:rPr>
      <w:rFonts w:ascii="Times New Roman" w:hAnsi="Times New Roman" w:cs="Times New Roman"/>
      <w:u w:val="single"/>
    </w:rPr>
  </w:style>
  <w:style w:type="paragraph" w:customStyle="1" w:styleId="35">
    <w:name w:val="表格"/>
    <w:basedOn w:val="6"/>
    <w:next w:val="1"/>
    <w:qFormat/>
    <w:uiPriority w:val="0"/>
    <w:pPr>
      <w:adjustRightInd w:val="0"/>
      <w:snapToGrid w:val="0"/>
      <w:spacing w:beforeLines="10" w:afterLines="10" w:line="259" w:lineRule="auto"/>
      <w:jc w:val="center"/>
    </w:pPr>
    <w:rPr>
      <w:rFonts w:ascii="宋体"/>
      <w:kern w:val="0"/>
      <w:sz w:val="20"/>
      <w:szCs w:val="21"/>
    </w:rPr>
  </w:style>
  <w:style w:type="character" w:customStyle="1" w:styleId="36">
    <w:name w:val="标题 1 字符"/>
    <w:basedOn w:val="28"/>
    <w:link w:val="2"/>
    <w:autoRedefine/>
    <w:qFormat/>
    <w:uiPriority w:val="1"/>
    <w:rPr>
      <w:rFonts w:ascii="Times New Roman" w:hAnsi="Times New Roman" w:eastAsia="黑体" w:cs="Times New Roman"/>
      <w:b/>
      <w:bCs/>
      <w:kern w:val="44"/>
      <w:sz w:val="32"/>
      <w:szCs w:val="32"/>
    </w:rPr>
  </w:style>
  <w:style w:type="character" w:customStyle="1" w:styleId="37">
    <w:name w:val="标题 4 字符"/>
    <w:link w:val="4"/>
    <w:autoRedefine/>
    <w:qFormat/>
    <w:uiPriority w:val="0"/>
    <w:rPr>
      <w:rFonts w:ascii="黑体" w:hAnsi="黑体" w:eastAsia="黑体" w:cs="黑体"/>
      <w:color w:val="000000"/>
      <w:sz w:val="24"/>
      <w:szCs w:val="24"/>
    </w:rPr>
  </w:style>
  <w:style w:type="character" w:customStyle="1" w:styleId="38">
    <w:name w:val="标题 2 字符"/>
    <w:link w:val="3"/>
    <w:autoRedefine/>
    <w:qFormat/>
    <w:uiPriority w:val="0"/>
    <w:rPr>
      <w:rFonts w:ascii="Arial" w:hAnsi="Arial" w:eastAsia="宋体" w:cs="Times New Roman"/>
      <w:b/>
      <w:kern w:val="2"/>
      <w:sz w:val="36"/>
      <w:szCs w:val="22"/>
    </w:rPr>
  </w:style>
  <w:style w:type="paragraph" w:customStyle="1" w:styleId="39">
    <w:name w:val="标题4-4"/>
    <w:basedOn w:val="1"/>
    <w:autoRedefine/>
    <w:qFormat/>
    <w:uiPriority w:val="0"/>
    <w:pPr>
      <w:tabs>
        <w:tab w:val="left" w:pos="360"/>
      </w:tabs>
      <w:snapToGrid w:val="0"/>
      <w:spacing w:line="360" w:lineRule="auto"/>
    </w:pPr>
    <w:rPr>
      <w:rFonts w:ascii="宋体" w:hAnsi="宋体"/>
      <w:sz w:val="24"/>
    </w:rPr>
  </w:style>
  <w:style w:type="paragraph" w:customStyle="1" w:styleId="40">
    <w:name w:val="样式 首行缩进:  2 字符1"/>
    <w:basedOn w:val="1"/>
    <w:autoRedefine/>
    <w:qFormat/>
    <w:uiPriority w:val="0"/>
    <w:pPr>
      <w:adjustRightInd w:val="0"/>
      <w:snapToGrid w:val="0"/>
      <w:spacing w:line="360" w:lineRule="auto"/>
      <w:ind w:firstLine="200" w:firstLineChars="200"/>
    </w:pPr>
    <w:rPr>
      <w:rFonts w:ascii="仿宋_GB2312" w:eastAsia="仿宋_GB2312"/>
      <w:sz w:val="28"/>
      <w:szCs w:val="20"/>
    </w:rPr>
  </w:style>
  <w:style w:type="character" w:customStyle="1" w:styleId="41">
    <w:name w:val="font31"/>
    <w:basedOn w:val="28"/>
    <w:autoRedefine/>
    <w:qFormat/>
    <w:uiPriority w:val="0"/>
    <w:rPr>
      <w:rFonts w:hint="eastAsia" w:ascii="宋体" w:hAnsi="宋体" w:eastAsia="宋体" w:cs="宋体"/>
      <w:color w:val="000000"/>
      <w:sz w:val="21"/>
      <w:szCs w:val="21"/>
      <w:u w:val="none"/>
    </w:rPr>
  </w:style>
  <w:style w:type="paragraph" w:customStyle="1" w:styleId="42">
    <w:name w:val="图片"/>
    <w:basedOn w:val="1"/>
    <w:autoRedefine/>
    <w:qFormat/>
    <w:uiPriority w:val="0"/>
    <w:rPr>
      <w:sz w:val="28"/>
    </w:rPr>
  </w:style>
  <w:style w:type="paragraph" w:customStyle="1" w:styleId="43">
    <w:name w:val="p0"/>
    <w:basedOn w:val="1"/>
    <w:autoRedefine/>
    <w:qFormat/>
    <w:uiPriority w:val="0"/>
    <w:pPr>
      <w:widowControl/>
    </w:pPr>
    <w:rPr>
      <w:kern w:val="0"/>
      <w:szCs w:val="21"/>
    </w:rPr>
  </w:style>
  <w:style w:type="paragraph" w:customStyle="1" w:styleId="44">
    <w:name w:val="正文文本缩进1"/>
    <w:basedOn w:val="1"/>
    <w:autoRedefine/>
    <w:qFormat/>
    <w:uiPriority w:val="0"/>
    <w:pPr>
      <w:spacing w:line="440" w:lineRule="exact"/>
      <w:ind w:firstLine="527"/>
    </w:pPr>
  </w:style>
  <w:style w:type="paragraph" w:customStyle="1" w:styleId="45">
    <w:name w:val="样式 首行缩进:  1.92 字符"/>
    <w:basedOn w:val="1"/>
    <w:autoRedefine/>
    <w:qFormat/>
    <w:uiPriority w:val="0"/>
    <w:pPr>
      <w:adjustRightInd w:val="0"/>
      <w:snapToGrid w:val="0"/>
      <w:spacing w:line="360" w:lineRule="auto"/>
      <w:ind w:firstLine="200" w:firstLineChars="200"/>
    </w:pPr>
    <w:rPr>
      <w:rFonts w:eastAsia="仿宋_GB2312" w:cs="宋体"/>
      <w:sz w:val="28"/>
      <w:szCs w:val="20"/>
    </w:rPr>
  </w:style>
  <w:style w:type="paragraph" w:styleId="46">
    <w:name w:val="No Spacing"/>
    <w:autoRedefine/>
    <w:qFormat/>
    <w:uiPriority w:val="0"/>
    <w:pPr>
      <w:widowControl w:val="0"/>
      <w:adjustRightInd w:val="0"/>
      <w:ind w:firstLine="200" w:firstLineChars="200"/>
      <w:jc w:val="center"/>
    </w:pPr>
    <w:rPr>
      <w:rFonts w:ascii="Times New Roman" w:hAnsi="Times New Roman" w:eastAsia="宋体" w:cs="Times New Roman"/>
      <w:b/>
      <w:kern w:val="2"/>
      <w:sz w:val="21"/>
      <w:szCs w:val="22"/>
      <w:lang w:val="en-US" w:eastAsia="zh-CN" w:bidi="ar-SA"/>
    </w:rPr>
  </w:style>
  <w:style w:type="character" w:customStyle="1" w:styleId="47">
    <w:name w:val="NormalCharacter"/>
    <w:autoRedefine/>
    <w:semiHidden/>
    <w:qFormat/>
    <w:uiPriority w:val="0"/>
  </w:style>
  <w:style w:type="paragraph" w:customStyle="1" w:styleId="48">
    <w:name w:val="表格内容"/>
    <w:basedOn w:val="1"/>
    <w:next w:val="1"/>
    <w:autoRedefine/>
    <w:qFormat/>
    <w:uiPriority w:val="0"/>
    <w:pPr>
      <w:jc w:val="center"/>
    </w:pPr>
    <w:rPr>
      <w:szCs w:val="21"/>
    </w:rPr>
  </w:style>
  <w:style w:type="paragraph" w:customStyle="1" w:styleId="49">
    <w:name w:val="正文."/>
    <w:basedOn w:val="1"/>
    <w:autoRedefine/>
    <w:qFormat/>
    <w:uiPriority w:val="0"/>
    <w:rPr>
      <w:sz w:val="28"/>
      <w:szCs w:val="28"/>
    </w:rPr>
  </w:style>
  <w:style w:type="character" w:customStyle="1" w:styleId="50">
    <w:name w:val="批注文字 字符"/>
    <w:basedOn w:val="28"/>
    <w:link w:val="10"/>
    <w:semiHidden/>
    <w:qFormat/>
    <w:uiPriority w:val="0"/>
    <w:rPr>
      <w:szCs w:val="24"/>
    </w:rPr>
  </w:style>
  <w:style w:type="character" w:customStyle="1" w:styleId="51">
    <w:name w:val="批注主题 字符"/>
    <w:basedOn w:val="50"/>
    <w:link w:val="24"/>
    <w:qFormat/>
    <w:uiPriority w:val="0"/>
    <w:rPr>
      <w:b/>
      <w:bCs/>
      <w:kern w:val="2"/>
      <w:sz w:val="21"/>
      <w:szCs w:val="24"/>
    </w:rPr>
  </w:style>
  <w:style w:type="character" w:customStyle="1" w:styleId="52">
    <w:name w:val="批注框文本 字符"/>
    <w:basedOn w:val="28"/>
    <w:link w:val="15"/>
    <w:qFormat/>
    <w:uiPriority w:val="0"/>
    <w:rPr>
      <w:kern w:val="2"/>
      <w:sz w:val="18"/>
      <w:szCs w:val="18"/>
    </w:rPr>
  </w:style>
  <w:style w:type="paragraph" w:styleId="53">
    <w:name w:val="List Paragraph"/>
    <w:basedOn w:val="1"/>
    <w:unhideWhenUsed/>
    <w:qFormat/>
    <w:uiPriority w:val="1"/>
    <w:rPr>
      <w:rFonts w:hint="default"/>
      <w:sz w:val="24"/>
      <w:szCs w:val="24"/>
    </w:rPr>
  </w:style>
  <w:style w:type="paragraph" w:customStyle="1" w:styleId="54">
    <w:name w:val="4正文"/>
    <w:basedOn w:val="1"/>
    <w:unhideWhenUsed/>
    <w:qFormat/>
    <w:uiPriority w:val="99"/>
    <w:pPr>
      <w:spacing w:beforeLines="0" w:afterLines="0"/>
      <w:ind w:firstLine="480"/>
    </w:pPr>
    <w:rPr>
      <w:rFonts w:hint="default" w:ascii="Calibri" w:hAnsi="Calibri"/>
      <w:sz w:val="21"/>
      <w:szCs w:val="22"/>
    </w:rPr>
  </w:style>
  <w:style w:type="paragraph" w:customStyle="1" w:styleId="55">
    <w:name w:val="Table Paragraph"/>
    <w:basedOn w:val="1"/>
    <w:qFormat/>
    <w:uiPriority w:val="0"/>
    <w:pPr>
      <w:jc w:val="left"/>
    </w:pPr>
    <w:rPr>
      <w:rFonts w:ascii="Calibri" w:hAnsi="Calibri" w:eastAsia="宋体" w:cs="Times New Roman"/>
      <w:kern w:val="0"/>
      <w:sz w:val="22"/>
      <w:lang w:eastAsia="en-US"/>
    </w:rPr>
  </w:style>
  <w:style w:type="character" w:customStyle="1" w:styleId="56">
    <w:name w:val="font41"/>
    <w:basedOn w:val="28"/>
    <w:qFormat/>
    <w:uiPriority w:val="0"/>
    <w:rPr>
      <w:rFonts w:hint="default" w:ascii="Times New Roman" w:hAnsi="Times New Roman" w:cs="Times New Roman"/>
      <w:b/>
      <w:bCs/>
      <w:color w:val="000000"/>
      <w:sz w:val="22"/>
      <w:szCs w:val="22"/>
      <w:u w:val="none"/>
    </w:rPr>
  </w:style>
  <w:style w:type="character" w:customStyle="1" w:styleId="57">
    <w:name w:val="font21"/>
    <w:basedOn w:val="28"/>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3MjU1NTcxNDMyIiwKCSJHcm91cElkIiA6ICI1MzU5NTI3MjQiLAoJIkltYWdlIiA6ICJpVkJPUncwS0dnb0FBQUFOU1VoRVVnQUFCT2NBQUFIekNBWUFBQUJySFhtYkFBQUFBWE5TUjBJQXJzNGM2UUFBSUFCSlJFRlVlSnpzM1hkWWsxZjdCL0J2MkFJS3VGNVVWTndERnlwcVFXdTFkUlJiYWgxWXQ2MmoxbTMxZGRhSldMZWlnbEwzQnJjNGExWGNpQk1ISW9xQ0JVVVpNbVNHSk0vdmp6ZDVmc1FrREVVait2MWNsOWRGbm5tQ1BEa245em5uUGd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dLOThBQ0owTnA1YnUwYkRBQUFBQUVsRlRrU3VRbUNDIiwKCSJUaGVtZSIgOiAiIiwKCSJUeXBlIiA6ICJmbG93IiwKCSJVc2VySWQiIDogIjQ1NjQzMTMyMSIsCgkiVmVyc2lvbiIgOiAiMjY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11146</Words>
  <Characters>12712</Characters>
  <Lines>155</Lines>
  <Paragraphs>162</Paragraphs>
  <TotalTime>1</TotalTime>
  <ScaleCrop>false</ScaleCrop>
  <LinksUpToDate>false</LinksUpToDate>
  <CharactersWithSpaces>12921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2023-11-21T11:56:00Z</dcterms:created>
  <dc:creator>史晓娟</dc:creator>
  <cp:lastModifiedBy>小伟</cp:lastModifiedBy>
  <cp:lastPrinted>2025-11-24T10:36:00Z</cp:lastPrinted>
  <dcterms:modified xsi:type="dcterms:W3CDTF">2026-03-12T08:44:47Z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187BD20521114A82AC7764E1CB40C29F_13</vt:lpwstr>
  </property>
  <property fmtid="{D5CDD505-2E9C-101B-9397-08002B2CF9AE}" pid="4" name="KSOTemplateDocerSaveRecord">
    <vt:lpwstr>eyJoZGlkIjoiNDI3ZTVlNDdiODc5ZDg3MWJmOTVlN2Y5YWJkNWJmMjYiLCJ1c2VySWQiOiIyNjUxMDYyNTQifQ==</vt:lpwstr>
  </property>
</Properties>
</file>